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通榆县看守所</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left="567"/>
        <w:rPr>
          <w:rFonts w:ascii="黑体" w:hAnsi="黑体" w:eastAsia="黑体"/>
        </w:rPr>
      </w:pPr>
      <w:r>
        <w:rPr>
          <w:rFonts w:ascii="黑体" w:hAnsi="黑体" w:eastAsia="黑体"/>
        </w:rPr>
        <w:t>一、主要职能</w:t>
      </w:r>
    </w:p>
    <w:p>
      <w:pPr>
        <w:spacing w:line="600" w:lineRule="atLeast"/>
        <w:ind w:firstLine="640" w:firstLineChars="200"/>
        <w:rPr>
          <w:rFonts w:hint="eastAsia" w:ascii="仿宋" w:hAnsi="仿宋" w:eastAsia="仿宋" w:cs="仿宋"/>
          <w:color w:val="333333"/>
          <w:szCs w:val="32"/>
          <w:shd w:val="clear" w:color="auto" w:fill="FFFFFF"/>
        </w:rPr>
      </w:pPr>
      <w:r>
        <w:rPr>
          <w:rFonts w:hint="eastAsia" w:ascii="宋体" w:hAnsi="宋体"/>
        </w:rPr>
        <w:t>　　</w:t>
      </w:r>
      <w:r>
        <w:rPr>
          <w:rFonts w:hint="eastAsia" w:ascii="仿宋" w:hAnsi="仿宋" w:eastAsia="仿宋" w:cs="仿宋"/>
          <w:color w:val="333333"/>
          <w:szCs w:val="32"/>
          <w:shd w:val="clear" w:color="auto" w:fill="FFFFFF"/>
        </w:rPr>
        <w:t>1、对在押人员有实行看管、教育、押解、生活及卫生管理、检查携带物品、查阅来往信件、监视接见等权利。</w:t>
      </w:r>
      <w:r>
        <w:rPr>
          <w:rFonts w:hint="eastAsia" w:ascii="仿宋" w:hAnsi="仿宋" w:eastAsia="仿宋" w:cs="仿宋"/>
          <w:color w:val="333333"/>
          <w:szCs w:val="32"/>
          <w:shd w:val="clear" w:color="auto" w:fill="FFFFFF"/>
        </w:rPr>
        <w:br w:type="textWrapping"/>
      </w:r>
      <w:r>
        <w:rPr>
          <w:rFonts w:hint="eastAsia" w:ascii="仿宋" w:hAnsi="仿宋" w:eastAsia="仿宋" w:cs="仿宋"/>
          <w:color w:val="333333"/>
          <w:szCs w:val="32"/>
          <w:shd w:val="clear" w:color="auto" w:fill="FFFFFF"/>
        </w:rPr>
        <w:t>　　2、对在押人员违反监规的，有权对其进行批评教育，责令反省。以图谋行凶、逃跑、自杀等严重影响监所安全的在押人员有权加_械具。</w:t>
      </w:r>
      <w:r>
        <w:rPr>
          <w:rFonts w:hint="eastAsia" w:ascii="仿宋" w:hAnsi="仿宋" w:eastAsia="仿宋" w:cs="仿宋"/>
          <w:color w:val="333333"/>
          <w:szCs w:val="32"/>
          <w:shd w:val="clear" w:color="auto" w:fill="FFFFFF"/>
        </w:rPr>
        <w:br w:type="textWrapping"/>
      </w:r>
      <w:r>
        <w:rPr>
          <w:rFonts w:hint="eastAsia" w:ascii="仿宋" w:hAnsi="仿宋" w:eastAsia="仿宋" w:cs="仿宋"/>
          <w:color w:val="333333"/>
          <w:szCs w:val="32"/>
          <w:shd w:val="clear" w:color="auto" w:fill="FFFFFF"/>
        </w:rPr>
        <w:t>　　3、看守所对犯罪嫌疑人、实行人的法定羁押期限即将到期而案件未审理终结的，有权通知办案机关迅速审结；超过法定羁押期限的，有权将情况报告人民检察院。</w:t>
      </w:r>
      <w:r>
        <w:rPr>
          <w:rFonts w:hint="eastAsia" w:ascii="仿宋" w:hAnsi="仿宋" w:eastAsia="仿宋" w:cs="仿宋"/>
          <w:color w:val="333333"/>
          <w:szCs w:val="32"/>
          <w:shd w:val="clear" w:color="auto" w:fill="FFFFFF"/>
        </w:rPr>
        <w:br w:type="textWrapping"/>
      </w:r>
      <w:r>
        <w:rPr>
          <w:rFonts w:hint="eastAsia" w:ascii="仿宋" w:hAnsi="仿宋" w:eastAsia="仿宋" w:cs="仿宋"/>
          <w:color w:val="333333"/>
          <w:szCs w:val="32"/>
          <w:shd w:val="clear" w:color="auto" w:fill="FFFFFF"/>
        </w:rPr>
        <w:t xml:space="preserve">　　4、在执行职务中，发现司法工作人员对犯罪嫌疑人、被告人、罪犯有刑讯逼供或其他违法行为时，有权当面制止，并直接向有关机关和检察院报告。       </w:t>
      </w:r>
    </w:p>
    <w:p>
      <w:pPr>
        <w:spacing w:line="600" w:lineRule="atLeast"/>
        <w:ind w:firstLine="640" w:firstLineChars="200"/>
        <w:rPr>
          <w:rFonts w:ascii="仿宋" w:hAnsi="仿宋" w:eastAsia="仿宋"/>
          <w:color w:val="000000"/>
          <w:szCs w:val="32"/>
        </w:rPr>
      </w:pPr>
      <w:r>
        <w:rPr>
          <w:rFonts w:hint="eastAsia" w:ascii="仿宋" w:hAnsi="仿宋" w:eastAsia="仿宋"/>
          <w:color w:val="000000"/>
          <w:szCs w:val="32"/>
        </w:rPr>
        <w:t>根据上述职责，通榆县看守所内设综合中队、看守所拘留所等3个单位。</w:t>
      </w:r>
    </w:p>
    <w:p>
      <w:pPr>
        <w:spacing w:line="600" w:lineRule="atLeast"/>
        <w:ind w:firstLine="640" w:firstLineChars="200"/>
        <w:rPr>
          <w:rFonts w:hint="eastAsia" w:ascii="仿宋" w:hAnsi="仿宋" w:eastAsia="仿宋"/>
          <w:color w:val="000000"/>
          <w:szCs w:val="32"/>
        </w:rPr>
      </w:pPr>
      <w:r>
        <w:rPr>
          <w:rFonts w:hint="eastAsia" w:ascii="仿宋" w:hAnsi="仿宋" w:eastAsia="仿宋"/>
          <w:color w:val="000000"/>
          <w:szCs w:val="32"/>
        </w:rPr>
        <w:t>纳入通榆县看守所202</w:t>
      </w:r>
      <w:r>
        <w:rPr>
          <w:rFonts w:hint="eastAsia" w:ascii="仿宋" w:hAnsi="仿宋" w:eastAsia="仿宋"/>
          <w:color w:val="000000"/>
          <w:szCs w:val="32"/>
          <w:lang w:eastAsia="zh-CN"/>
        </w:rPr>
        <w:t>3</w:t>
      </w:r>
      <w:r>
        <w:rPr>
          <w:rFonts w:ascii="仿宋" w:hAnsi="仿宋" w:eastAsia="仿宋"/>
          <w:color w:val="000000"/>
          <w:szCs w:val="32"/>
        </w:rPr>
        <w:t>年</w:t>
      </w:r>
      <w:r>
        <w:rPr>
          <w:rFonts w:hint="eastAsia" w:ascii="仿宋" w:hAnsi="仿宋" w:eastAsia="仿宋"/>
          <w:color w:val="000000"/>
          <w:szCs w:val="32"/>
        </w:rPr>
        <w:t>度部门决算编制范围的单位包括：</w:t>
      </w:r>
    </w:p>
    <w:p>
      <w:pPr>
        <w:spacing w:line="600" w:lineRule="atLeast"/>
        <w:ind w:firstLine="640" w:firstLineChars="200"/>
        <w:rPr>
          <w:rFonts w:hint="eastAsia" w:ascii="仿宋" w:hAnsi="仿宋" w:eastAsia="仿宋"/>
          <w:color w:val="000000"/>
          <w:szCs w:val="32"/>
        </w:rPr>
      </w:pPr>
      <w:r>
        <w:rPr>
          <w:rFonts w:hint="eastAsia" w:ascii="仿宋" w:hAnsi="仿宋" w:eastAsia="仿宋"/>
          <w:color w:val="000000"/>
          <w:szCs w:val="32"/>
        </w:rPr>
        <w:t xml:space="preserve">通榆县看守所     </w:t>
      </w:r>
    </w:p>
    <w:p>
      <w:pPr>
        <w:ind w:firstLine="640" w:firstLineChars="200"/>
        <w:rPr>
          <w:rFonts w:hint="eastAsia" w:ascii="仿宋_GB2312" w:hAnsi="仿宋_GB2312" w:eastAsia="仿宋_GB2312" w:cs="仿宋_GB2312"/>
          <w:color w:val="000000"/>
          <w:sz w:val="21"/>
          <w:szCs w:val="21"/>
        </w:rPr>
      </w:pPr>
      <w:r>
        <w:rPr>
          <w:rFonts w:hint="eastAsia" w:ascii="仿宋" w:hAnsi="仿宋" w:eastAsia="仿宋"/>
          <w:color w:val="000000"/>
          <w:szCs w:val="32"/>
        </w:rPr>
        <w:t>实有人员</w:t>
      </w:r>
      <w:r>
        <w:rPr>
          <w:rFonts w:hint="eastAsia" w:ascii="仿宋" w:hAnsi="仿宋" w:eastAsia="仿宋"/>
          <w:color w:val="000000"/>
          <w:szCs w:val="32"/>
          <w:lang w:val="en-US" w:eastAsia="zh-CN"/>
        </w:rPr>
        <w:t>40</w:t>
      </w:r>
      <w:r>
        <w:rPr>
          <w:rFonts w:hint="eastAsia" w:ascii="仿宋" w:hAnsi="仿宋" w:eastAsia="仿宋"/>
          <w:color w:val="000000"/>
          <w:szCs w:val="32"/>
        </w:rPr>
        <w:t>，其中：在职人员</w:t>
      </w:r>
      <w:r>
        <w:rPr>
          <w:rFonts w:hint="eastAsia" w:ascii="仿宋" w:hAnsi="仿宋" w:eastAsia="仿宋"/>
          <w:color w:val="000000"/>
          <w:szCs w:val="32"/>
          <w:lang w:eastAsia="zh-CN"/>
        </w:rPr>
        <w:t>4</w:t>
      </w:r>
      <w:r>
        <w:rPr>
          <w:rFonts w:hint="eastAsia" w:ascii="仿宋" w:hAnsi="仿宋" w:eastAsia="仿宋"/>
          <w:color w:val="000000"/>
          <w:szCs w:val="32"/>
          <w:lang w:val="en-US" w:eastAsia="zh-CN"/>
        </w:rPr>
        <w:t>0</w:t>
      </w:r>
      <w:r>
        <w:rPr>
          <w:rFonts w:hint="eastAsia" w:ascii="仿宋" w:hAnsi="仿宋" w:eastAsia="仿宋"/>
          <w:color w:val="000000"/>
          <w:szCs w:val="32"/>
        </w:rPr>
        <w:t>人。退休人员</w:t>
      </w:r>
      <w:r>
        <w:rPr>
          <w:rFonts w:hint="eastAsia" w:ascii="仿宋" w:hAnsi="仿宋" w:eastAsia="仿宋"/>
          <w:color w:val="000000"/>
          <w:szCs w:val="32"/>
          <w:lang w:val="en-US" w:eastAsia="zh-CN"/>
        </w:rPr>
        <w:t>34</w:t>
      </w:r>
      <w:r>
        <w:rPr>
          <w:rFonts w:hint="eastAsia" w:ascii="仿宋" w:hAnsi="仿宋" w:eastAsia="仿宋"/>
          <w:color w:val="000000"/>
          <w:szCs w:val="32"/>
        </w:rPr>
        <w:t>人</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通榆县看守所</w:t>
      </w:r>
      <w:r>
        <w:rPr>
          <w:rFonts w:hint="eastAsia" w:ascii="仿宋_GB2312" w:hAnsi="仿宋_GB2312" w:eastAsia="仿宋_GB2312" w:cs="仿宋_GB2312"/>
        </w:rPr>
        <w:t>内设</w:t>
      </w:r>
      <w:r>
        <w:rPr>
          <w:rFonts w:hint="eastAsia" w:ascii="仿宋_GB2312" w:hAnsi="仿宋_GB2312" w:eastAsia="仿宋_GB2312" w:cs="仿宋_GB2312"/>
          <w:u w:val="single"/>
          <w:lang w:eastAsia="zh-CN"/>
        </w:rPr>
        <w:t>1</w:t>
      </w:r>
      <w:r>
        <w:rPr>
          <w:rFonts w:hint="eastAsia" w:ascii="仿宋_GB2312" w:hAnsi="仿宋_GB2312" w:eastAsia="仿宋_GB2312" w:cs="仿宋_GB2312"/>
        </w:rPr>
        <w:t>个机构，为</w:t>
      </w:r>
      <w:r>
        <w:rPr>
          <w:rFonts w:hint="eastAsia" w:ascii="仿宋_GB2312" w:hAnsi="仿宋_GB2312" w:eastAsia="仿宋_GB2312" w:cs="仿宋_GB2312"/>
          <w:lang w:eastAsia="zh-CN"/>
        </w:rPr>
        <w:t>通榆县看守所本级</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rPr>
          <w:rFonts w:eastAsia="黑体"/>
          <w:sz w:val="36"/>
          <w:szCs w:val="36"/>
        </w:rPr>
      </w:pPr>
      <w:r>
        <w:rPr>
          <w:rFonts w:eastAsia="黑体"/>
          <w:sz w:val="36"/>
          <w:szCs w:val="36"/>
        </w:rPr>
        <w:br w:type="page"/>
      </w: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1103.29</w:t>
            </w:r>
          </w:p>
        </w:tc>
        <w:tc>
          <w:tcPr>
            <w:tcW w:w="1073" w:type="dxa"/>
            <w:tcBorders>
              <w:top w:val="nil"/>
              <w:left w:val="nil"/>
              <w:bottom w:val="single" w:color="auto" w:sz="4" w:space="0"/>
              <w:right w:val="single" w:color="auto" w:sz="4" w:space="0"/>
            </w:tcBorders>
            <w:noWrap w:val="0"/>
            <w:vAlign w:val="center"/>
          </w:tcPr>
          <w:p>
            <w:pPr>
              <w:widowControl/>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1103.29</w:t>
            </w:r>
          </w:p>
        </w:tc>
        <w:tc>
          <w:tcPr>
            <w:tcW w:w="1073" w:type="dxa"/>
            <w:tcBorders>
              <w:top w:val="nil"/>
              <w:left w:val="nil"/>
              <w:bottom w:val="single" w:color="auto" w:sz="4" w:space="0"/>
              <w:right w:val="single" w:color="auto" w:sz="4" w:space="0"/>
            </w:tcBorders>
            <w:noWrap w:val="0"/>
            <w:vAlign w:val="center"/>
          </w:tcPr>
          <w:p>
            <w:pPr>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933.32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51.58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33.01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both"/>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1103.29</w:t>
            </w:r>
          </w:p>
        </w:tc>
        <w:tc>
          <w:tcPr>
            <w:tcW w:w="1073" w:type="dxa"/>
            <w:tcBorders>
              <w:top w:val="nil"/>
              <w:left w:val="nil"/>
              <w:bottom w:val="single" w:color="auto" w:sz="4" w:space="0"/>
              <w:right w:val="single" w:color="auto" w:sz="4" w:space="0"/>
            </w:tcBorders>
            <w:noWrap w:val="0"/>
            <w:vAlign w:val="center"/>
          </w:tcPr>
          <w:p>
            <w:pPr>
              <w:widowControl/>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1,103.29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both"/>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1103.29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1,103.29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3"/>
                <w:szCs w:val="13"/>
                <w:u w:val="none"/>
                <w:lang w:val="en-US" w:eastAsia="zh-CN" w:bidi="ar-SA"/>
              </w:rPr>
            </w:pPr>
            <w:r>
              <w:rPr>
                <w:rFonts w:hint="default" w:ascii="Arial" w:hAnsi="Arial" w:eastAsia="宋体" w:cs="Arial"/>
                <w:i w:val="0"/>
                <w:iCs w:val="0"/>
                <w:color w:val="000000"/>
                <w:kern w:val="0"/>
                <w:sz w:val="13"/>
                <w:szCs w:val="13"/>
                <w:u w:val="none"/>
                <w:lang w:val="en-US" w:eastAsia="zh-CN" w:bidi="ar"/>
              </w:rPr>
              <w:t>1,103.29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3"/>
                <w:szCs w:val="13"/>
              </w:rPr>
            </w:pPr>
            <w:r>
              <w:rPr>
                <w:rFonts w:hint="default" w:ascii="Arial" w:hAnsi="Arial" w:eastAsia="宋体" w:cs="Arial"/>
                <w:i w:val="0"/>
                <w:iCs w:val="0"/>
                <w:color w:val="000000"/>
                <w:kern w:val="0"/>
                <w:sz w:val="13"/>
                <w:szCs w:val="13"/>
                <w:u w:val="none"/>
                <w:lang w:val="en-US" w:eastAsia="zh-CN" w:bidi="ar"/>
              </w:rPr>
              <w:t>1,103.29</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3"/>
                <w:szCs w:val="13"/>
                <w:u w:val="none"/>
                <w:lang w:val="en-US" w:eastAsia="zh-CN" w:bidi="ar-SA"/>
              </w:rPr>
            </w:pPr>
            <w:r>
              <w:rPr>
                <w:rFonts w:hint="default" w:ascii="Arial" w:hAnsi="Arial" w:eastAsia="宋体" w:cs="Arial"/>
                <w:i w:val="0"/>
                <w:iCs w:val="0"/>
                <w:color w:val="000000"/>
                <w:kern w:val="0"/>
                <w:sz w:val="13"/>
                <w:szCs w:val="13"/>
                <w:u w:val="none"/>
                <w:lang w:val="en-US" w:eastAsia="zh-CN" w:bidi="ar"/>
              </w:rPr>
              <w:t>1,103.29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13"/>
                <w:szCs w:val="13"/>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13"/>
                <w:szCs w:val="13"/>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13"/>
                <w:szCs w:val="13"/>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3"/>
                <w:szCs w:val="13"/>
                <w:u w:val="none"/>
                <w:lang w:val="en-US" w:eastAsia="zh-CN" w:bidi="ar-SA"/>
              </w:rPr>
            </w:pPr>
            <w:r>
              <w:rPr>
                <w:rFonts w:hint="default" w:ascii="Arial" w:hAnsi="Arial" w:eastAsia="宋体" w:cs="Arial"/>
                <w:i w:val="0"/>
                <w:iCs w:val="0"/>
                <w:color w:val="000000"/>
                <w:kern w:val="0"/>
                <w:sz w:val="13"/>
                <w:szCs w:val="13"/>
                <w:u w:val="none"/>
                <w:lang w:val="en-US" w:eastAsia="zh-CN" w:bidi="ar"/>
              </w:rPr>
              <w:t>1,103.29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3"/>
                <w:szCs w:val="13"/>
                <w:u w:val="none"/>
                <w:lang w:val="en-US" w:eastAsia="zh-CN" w:bidi="ar-SA"/>
              </w:rPr>
            </w:pPr>
            <w:r>
              <w:rPr>
                <w:rFonts w:hint="default" w:ascii="Arial" w:hAnsi="Arial" w:eastAsia="宋体" w:cs="Arial"/>
                <w:i w:val="0"/>
                <w:iCs w:val="0"/>
                <w:color w:val="000000"/>
                <w:kern w:val="0"/>
                <w:sz w:val="13"/>
                <w:szCs w:val="13"/>
                <w:u w:val="none"/>
                <w:lang w:val="en-US" w:eastAsia="zh-CN" w:bidi="ar"/>
              </w:rPr>
              <w:t>1,103.29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13"/>
                <w:szCs w:val="13"/>
                <w:shd w:val="clear" w:color="auto" w:fill="FFFFFF"/>
              </w:rPr>
            </w:pPr>
            <w:r>
              <w:rPr>
                <w:rFonts w:hint="default" w:ascii="Arial" w:hAnsi="Arial" w:eastAsia="宋体" w:cs="Arial"/>
                <w:i w:val="0"/>
                <w:iCs w:val="0"/>
                <w:color w:val="000000"/>
                <w:kern w:val="0"/>
                <w:sz w:val="13"/>
                <w:szCs w:val="13"/>
                <w:u w:val="none"/>
                <w:lang w:val="en-US" w:eastAsia="zh-CN" w:bidi="ar"/>
              </w:rPr>
              <w:t>1,103.29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公共安全支出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公安</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31.72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31.72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1,103.29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801.99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1495" w:tblpY="2418"/>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16"/>
                <w:szCs w:val="16"/>
              </w:rPr>
            </w:pPr>
            <w:r>
              <w:rPr>
                <w:rFonts w:hint="default" w:ascii="Arial" w:hAnsi="Arial" w:eastAsia="宋体" w:cs="Arial"/>
                <w:i w:val="0"/>
                <w:iCs w:val="0"/>
                <w:color w:val="000000"/>
                <w:kern w:val="0"/>
                <w:sz w:val="16"/>
                <w:szCs w:val="16"/>
                <w:u w:val="none"/>
                <w:lang w:val="en-US" w:eastAsia="zh-CN" w:bidi="ar"/>
              </w:rPr>
              <w:t>1,103.29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16"/>
                <w:szCs w:val="16"/>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16"/>
                <w:szCs w:val="16"/>
              </w:rPr>
            </w:pPr>
            <w:r>
              <w:rPr>
                <w:rFonts w:hint="default" w:ascii="Arial" w:hAnsi="Arial" w:eastAsia="宋体" w:cs="Arial"/>
                <w:i w:val="0"/>
                <w:iCs w:val="0"/>
                <w:color w:val="000000"/>
                <w:kern w:val="0"/>
                <w:sz w:val="16"/>
                <w:szCs w:val="16"/>
                <w:u w:val="none"/>
                <w:lang w:val="en-US" w:eastAsia="zh-CN" w:bidi="ar"/>
              </w:rPr>
              <w:t>1,103.29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933.32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r>
              <w:rPr>
                <w:rFonts w:eastAsia="宋体"/>
                <w:kern w:val="0"/>
                <w:sz w:val="16"/>
                <w:szCs w:val="16"/>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r>
              <w:rPr>
                <w:rFonts w:eastAsia="宋体"/>
                <w:kern w:val="0"/>
                <w:sz w:val="16"/>
                <w:szCs w:val="16"/>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85.38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r>
              <w:rPr>
                <w:rFonts w:eastAsia="宋体"/>
                <w:kern w:val="0"/>
                <w:sz w:val="16"/>
                <w:szCs w:val="16"/>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33.01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r>
              <w:rPr>
                <w:rFonts w:eastAsia="宋体"/>
                <w:kern w:val="0"/>
                <w:sz w:val="16"/>
                <w:szCs w:val="16"/>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51.58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16"/>
                <w:szCs w:val="16"/>
              </w:rPr>
            </w:pPr>
            <w:r>
              <w:rPr>
                <w:rFonts w:eastAsia="宋体"/>
                <w:kern w:val="0"/>
                <w:sz w:val="16"/>
                <w:szCs w:val="16"/>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r>
              <w:rPr>
                <w:rFonts w:hint="default" w:ascii="Arial" w:hAnsi="Arial" w:eastAsia="宋体" w:cs="Arial"/>
                <w:i w:val="0"/>
                <w:iCs w:val="0"/>
                <w:color w:val="000000"/>
                <w:kern w:val="0"/>
                <w:sz w:val="16"/>
                <w:szCs w:val="16"/>
                <w:u w:val="none"/>
                <w:lang w:val="en-US" w:eastAsia="zh-CN" w:bidi="ar"/>
              </w:rPr>
              <w:t>1,103.29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16"/>
                <w:szCs w:val="16"/>
                <w:u w:val="none"/>
                <w:lang w:val="en-US" w:eastAsia="zh-CN" w:bidi="ar"/>
              </w:rPr>
              <w:t>1,103.29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160" w:firstLineChars="100"/>
              <w:jc w:val="center"/>
              <w:rPr>
                <w:rFonts w:eastAsia="宋体"/>
                <w:sz w:val="16"/>
                <w:szCs w:val="16"/>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16"/>
                <w:szCs w:val="16"/>
              </w:rPr>
            </w:pPr>
            <w:r>
              <w:rPr>
                <w:rFonts w:hint="default" w:ascii="Arial" w:hAnsi="Arial" w:eastAsia="宋体" w:cs="Arial"/>
                <w:i w:val="0"/>
                <w:iCs w:val="0"/>
                <w:color w:val="000000"/>
                <w:kern w:val="0"/>
                <w:sz w:val="16"/>
                <w:szCs w:val="16"/>
                <w:u w:val="none"/>
                <w:lang w:val="en-US" w:eastAsia="zh-CN" w:bidi="ar"/>
              </w:rPr>
              <w:t>1,103.29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16"/>
                <w:szCs w:val="16"/>
                <w:u w:val="none"/>
                <w:lang w:val="en-US" w:eastAsia="zh-CN" w:bidi="ar"/>
              </w:rPr>
              <w:t>1,103.29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rPr>
          <w:trHeight w:val="873" w:hRule="atLeast"/>
          <w:jc w:val="center"/>
        </w:trPr>
        <w:tc>
          <w:tcPr>
            <w:tcW w:w="10123" w:type="dxa"/>
            <w:tcBorders>
              <w:top w:val="nil"/>
              <w:left w:val="nil"/>
              <w:bottom w:val="nil"/>
              <w:right w:val="nil"/>
            </w:tcBorders>
            <w:noWrap w:val="0"/>
            <w:vAlign w:val="bottom"/>
          </w:tcPr>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公共安全支出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1,103.29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676.35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125.64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公安</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506.38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125.64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506.38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125.64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506.38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125.64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301.30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31.72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31.72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31.72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51.58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655.12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655.12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198.79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198.79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205.71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205.71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76.07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76.07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68.77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68.77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16.61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16.61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31.72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31.72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51.58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51.58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4.58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125.64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125.64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15.00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23.00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23.00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15.00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29.64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29.64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21.23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21.23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21.23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21.23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801.99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676.35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125.64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15.00</w:t>
            </w:r>
          </w:p>
        </w:tc>
        <w:tc>
          <w:tcPr>
            <w:tcW w:w="137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15.00</w:t>
            </w:r>
          </w:p>
        </w:tc>
        <w:tc>
          <w:tcPr>
            <w:tcW w:w="13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15.00</w:t>
            </w:r>
          </w:p>
        </w:tc>
        <w:tc>
          <w:tcPr>
            <w:tcW w:w="137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15.00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74</w:t>
            </w:r>
            <w:r>
              <w:rPr>
                <w:color w:val="000000"/>
                <w:kern w:val="0"/>
                <w:sz w:val="28"/>
                <w:szCs w:val="28"/>
              </w:rPr>
              <w:t>人，其中：在职人员</w:t>
            </w:r>
            <w:r>
              <w:rPr>
                <w:rFonts w:hint="eastAsia" w:eastAsia="宋体"/>
                <w:color w:val="000000"/>
                <w:kern w:val="0"/>
                <w:sz w:val="28"/>
                <w:szCs w:val="28"/>
                <w:u w:val="single"/>
                <w:lang w:val="en-US" w:eastAsia="zh-CN"/>
              </w:rPr>
              <w:t>40</w:t>
            </w:r>
            <w:r>
              <w:rPr>
                <w:color w:val="000000"/>
                <w:kern w:val="0"/>
                <w:sz w:val="28"/>
                <w:szCs w:val="28"/>
              </w:rPr>
              <w:t>人，离退休人员</w:t>
            </w:r>
            <w:r>
              <w:rPr>
                <w:rFonts w:hint="eastAsia" w:eastAsia="宋体"/>
                <w:color w:val="000000"/>
                <w:kern w:val="0"/>
                <w:sz w:val="28"/>
                <w:szCs w:val="28"/>
                <w:u w:val="single"/>
                <w:lang w:val="en-US" w:eastAsia="zh-CN"/>
              </w:rPr>
              <w:t>34</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166"/>
        <w:gridCol w:w="1214"/>
        <w:gridCol w:w="948"/>
        <w:gridCol w:w="546"/>
        <w:gridCol w:w="606"/>
        <w:gridCol w:w="607"/>
        <w:gridCol w:w="574"/>
        <w:gridCol w:w="618"/>
        <w:gridCol w:w="582"/>
        <w:gridCol w:w="658"/>
        <w:gridCol w:w="485"/>
        <w:gridCol w:w="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9320"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3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6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4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4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787"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82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83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38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94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4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787"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85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85"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8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3" w:hRule="atLeast"/>
          <w:jc w:val="center"/>
        </w:trPr>
        <w:tc>
          <w:tcPr>
            <w:tcW w:w="833" w:type="dxa"/>
            <w:vMerge w:val="continue"/>
            <w:noWrap w:val="0"/>
            <w:vAlign w:val="center"/>
          </w:tcPr>
          <w:p>
            <w:pPr>
              <w:autoSpaceDN w:val="0"/>
              <w:jc w:val="center"/>
              <w:textAlignment w:val="center"/>
              <w:rPr>
                <w:rFonts w:ascii="Calibri" w:hAnsi="Calibri" w:eastAsia="华文细黑"/>
                <w:color w:val="000000"/>
                <w:sz w:val="20"/>
                <w:szCs w:val="22"/>
              </w:rPr>
            </w:pPr>
          </w:p>
        </w:tc>
        <w:tc>
          <w:tcPr>
            <w:tcW w:w="116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21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948" w:type="dxa"/>
            <w:vMerge w:val="continue"/>
            <w:noWrap w:val="0"/>
            <w:vAlign w:val="center"/>
          </w:tcPr>
          <w:p>
            <w:pPr>
              <w:autoSpaceDN w:val="0"/>
              <w:jc w:val="center"/>
              <w:textAlignment w:val="center"/>
              <w:rPr>
                <w:rFonts w:ascii="Calibri" w:hAnsi="Calibri" w:eastAsia="华文细黑"/>
                <w:color w:val="000000"/>
                <w:sz w:val="20"/>
                <w:szCs w:val="22"/>
              </w:rPr>
            </w:pPr>
          </w:p>
        </w:tc>
        <w:tc>
          <w:tcPr>
            <w:tcW w:w="546" w:type="dxa"/>
            <w:vMerge w:val="continue"/>
            <w:noWrap w:val="0"/>
            <w:vAlign w:val="center"/>
          </w:tcPr>
          <w:p>
            <w:pPr>
              <w:autoSpaceDN w:val="0"/>
              <w:jc w:val="center"/>
              <w:textAlignment w:val="center"/>
              <w:rPr>
                <w:rFonts w:ascii="Calibri" w:hAnsi="Calibri" w:eastAsia="华文细黑"/>
                <w:color w:val="000000"/>
                <w:sz w:val="20"/>
                <w:szCs w:val="22"/>
              </w:rPr>
            </w:pPr>
          </w:p>
        </w:tc>
        <w:tc>
          <w:tcPr>
            <w:tcW w:w="60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6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7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61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8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5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85"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83"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3"/>
                <w:szCs w:val="13"/>
                <w:u w:val="none"/>
                <w:lang w:val="en-US" w:eastAsia="zh-CN" w:bidi="ar-SA"/>
              </w:rPr>
            </w:pPr>
            <w:r>
              <w:rPr>
                <w:rFonts w:hint="default" w:ascii="Arial" w:hAnsi="Arial" w:eastAsia="宋体" w:cs="Arial"/>
                <w:i w:val="0"/>
                <w:iCs w:val="0"/>
                <w:color w:val="000000"/>
                <w:kern w:val="0"/>
                <w:sz w:val="13"/>
                <w:szCs w:val="13"/>
                <w:u w:val="none"/>
                <w:lang w:val="en-US" w:eastAsia="zh-CN" w:bidi="ar"/>
              </w:rPr>
              <w:t>专项业务支出</w:t>
            </w:r>
          </w:p>
        </w:tc>
        <w:tc>
          <w:tcPr>
            <w:tcW w:w="1166" w:type="dxa"/>
            <w:noWrap w:val="0"/>
            <w:vAlign w:val="center"/>
          </w:tcPr>
          <w:p>
            <w:pPr>
              <w:jc w:val="left"/>
              <w:rPr>
                <w:rFonts w:ascii="Calibri" w:hAnsi="Calibri" w:eastAsia="楷体"/>
                <w:kern w:val="0"/>
                <w:sz w:val="11"/>
                <w:szCs w:val="11"/>
              </w:rPr>
            </w:pPr>
          </w:p>
        </w:tc>
        <w:tc>
          <w:tcPr>
            <w:tcW w:w="1214" w:type="dxa"/>
            <w:noWrap w:val="0"/>
            <w:vAlign w:val="center"/>
          </w:tcPr>
          <w:p>
            <w:pPr>
              <w:jc w:val="left"/>
              <w:rPr>
                <w:rFonts w:ascii="Calibri" w:hAnsi="Calibri" w:eastAsia="楷体"/>
                <w:kern w:val="0"/>
                <w:sz w:val="11"/>
                <w:szCs w:val="11"/>
              </w:rPr>
            </w:pPr>
          </w:p>
        </w:tc>
        <w:tc>
          <w:tcPr>
            <w:tcW w:w="948" w:type="dxa"/>
            <w:noWrap w:val="0"/>
            <w:vAlign w:val="center"/>
          </w:tcPr>
          <w:p>
            <w:pPr>
              <w:spacing w:line="700" w:lineRule="exact"/>
              <w:jc w:val="center"/>
              <w:rPr>
                <w:rFonts w:ascii="Calibri" w:hAnsi="Calibri" w:eastAsia="楷体"/>
                <w:kern w:val="0"/>
                <w:szCs w:val="32"/>
              </w:rPr>
            </w:pPr>
          </w:p>
        </w:tc>
        <w:tc>
          <w:tcPr>
            <w:tcW w:w="546" w:type="dxa"/>
            <w:noWrap w:val="0"/>
            <w:vAlign w:val="center"/>
          </w:tcPr>
          <w:p>
            <w:pPr>
              <w:spacing w:line="700" w:lineRule="exact"/>
              <w:jc w:val="center"/>
              <w:rPr>
                <w:rFonts w:ascii="Calibri" w:hAnsi="Calibri" w:eastAsia="楷体"/>
                <w:kern w:val="0"/>
                <w:szCs w:val="32"/>
              </w:rPr>
            </w:pPr>
          </w:p>
        </w:tc>
        <w:tc>
          <w:tcPr>
            <w:tcW w:w="606" w:type="dxa"/>
            <w:noWrap w:val="0"/>
            <w:vAlign w:val="center"/>
          </w:tcPr>
          <w:p>
            <w:pPr>
              <w:spacing w:line="700" w:lineRule="exact"/>
              <w:jc w:val="center"/>
              <w:rPr>
                <w:rFonts w:ascii="Calibri" w:hAnsi="Calibri" w:eastAsia="楷体"/>
                <w:kern w:val="0"/>
                <w:szCs w:val="32"/>
              </w:rPr>
            </w:pPr>
          </w:p>
        </w:tc>
        <w:tc>
          <w:tcPr>
            <w:tcW w:w="607" w:type="dxa"/>
            <w:noWrap w:val="0"/>
            <w:vAlign w:val="center"/>
          </w:tcPr>
          <w:p>
            <w:pPr>
              <w:spacing w:line="700" w:lineRule="exact"/>
              <w:jc w:val="center"/>
              <w:rPr>
                <w:rFonts w:ascii="Calibri" w:hAnsi="Calibri" w:eastAsia="楷体"/>
                <w:kern w:val="0"/>
                <w:szCs w:val="32"/>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keepNext w:val="0"/>
              <w:keepLines w:val="0"/>
              <w:widowControl/>
              <w:suppressLineNumbers w:val="0"/>
              <w:jc w:val="lef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通榆县公安局2024年警察节假日之外加班补助</w:t>
            </w:r>
          </w:p>
        </w:tc>
        <w:tc>
          <w:tcPr>
            <w:tcW w:w="1214" w:type="dxa"/>
            <w:noWrap w:val="0"/>
            <w:vAlign w:val="center"/>
          </w:tcPr>
          <w:p>
            <w:pPr>
              <w:jc w:val="left"/>
              <w:rPr>
                <w:rFonts w:ascii="Calibri" w:hAnsi="Calibri" w:eastAsia="楷体"/>
                <w:kern w:val="0"/>
                <w:sz w:val="11"/>
                <w:szCs w:val="11"/>
              </w:rPr>
            </w:pPr>
          </w:p>
        </w:tc>
        <w:tc>
          <w:tcPr>
            <w:tcW w:w="948" w:type="dxa"/>
            <w:noWrap w:val="0"/>
            <w:vAlign w:val="center"/>
          </w:tcPr>
          <w:p>
            <w:pPr>
              <w:spacing w:line="700" w:lineRule="exact"/>
              <w:jc w:val="center"/>
              <w:rPr>
                <w:rFonts w:ascii="Calibri" w:hAnsi="Calibri" w:eastAsia="楷体"/>
                <w:kern w:val="0"/>
                <w:szCs w:val="32"/>
              </w:rPr>
            </w:pPr>
          </w:p>
        </w:tc>
        <w:tc>
          <w:tcPr>
            <w:tcW w:w="54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40.00</w:t>
            </w:r>
          </w:p>
        </w:tc>
        <w:tc>
          <w:tcPr>
            <w:tcW w:w="60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40.00</w:t>
            </w:r>
          </w:p>
        </w:tc>
        <w:tc>
          <w:tcPr>
            <w:tcW w:w="607" w:type="dxa"/>
            <w:noWrap w:val="0"/>
            <w:vAlign w:val="center"/>
          </w:tcPr>
          <w:p>
            <w:pPr>
              <w:keepNext w:val="0"/>
              <w:keepLines w:val="0"/>
              <w:widowControl/>
              <w:suppressLineNumbers w:val="0"/>
              <w:jc w:val="center"/>
              <w:textAlignment w:val="center"/>
              <w:rPr>
                <w:rFonts w:ascii="Calibri" w:hAnsi="Calibri" w:eastAsia="楷体"/>
                <w:kern w:val="0"/>
                <w:sz w:val="13"/>
                <w:szCs w:val="13"/>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jc w:val="left"/>
              <w:rPr>
                <w:rFonts w:ascii="Calibri" w:hAnsi="Calibri" w:eastAsia="楷体"/>
                <w:kern w:val="0"/>
                <w:sz w:val="11"/>
                <w:szCs w:val="11"/>
              </w:rPr>
            </w:pPr>
          </w:p>
        </w:tc>
        <w:tc>
          <w:tcPr>
            <w:tcW w:w="1214" w:type="dxa"/>
            <w:noWrap w:val="0"/>
            <w:vAlign w:val="center"/>
          </w:tcPr>
          <w:p>
            <w:pPr>
              <w:keepNext w:val="0"/>
              <w:keepLines w:val="0"/>
              <w:widowControl/>
              <w:suppressLineNumbers w:val="0"/>
              <w:jc w:val="lef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通榆县看守所2024年警察节假日之外加班补助</w:t>
            </w:r>
          </w:p>
        </w:tc>
        <w:tc>
          <w:tcPr>
            <w:tcW w:w="948" w:type="dxa"/>
            <w:noWrap w:val="0"/>
            <w:vAlign w:val="center"/>
          </w:tcPr>
          <w:p>
            <w:pPr>
              <w:keepNext w:val="0"/>
              <w:keepLines w:val="0"/>
              <w:widowControl/>
              <w:suppressLineNumbers w:val="0"/>
              <w:jc w:val="left"/>
              <w:textAlignment w:val="center"/>
              <w:rPr>
                <w:rFonts w:ascii="Calibri" w:hAnsi="Calibri" w:eastAsia="楷体"/>
                <w:kern w:val="0"/>
                <w:sz w:val="15"/>
                <w:szCs w:val="15"/>
              </w:rPr>
            </w:pPr>
            <w:r>
              <w:rPr>
                <w:rFonts w:hint="default" w:ascii="Arial" w:hAnsi="Arial" w:eastAsia="宋体" w:cs="Arial"/>
                <w:i w:val="0"/>
                <w:iCs w:val="0"/>
                <w:color w:val="000000"/>
                <w:kern w:val="0"/>
                <w:sz w:val="15"/>
                <w:szCs w:val="15"/>
                <w:u w:val="none"/>
                <w:lang w:val="en-US" w:eastAsia="zh-CN" w:bidi="ar"/>
              </w:rPr>
              <w:t>通榆县看守所</w:t>
            </w:r>
          </w:p>
        </w:tc>
        <w:tc>
          <w:tcPr>
            <w:tcW w:w="54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40.00</w:t>
            </w:r>
          </w:p>
        </w:tc>
        <w:tc>
          <w:tcPr>
            <w:tcW w:w="60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40.00</w:t>
            </w:r>
          </w:p>
        </w:tc>
        <w:tc>
          <w:tcPr>
            <w:tcW w:w="607" w:type="dxa"/>
            <w:noWrap w:val="0"/>
            <w:vAlign w:val="center"/>
          </w:tcPr>
          <w:p>
            <w:pPr>
              <w:keepNext w:val="0"/>
              <w:keepLines w:val="0"/>
              <w:widowControl/>
              <w:suppressLineNumbers w:val="0"/>
              <w:jc w:val="center"/>
              <w:textAlignment w:val="center"/>
              <w:rPr>
                <w:rFonts w:ascii="Calibri" w:hAnsi="Calibri" w:eastAsia="楷体"/>
                <w:kern w:val="0"/>
                <w:sz w:val="13"/>
                <w:szCs w:val="13"/>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keepNext w:val="0"/>
              <w:keepLines w:val="0"/>
              <w:widowControl/>
              <w:suppressLineNumbers w:val="0"/>
              <w:jc w:val="lef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通榆县公安局2024年驻村工作队生活补贴</w:t>
            </w:r>
          </w:p>
        </w:tc>
        <w:tc>
          <w:tcPr>
            <w:tcW w:w="1214" w:type="dxa"/>
            <w:noWrap w:val="0"/>
            <w:vAlign w:val="center"/>
          </w:tcPr>
          <w:p>
            <w:pPr>
              <w:jc w:val="left"/>
              <w:rPr>
                <w:rFonts w:ascii="Calibri" w:hAnsi="Calibri" w:eastAsia="楷体"/>
                <w:kern w:val="0"/>
                <w:sz w:val="11"/>
                <w:szCs w:val="11"/>
              </w:rPr>
            </w:pPr>
          </w:p>
        </w:tc>
        <w:tc>
          <w:tcPr>
            <w:tcW w:w="948" w:type="dxa"/>
            <w:noWrap w:val="0"/>
            <w:vAlign w:val="center"/>
          </w:tcPr>
          <w:p>
            <w:pPr>
              <w:jc w:val="left"/>
              <w:rPr>
                <w:rFonts w:ascii="Calibri" w:hAnsi="Calibri" w:eastAsia="楷体"/>
                <w:kern w:val="0"/>
                <w:sz w:val="15"/>
                <w:szCs w:val="15"/>
              </w:rPr>
            </w:pPr>
          </w:p>
        </w:tc>
        <w:tc>
          <w:tcPr>
            <w:tcW w:w="54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3.60</w:t>
            </w:r>
          </w:p>
        </w:tc>
        <w:tc>
          <w:tcPr>
            <w:tcW w:w="60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3.60</w:t>
            </w:r>
          </w:p>
        </w:tc>
        <w:tc>
          <w:tcPr>
            <w:tcW w:w="607" w:type="dxa"/>
            <w:noWrap w:val="0"/>
            <w:vAlign w:val="center"/>
          </w:tcPr>
          <w:p>
            <w:pPr>
              <w:keepNext w:val="0"/>
              <w:keepLines w:val="0"/>
              <w:widowControl/>
              <w:suppressLineNumbers w:val="0"/>
              <w:jc w:val="center"/>
              <w:textAlignment w:val="center"/>
              <w:rPr>
                <w:rFonts w:ascii="Calibri" w:hAnsi="Calibri" w:eastAsia="楷体"/>
                <w:kern w:val="0"/>
                <w:sz w:val="13"/>
                <w:szCs w:val="13"/>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jc w:val="left"/>
              <w:rPr>
                <w:rFonts w:ascii="Calibri" w:hAnsi="Calibri" w:eastAsia="楷体"/>
                <w:kern w:val="0"/>
                <w:sz w:val="11"/>
                <w:szCs w:val="11"/>
              </w:rPr>
            </w:pPr>
          </w:p>
        </w:tc>
        <w:tc>
          <w:tcPr>
            <w:tcW w:w="1214" w:type="dxa"/>
            <w:noWrap w:val="0"/>
            <w:vAlign w:val="center"/>
          </w:tcPr>
          <w:p>
            <w:pPr>
              <w:keepNext w:val="0"/>
              <w:keepLines w:val="0"/>
              <w:widowControl/>
              <w:suppressLineNumbers w:val="0"/>
              <w:jc w:val="lef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通榆县看守所2024年驻村工作队生活补贴</w:t>
            </w:r>
          </w:p>
        </w:tc>
        <w:tc>
          <w:tcPr>
            <w:tcW w:w="948" w:type="dxa"/>
            <w:noWrap w:val="0"/>
            <w:vAlign w:val="center"/>
          </w:tcPr>
          <w:p>
            <w:pPr>
              <w:keepNext w:val="0"/>
              <w:keepLines w:val="0"/>
              <w:widowControl/>
              <w:suppressLineNumbers w:val="0"/>
              <w:jc w:val="left"/>
              <w:textAlignment w:val="center"/>
              <w:rPr>
                <w:rFonts w:ascii="Calibri" w:hAnsi="Calibri" w:eastAsia="楷体"/>
                <w:kern w:val="0"/>
                <w:sz w:val="15"/>
                <w:szCs w:val="15"/>
              </w:rPr>
            </w:pPr>
            <w:r>
              <w:rPr>
                <w:rFonts w:hint="default" w:ascii="Arial" w:hAnsi="Arial" w:eastAsia="宋体" w:cs="Arial"/>
                <w:i w:val="0"/>
                <w:iCs w:val="0"/>
                <w:color w:val="000000"/>
                <w:kern w:val="0"/>
                <w:sz w:val="15"/>
                <w:szCs w:val="15"/>
                <w:u w:val="none"/>
                <w:lang w:val="en-US" w:eastAsia="zh-CN" w:bidi="ar"/>
              </w:rPr>
              <w:t>通榆县看守所</w:t>
            </w:r>
          </w:p>
        </w:tc>
        <w:tc>
          <w:tcPr>
            <w:tcW w:w="54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3.60</w:t>
            </w:r>
          </w:p>
        </w:tc>
        <w:tc>
          <w:tcPr>
            <w:tcW w:w="60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3.60</w:t>
            </w:r>
          </w:p>
        </w:tc>
        <w:tc>
          <w:tcPr>
            <w:tcW w:w="607" w:type="dxa"/>
            <w:noWrap w:val="0"/>
            <w:vAlign w:val="center"/>
          </w:tcPr>
          <w:p>
            <w:pPr>
              <w:keepNext w:val="0"/>
              <w:keepLines w:val="0"/>
              <w:widowControl/>
              <w:suppressLineNumbers w:val="0"/>
              <w:jc w:val="center"/>
              <w:textAlignment w:val="center"/>
              <w:rPr>
                <w:rFonts w:ascii="Calibri" w:hAnsi="Calibri" w:eastAsia="楷体"/>
                <w:kern w:val="0"/>
                <w:sz w:val="13"/>
                <w:szCs w:val="13"/>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keepNext w:val="0"/>
              <w:keepLines w:val="0"/>
              <w:widowControl/>
              <w:suppressLineNumbers w:val="0"/>
              <w:jc w:val="lef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通榆县看守所2024年办公经费</w:t>
            </w:r>
          </w:p>
        </w:tc>
        <w:tc>
          <w:tcPr>
            <w:tcW w:w="1214" w:type="dxa"/>
            <w:noWrap w:val="0"/>
            <w:vAlign w:val="center"/>
          </w:tcPr>
          <w:p>
            <w:pPr>
              <w:jc w:val="left"/>
              <w:rPr>
                <w:rFonts w:ascii="Calibri" w:hAnsi="Calibri" w:eastAsia="楷体"/>
                <w:kern w:val="0"/>
                <w:sz w:val="11"/>
                <w:szCs w:val="11"/>
              </w:rPr>
            </w:pPr>
          </w:p>
        </w:tc>
        <w:tc>
          <w:tcPr>
            <w:tcW w:w="948" w:type="dxa"/>
            <w:noWrap w:val="0"/>
            <w:vAlign w:val="center"/>
          </w:tcPr>
          <w:p>
            <w:pPr>
              <w:jc w:val="left"/>
              <w:rPr>
                <w:rFonts w:ascii="Calibri" w:hAnsi="Calibri" w:eastAsia="楷体"/>
                <w:kern w:val="0"/>
                <w:sz w:val="15"/>
                <w:szCs w:val="15"/>
              </w:rPr>
            </w:pPr>
          </w:p>
        </w:tc>
        <w:tc>
          <w:tcPr>
            <w:tcW w:w="54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257.70</w:t>
            </w:r>
          </w:p>
        </w:tc>
        <w:tc>
          <w:tcPr>
            <w:tcW w:w="60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257.70</w:t>
            </w:r>
          </w:p>
        </w:tc>
        <w:tc>
          <w:tcPr>
            <w:tcW w:w="607" w:type="dxa"/>
            <w:noWrap w:val="0"/>
            <w:vAlign w:val="center"/>
          </w:tcPr>
          <w:p>
            <w:pPr>
              <w:keepNext w:val="0"/>
              <w:keepLines w:val="0"/>
              <w:widowControl/>
              <w:suppressLineNumbers w:val="0"/>
              <w:jc w:val="center"/>
              <w:textAlignment w:val="center"/>
              <w:rPr>
                <w:rFonts w:ascii="Calibri" w:hAnsi="Calibri" w:eastAsia="楷体"/>
                <w:kern w:val="0"/>
                <w:sz w:val="13"/>
                <w:szCs w:val="13"/>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jc w:val="left"/>
              <w:rPr>
                <w:rFonts w:ascii="Calibri" w:hAnsi="Calibri" w:eastAsia="楷体"/>
                <w:kern w:val="0"/>
                <w:sz w:val="11"/>
                <w:szCs w:val="11"/>
              </w:rPr>
            </w:pPr>
          </w:p>
        </w:tc>
        <w:tc>
          <w:tcPr>
            <w:tcW w:w="1214" w:type="dxa"/>
            <w:noWrap w:val="0"/>
            <w:vAlign w:val="center"/>
          </w:tcPr>
          <w:p>
            <w:pPr>
              <w:keepNext w:val="0"/>
              <w:keepLines w:val="0"/>
              <w:widowControl/>
              <w:suppressLineNumbers w:val="0"/>
              <w:jc w:val="left"/>
              <w:textAlignment w:val="center"/>
              <w:rPr>
                <w:rFonts w:ascii="Calibri" w:hAnsi="Calibri" w:eastAsia="楷体"/>
                <w:kern w:val="0"/>
                <w:sz w:val="11"/>
                <w:szCs w:val="11"/>
              </w:rPr>
            </w:pPr>
            <w:r>
              <w:rPr>
                <w:rFonts w:hint="default" w:ascii="Arial" w:hAnsi="Arial" w:eastAsia="宋体" w:cs="Arial"/>
                <w:i w:val="0"/>
                <w:iCs w:val="0"/>
                <w:color w:val="000000"/>
                <w:kern w:val="0"/>
                <w:sz w:val="11"/>
                <w:szCs w:val="11"/>
                <w:u w:val="none"/>
                <w:lang w:val="en-US" w:eastAsia="zh-CN" w:bidi="ar"/>
              </w:rPr>
              <w:t>通榆县看守所2024年办公费</w:t>
            </w:r>
          </w:p>
        </w:tc>
        <w:tc>
          <w:tcPr>
            <w:tcW w:w="948" w:type="dxa"/>
            <w:noWrap w:val="0"/>
            <w:vAlign w:val="center"/>
          </w:tcPr>
          <w:p>
            <w:pPr>
              <w:keepNext w:val="0"/>
              <w:keepLines w:val="0"/>
              <w:widowControl/>
              <w:suppressLineNumbers w:val="0"/>
              <w:jc w:val="left"/>
              <w:textAlignment w:val="center"/>
              <w:rPr>
                <w:rFonts w:ascii="Calibri" w:hAnsi="Calibri" w:eastAsia="楷体"/>
                <w:kern w:val="0"/>
                <w:sz w:val="15"/>
                <w:szCs w:val="15"/>
              </w:rPr>
            </w:pPr>
            <w:r>
              <w:rPr>
                <w:rFonts w:hint="default" w:ascii="Arial" w:hAnsi="Arial" w:eastAsia="宋体" w:cs="Arial"/>
                <w:i w:val="0"/>
                <w:iCs w:val="0"/>
                <w:color w:val="000000"/>
                <w:kern w:val="0"/>
                <w:sz w:val="15"/>
                <w:szCs w:val="15"/>
                <w:u w:val="none"/>
                <w:lang w:val="en-US" w:eastAsia="zh-CN" w:bidi="ar"/>
              </w:rPr>
              <w:t>通榆县看守所</w:t>
            </w:r>
          </w:p>
        </w:tc>
        <w:tc>
          <w:tcPr>
            <w:tcW w:w="54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257.70</w:t>
            </w:r>
          </w:p>
        </w:tc>
        <w:tc>
          <w:tcPr>
            <w:tcW w:w="606" w:type="dxa"/>
            <w:noWrap w:val="0"/>
            <w:vAlign w:val="center"/>
          </w:tcPr>
          <w:p>
            <w:pPr>
              <w:keepNext w:val="0"/>
              <w:keepLines w:val="0"/>
              <w:widowControl/>
              <w:suppressLineNumbers w:val="0"/>
              <w:jc w:val="center"/>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257.70</w:t>
            </w:r>
          </w:p>
        </w:tc>
        <w:tc>
          <w:tcPr>
            <w:tcW w:w="607" w:type="dxa"/>
            <w:noWrap w:val="0"/>
            <w:vAlign w:val="center"/>
          </w:tcPr>
          <w:p>
            <w:pPr>
              <w:keepNext w:val="0"/>
              <w:keepLines w:val="0"/>
              <w:widowControl/>
              <w:suppressLineNumbers w:val="0"/>
              <w:jc w:val="center"/>
              <w:textAlignment w:val="center"/>
              <w:rPr>
                <w:rFonts w:ascii="Calibri" w:hAnsi="Calibri" w:eastAsia="楷体"/>
                <w:kern w:val="0"/>
                <w:sz w:val="13"/>
                <w:szCs w:val="13"/>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spacing w:line="700" w:lineRule="exact"/>
              <w:jc w:val="center"/>
              <w:rPr>
                <w:rFonts w:ascii="Calibri" w:hAnsi="Calibri" w:eastAsia="楷体"/>
                <w:kern w:val="0"/>
                <w:szCs w:val="32"/>
              </w:rPr>
            </w:pPr>
          </w:p>
        </w:tc>
        <w:tc>
          <w:tcPr>
            <w:tcW w:w="1214" w:type="dxa"/>
            <w:noWrap w:val="0"/>
            <w:vAlign w:val="center"/>
          </w:tcPr>
          <w:p>
            <w:pPr>
              <w:spacing w:line="700" w:lineRule="exact"/>
              <w:jc w:val="center"/>
              <w:rPr>
                <w:rFonts w:ascii="Calibri" w:hAnsi="Calibri" w:eastAsia="楷体"/>
                <w:kern w:val="0"/>
                <w:szCs w:val="32"/>
              </w:rPr>
            </w:pPr>
          </w:p>
        </w:tc>
        <w:tc>
          <w:tcPr>
            <w:tcW w:w="948" w:type="dxa"/>
            <w:noWrap w:val="0"/>
            <w:vAlign w:val="center"/>
          </w:tcPr>
          <w:p>
            <w:pPr>
              <w:spacing w:line="700" w:lineRule="exact"/>
              <w:jc w:val="center"/>
              <w:rPr>
                <w:rFonts w:ascii="Calibri" w:hAnsi="Calibri" w:eastAsia="楷体"/>
                <w:kern w:val="0"/>
                <w:szCs w:val="32"/>
              </w:rPr>
            </w:pPr>
          </w:p>
        </w:tc>
        <w:tc>
          <w:tcPr>
            <w:tcW w:w="546" w:type="dxa"/>
            <w:noWrap w:val="0"/>
            <w:vAlign w:val="center"/>
          </w:tcPr>
          <w:p>
            <w:pPr>
              <w:spacing w:line="700" w:lineRule="exact"/>
              <w:jc w:val="center"/>
              <w:rPr>
                <w:rFonts w:ascii="Calibri" w:hAnsi="Calibri" w:eastAsia="楷体"/>
                <w:kern w:val="0"/>
                <w:szCs w:val="32"/>
              </w:rPr>
            </w:pPr>
          </w:p>
        </w:tc>
        <w:tc>
          <w:tcPr>
            <w:tcW w:w="606" w:type="dxa"/>
            <w:noWrap w:val="0"/>
            <w:vAlign w:val="center"/>
          </w:tcPr>
          <w:p>
            <w:pPr>
              <w:spacing w:line="700" w:lineRule="exact"/>
              <w:jc w:val="center"/>
              <w:rPr>
                <w:rFonts w:ascii="Calibri" w:hAnsi="Calibri" w:eastAsia="楷体"/>
                <w:kern w:val="0"/>
                <w:szCs w:val="32"/>
              </w:rPr>
            </w:pPr>
          </w:p>
        </w:tc>
        <w:tc>
          <w:tcPr>
            <w:tcW w:w="607" w:type="dxa"/>
            <w:noWrap w:val="0"/>
            <w:vAlign w:val="center"/>
          </w:tcPr>
          <w:p>
            <w:pPr>
              <w:spacing w:line="700" w:lineRule="exact"/>
              <w:jc w:val="center"/>
              <w:rPr>
                <w:rFonts w:ascii="Calibri" w:hAnsi="Calibri" w:eastAsia="楷体"/>
                <w:kern w:val="0"/>
                <w:szCs w:val="32"/>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833" w:type="dxa"/>
            <w:noWrap w:val="0"/>
            <w:vAlign w:val="center"/>
          </w:tcPr>
          <w:p>
            <w:pPr>
              <w:spacing w:line="700" w:lineRule="exact"/>
              <w:jc w:val="center"/>
              <w:rPr>
                <w:rFonts w:ascii="Calibri" w:hAnsi="Calibri" w:eastAsia="楷体"/>
                <w:kern w:val="0"/>
                <w:szCs w:val="32"/>
              </w:rPr>
            </w:pPr>
          </w:p>
        </w:tc>
        <w:tc>
          <w:tcPr>
            <w:tcW w:w="1166" w:type="dxa"/>
            <w:noWrap w:val="0"/>
            <w:vAlign w:val="center"/>
          </w:tcPr>
          <w:p>
            <w:pPr>
              <w:spacing w:line="700" w:lineRule="exact"/>
              <w:jc w:val="center"/>
              <w:rPr>
                <w:rFonts w:ascii="Calibri" w:hAnsi="Calibri" w:eastAsia="楷体"/>
                <w:kern w:val="0"/>
                <w:szCs w:val="32"/>
              </w:rPr>
            </w:pPr>
          </w:p>
        </w:tc>
        <w:tc>
          <w:tcPr>
            <w:tcW w:w="1214" w:type="dxa"/>
            <w:noWrap w:val="0"/>
            <w:vAlign w:val="center"/>
          </w:tcPr>
          <w:p>
            <w:pPr>
              <w:spacing w:line="700" w:lineRule="exact"/>
              <w:jc w:val="center"/>
              <w:rPr>
                <w:rFonts w:ascii="Calibri" w:hAnsi="Calibri" w:eastAsia="楷体"/>
                <w:kern w:val="0"/>
                <w:szCs w:val="32"/>
              </w:rPr>
            </w:pPr>
          </w:p>
        </w:tc>
        <w:tc>
          <w:tcPr>
            <w:tcW w:w="948" w:type="dxa"/>
            <w:noWrap w:val="0"/>
            <w:vAlign w:val="center"/>
          </w:tcPr>
          <w:p>
            <w:pPr>
              <w:spacing w:line="700" w:lineRule="exact"/>
              <w:jc w:val="center"/>
              <w:rPr>
                <w:rFonts w:ascii="Calibri" w:hAnsi="Calibri" w:eastAsia="楷体"/>
                <w:kern w:val="0"/>
                <w:szCs w:val="32"/>
              </w:rPr>
            </w:pPr>
          </w:p>
        </w:tc>
        <w:tc>
          <w:tcPr>
            <w:tcW w:w="546" w:type="dxa"/>
            <w:noWrap w:val="0"/>
            <w:vAlign w:val="center"/>
          </w:tcPr>
          <w:p>
            <w:pPr>
              <w:spacing w:line="700" w:lineRule="exact"/>
              <w:jc w:val="center"/>
              <w:rPr>
                <w:rFonts w:ascii="Calibri" w:hAnsi="Calibri" w:eastAsia="楷体"/>
                <w:kern w:val="0"/>
                <w:szCs w:val="32"/>
              </w:rPr>
            </w:pPr>
          </w:p>
        </w:tc>
        <w:tc>
          <w:tcPr>
            <w:tcW w:w="606" w:type="dxa"/>
            <w:noWrap w:val="0"/>
            <w:vAlign w:val="center"/>
          </w:tcPr>
          <w:p>
            <w:pPr>
              <w:spacing w:line="700" w:lineRule="exact"/>
              <w:jc w:val="center"/>
              <w:rPr>
                <w:rFonts w:ascii="Calibri" w:hAnsi="Calibri" w:eastAsia="楷体"/>
                <w:kern w:val="0"/>
                <w:szCs w:val="32"/>
              </w:rPr>
            </w:pPr>
          </w:p>
        </w:tc>
        <w:tc>
          <w:tcPr>
            <w:tcW w:w="607" w:type="dxa"/>
            <w:noWrap w:val="0"/>
            <w:vAlign w:val="center"/>
          </w:tcPr>
          <w:p>
            <w:pPr>
              <w:spacing w:line="700" w:lineRule="exact"/>
              <w:jc w:val="center"/>
              <w:rPr>
                <w:rFonts w:ascii="Calibri" w:hAnsi="Calibri" w:eastAsia="楷体"/>
                <w:kern w:val="0"/>
                <w:szCs w:val="32"/>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833"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166" w:type="dxa"/>
            <w:noWrap w:val="0"/>
            <w:vAlign w:val="center"/>
          </w:tcPr>
          <w:p>
            <w:pPr>
              <w:autoSpaceDN w:val="0"/>
              <w:jc w:val="center"/>
              <w:textAlignment w:val="center"/>
              <w:rPr>
                <w:rFonts w:ascii="Calibri" w:hAnsi="Calibri" w:eastAsia="华文细黑"/>
                <w:color w:val="000000"/>
                <w:sz w:val="20"/>
                <w:szCs w:val="22"/>
              </w:rPr>
            </w:pPr>
          </w:p>
        </w:tc>
        <w:tc>
          <w:tcPr>
            <w:tcW w:w="1214" w:type="dxa"/>
            <w:noWrap w:val="0"/>
            <w:vAlign w:val="center"/>
          </w:tcPr>
          <w:p>
            <w:pPr>
              <w:spacing w:line="700" w:lineRule="exact"/>
              <w:jc w:val="center"/>
              <w:rPr>
                <w:rFonts w:ascii="Calibri" w:hAnsi="Calibri" w:eastAsia="楷体"/>
                <w:kern w:val="0"/>
                <w:szCs w:val="32"/>
              </w:rPr>
            </w:pPr>
          </w:p>
        </w:tc>
        <w:tc>
          <w:tcPr>
            <w:tcW w:w="948" w:type="dxa"/>
            <w:noWrap w:val="0"/>
            <w:vAlign w:val="center"/>
          </w:tcPr>
          <w:p>
            <w:pPr>
              <w:spacing w:line="700" w:lineRule="exact"/>
              <w:jc w:val="center"/>
              <w:rPr>
                <w:rFonts w:ascii="Calibri" w:hAnsi="Calibri" w:eastAsia="楷体"/>
                <w:kern w:val="0"/>
                <w:szCs w:val="32"/>
              </w:rPr>
            </w:pPr>
          </w:p>
        </w:tc>
        <w:tc>
          <w:tcPr>
            <w:tcW w:w="546" w:type="dxa"/>
            <w:noWrap w:val="0"/>
            <w:vAlign w:val="center"/>
          </w:tcPr>
          <w:p>
            <w:pPr>
              <w:keepNext w:val="0"/>
              <w:keepLines w:val="0"/>
              <w:widowControl/>
              <w:suppressLineNumbers w:val="0"/>
              <w:jc w:val="right"/>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301.30</w:t>
            </w:r>
          </w:p>
        </w:tc>
        <w:tc>
          <w:tcPr>
            <w:tcW w:w="606" w:type="dxa"/>
            <w:noWrap w:val="0"/>
            <w:vAlign w:val="center"/>
          </w:tcPr>
          <w:p>
            <w:pPr>
              <w:keepNext w:val="0"/>
              <w:keepLines w:val="0"/>
              <w:widowControl/>
              <w:suppressLineNumbers w:val="0"/>
              <w:jc w:val="right"/>
              <w:textAlignment w:val="center"/>
              <w:rPr>
                <w:rFonts w:ascii="Calibri" w:hAnsi="Calibri" w:eastAsia="楷体"/>
                <w:kern w:val="0"/>
                <w:sz w:val="13"/>
                <w:szCs w:val="13"/>
              </w:rPr>
            </w:pPr>
            <w:r>
              <w:rPr>
                <w:rFonts w:hint="default" w:ascii="Arial" w:hAnsi="Arial" w:eastAsia="宋体" w:cs="Arial"/>
                <w:i w:val="0"/>
                <w:iCs w:val="0"/>
                <w:color w:val="000000"/>
                <w:kern w:val="0"/>
                <w:sz w:val="13"/>
                <w:szCs w:val="13"/>
                <w:u w:val="none"/>
                <w:lang w:val="en-US" w:eastAsia="zh-CN" w:bidi="ar"/>
              </w:rPr>
              <w:t>301.30</w:t>
            </w:r>
          </w:p>
        </w:tc>
        <w:tc>
          <w:tcPr>
            <w:tcW w:w="607" w:type="dxa"/>
            <w:noWrap w:val="0"/>
            <w:vAlign w:val="center"/>
          </w:tcPr>
          <w:p>
            <w:pPr>
              <w:keepNext w:val="0"/>
              <w:keepLines w:val="0"/>
              <w:widowControl/>
              <w:suppressLineNumbers w:val="0"/>
              <w:jc w:val="right"/>
              <w:textAlignment w:val="center"/>
              <w:rPr>
                <w:rFonts w:ascii="Calibri" w:hAnsi="Calibri" w:eastAsia="楷体"/>
                <w:kern w:val="0"/>
                <w:sz w:val="13"/>
                <w:szCs w:val="13"/>
              </w:rPr>
            </w:pPr>
          </w:p>
        </w:tc>
        <w:tc>
          <w:tcPr>
            <w:tcW w:w="574" w:type="dxa"/>
            <w:noWrap w:val="0"/>
            <w:vAlign w:val="center"/>
          </w:tcPr>
          <w:p>
            <w:pPr>
              <w:spacing w:line="700" w:lineRule="exact"/>
              <w:jc w:val="center"/>
              <w:rPr>
                <w:rFonts w:ascii="Calibri" w:hAnsi="Calibri" w:eastAsia="楷体"/>
                <w:kern w:val="0"/>
                <w:szCs w:val="32"/>
              </w:rPr>
            </w:pPr>
          </w:p>
        </w:tc>
        <w:tc>
          <w:tcPr>
            <w:tcW w:w="618" w:type="dxa"/>
            <w:noWrap w:val="0"/>
            <w:vAlign w:val="center"/>
          </w:tcPr>
          <w:p>
            <w:pPr>
              <w:spacing w:line="700" w:lineRule="exact"/>
              <w:jc w:val="center"/>
              <w:rPr>
                <w:rFonts w:ascii="Calibri" w:hAnsi="Calibri" w:eastAsia="楷体"/>
                <w:kern w:val="0"/>
                <w:szCs w:val="32"/>
              </w:rPr>
            </w:pPr>
          </w:p>
        </w:tc>
        <w:tc>
          <w:tcPr>
            <w:tcW w:w="582" w:type="dxa"/>
            <w:noWrap w:val="0"/>
            <w:vAlign w:val="center"/>
          </w:tcPr>
          <w:p>
            <w:pPr>
              <w:spacing w:line="700" w:lineRule="exact"/>
              <w:jc w:val="center"/>
              <w:rPr>
                <w:rFonts w:ascii="Calibri" w:hAnsi="Calibri" w:eastAsia="楷体"/>
                <w:kern w:val="0"/>
                <w:szCs w:val="32"/>
              </w:rPr>
            </w:pPr>
          </w:p>
        </w:tc>
        <w:tc>
          <w:tcPr>
            <w:tcW w:w="658" w:type="dxa"/>
            <w:noWrap w:val="0"/>
            <w:vAlign w:val="center"/>
          </w:tcPr>
          <w:p>
            <w:pPr>
              <w:spacing w:line="700" w:lineRule="exact"/>
              <w:jc w:val="center"/>
              <w:rPr>
                <w:rFonts w:ascii="Calibri" w:hAnsi="Calibri" w:eastAsia="楷体"/>
                <w:kern w:val="0"/>
                <w:szCs w:val="32"/>
              </w:rPr>
            </w:pPr>
          </w:p>
        </w:tc>
        <w:tc>
          <w:tcPr>
            <w:tcW w:w="485" w:type="dxa"/>
            <w:noWrap w:val="0"/>
            <w:vAlign w:val="center"/>
          </w:tcPr>
          <w:p>
            <w:pPr>
              <w:spacing w:line="700" w:lineRule="exact"/>
              <w:jc w:val="center"/>
              <w:rPr>
                <w:rFonts w:ascii="Calibri" w:hAnsi="Calibri" w:eastAsia="楷体"/>
                <w:kern w:val="0"/>
                <w:szCs w:val="32"/>
              </w:rPr>
            </w:pPr>
          </w:p>
        </w:tc>
        <w:tc>
          <w:tcPr>
            <w:tcW w:w="483"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108" w:tblpY="64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通榆县看守所2024年警察节假日之外加班补助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通榆县看守所2024警察节假日之外加班补助</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加班补助发放人数情况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=46人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发放补助民警资格合格率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通榆县看守所2024年警察节假日之外加班补助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&lt;=710元/月/人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加班补助发放及时率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民警法定工作日加班可持续时限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&gt;=6/月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民警满意度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bl>
    <w:p>
      <w:pPr>
        <w:rPr>
          <w:rFonts w:eastAsia="楷体"/>
          <w:kern w:val="0"/>
          <w:szCs w:val="32"/>
        </w:rPr>
      </w:pPr>
      <w:r>
        <w:rPr>
          <w:rFonts w:eastAsia="楷体"/>
          <w:kern w:val="0"/>
          <w:szCs w:val="32"/>
        </w:rPr>
        <w:br w:type="page"/>
      </w:r>
    </w:p>
    <w:tbl>
      <w:tblPr>
        <w:tblStyle w:val="9"/>
        <w:tblpPr w:leftFromText="180" w:rightFromText="180" w:vertAnchor="text" w:horzAnchor="page" w:tblpX="1108" w:tblpY="64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通榆县看守所2024年办公费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257.7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257.7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看守所此项经费用于2024年办公费及公车运行维护费，为更好的服务社会提供条件。</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购买办公用品数量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&gt;=722个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燃油数量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&gt;=50000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燃油质量达标率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购买办公设备合格率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燃油平均成本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&lt;=7.85元/升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购买办公用品成本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&lt;=3500元/个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燃油保证车辆行动率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办公用品可持续性使用年限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&gt;=5年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反映民警满意度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bl>
    <w:p>
      <w:pPr>
        <w:rPr>
          <w:rFonts w:eastAsia="楷体"/>
          <w:kern w:val="0"/>
          <w:szCs w:val="32"/>
        </w:rPr>
      </w:pPr>
      <w:r>
        <w:rPr>
          <w:rFonts w:eastAsia="楷体"/>
          <w:kern w:val="0"/>
          <w:szCs w:val="32"/>
        </w:rPr>
        <w:br w:type="page"/>
      </w:r>
    </w:p>
    <w:tbl>
      <w:tblPr>
        <w:tblStyle w:val="9"/>
        <w:tblpPr w:leftFromText="180" w:rightFromText="180" w:vertAnchor="text" w:horzAnchor="page" w:tblpX="1108" w:tblpY="64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通榆县看守所2024年警察节假日之外加班补助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通榆县看守所2024年驻村工作队生活补贴，为驻村人员提供生活补助。</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补助发放天数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补助资金对生活水平影响程度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驻村补助发放成本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对工作质量工资效率的影响程度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jc w:val="both"/>
        <w:rPr>
          <w:rFonts w:eastAsia="黑体"/>
          <w:sz w:val="36"/>
          <w:szCs w:val="36"/>
        </w:rPr>
      </w:pPr>
    </w:p>
    <w:p>
      <w:pPr>
        <w:spacing w:line="700" w:lineRule="exact"/>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558.94</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响应国家号召，节省开支。</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801.99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72.7</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301.3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27.3</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u w:val="single"/>
        </w:rPr>
        <w:t>933.32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85.38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33.01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51.58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eastAsia="仿宋_GB2312" w:cs="仿宋_GB2312"/>
          <w:szCs w:val="32"/>
          <w:u w:val="single"/>
        </w:rPr>
        <w:t>1103.29</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801.99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72.7</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301.3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27.3</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676.35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84.3</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125.64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15.7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_________</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___</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______</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公共安全</w:t>
      </w:r>
      <w:r>
        <w:rPr>
          <w:rFonts w:hint="eastAsia" w:ascii="仿宋_GB2312" w:hAnsi="仿宋_GB2312" w:eastAsia="仿宋_GB2312" w:cs="仿宋_GB2312"/>
          <w:szCs w:val="32"/>
        </w:rPr>
        <w:t>支出</w:t>
      </w:r>
      <w:r>
        <w:rPr>
          <w:rFonts w:hint="eastAsia" w:ascii="仿宋_GB2312" w:hAnsi="仿宋_GB2312" w:cs="仿宋_GB2312"/>
          <w:szCs w:val="32"/>
          <w:u w:val="single"/>
          <w:lang w:val="en-US" w:eastAsia="zh-CN"/>
        </w:rPr>
        <w:t>933.32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84.6</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公共安全支出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85.38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社保及医保的支出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33.01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3.0</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医疗保障</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eastAsia="仿宋_GB2312" w:cs="仿宋_GB2312"/>
          <w:szCs w:val="32"/>
          <w:u w:val="single"/>
        </w:rPr>
        <w:t>51.58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4.7</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住房公积金的支出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801.99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676.35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125.64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5</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5</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5</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在押人员投改次数增加</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cs="仿宋_GB2312"/>
          <w:szCs w:val="32"/>
          <w:lang w:eastAsia="zh-CN"/>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firstLineChars="200"/>
        <w:rPr>
          <w:rFonts w:hint="eastAsia" w:ascii="黑体" w:hAnsi="黑体" w:eastAsia="黑体" w:cs="黑体"/>
          <w:szCs w:val="32"/>
          <w:highlight w:val="none"/>
        </w:rPr>
      </w:pP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szCs w:val="32"/>
        </w:rPr>
      </w:pPr>
      <w:r>
        <w:rPr>
          <w:rFonts w:hint="eastAsia" w:ascii="仿宋_GB2312" w:hAnsi="仿宋_GB2312" w:eastAsia="仿宋_GB2312" w:cs="仿宋_GB2312"/>
          <w:szCs w:val="32"/>
          <w:highlight w:val="none"/>
        </w:rPr>
        <w:t>其他国有资本经营预算（款）支出________万元，占________%，主要用于_____________________。</w:t>
      </w:r>
      <w:bookmarkStart w:id="0" w:name="_GoBack"/>
      <w:bookmarkEnd w:id="0"/>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125.64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29.64</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30.8</w:t>
      </w:r>
      <w:r>
        <w:rPr>
          <w:rFonts w:hint="eastAsia" w:ascii="仿宋_GB2312" w:hAnsi="仿宋_GB2312" w:eastAsia="仿宋_GB2312" w:cs="仿宋_GB2312"/>
          <w:szCs w:val="32"/>
        </w:rPr>
        <w:t>_%，主要原因是</w:t>
      </w:r>
      <w:r>
        <w:rPr>
          <w:rFonts w:hint="eastAsia" w:ascii="仿宋_GB2312" w:hAnsi="仿宋_GB2312" w:cs="仿宋_GB2312"/>
          <w:szCs w:val="32"/>
          <w:u w:val="single"/>
          <w:lang w:val="en-US" w:eastAsia="zh-CN"/>
        </w:rPr>
        <w:t>办公费用增加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50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50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2000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301.30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301.30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3</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301.30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1A31C7"/>
    <w:rsid w:val="0486486A"/>
    <w:rsid w:val="04954460"/>
    <w:rsid w:val="04F026C1"/>
    <w:rsid w:val="050D06DA"/>
    <w:rsid w:val="050F3BA7"/>
    <w:rsid w:val="05513E94"/>
    <w:rsid w:val="056F5A6D"/>
    <w:rsid w:val="05722658"/>
    <w:rsid w:val="059B3770"/>
    <w:rsid w:val="063949A0"/>
    <w:rsid w:val="067960C1"/>
    <w:rsid w:val="06BD5BC7"/>
    <w:rsid w:val="07D21289"/>
    <w:rsid w:val="07F544B0"/>
    <w:rsid w:val="09A0082A"/>
    <w:rsid w:val="0A334D52"/>
    <w:rsid w:val="0ABA06FE"/>
    <w:rsid w:val="0B5434D8"/>
    <w:rsid w:val="0B5F5ADA"/>
    <w:rsid w:val="0B710869"/>
    <w:rsid w:val="0C2A5C84"/>
    <w:rsid w:val="0DA001B0"/>
    <w:rsid w:val="0DB6446C"/>
    <w:rsid w:val="0DEB170B"/>
    <w:rsid w:val="0E4C7841"/>
    <w:rsid w:val="0F3E0406"/>
    <w:rsid w:val="0F8B592F"/>
    <w:rsid w:val="0FD62F63"/>
    <w:rsid w:val="107728C7"/>
    <w:rsid w:val="108A0770"/>
    <w:rsid w:val="10AE7F82"/>
    <w:rsid w:val="10C93B35"/>
    <w:rsid w:val="11177619"/>
    <w:rsid w:val="112605C8"/>
    <w:rsid w:val="12E711B7"/>
    <w:rsid w:val="136D62BD"/>
    <w:rsid w:val="13F21722"/>
    <w:rsid w:val="1441443C"/>
    <w:rsid w:val="14C12787"/>
    <w:rsid w:val="15593E10"/>
    <w:rsid w:val="159F7E25"/>
    <w:rsid w:val="15F848D0"/>
    <w:rsid w:val="160E1FA5"/>
    <w:rsid w:val="160F2600"/>
    <w:rsid w:val="16805F56"/>
    <w:rsid w:val="17765BCA"/>
    <w:rsid w:val="17A027D8"/>
    <w:rsid w:val="1A817DF8"/>
    <w:rsid w:val="1ADC594E"/>
    <w:rsid w:val="1AEB5252"/>
    <w:rsid w:val="1C852172"/>
    <w:rsid w:val="1CA40C0C"/>
    <w:rsid w:val="1CFF4A32"/>
    <w:rsid w:val="1D316148"/>
    <w:rsid w:val="1D833200"/>
    <w:rsid w:val="1DB479BD"/>
    <w:rsid w:val="1E2D59A2"/>
    <w:rsid w:val="1E3A3FD0"/>
    <w:rsid w:val="1EB55C07"/>
    <w:rsid w:val="1F351A10"/>
    <w:rsid w:val="1FED47E9"/>
    <w:rsid w:val="206816AC"/>
    <w:rsid w:val="225C42C2"/>
    <w:rsid w:val="22A4003E"/>
    <w:rsid w:val="23984063"/>
    <w:rsid w:val="23CE11F0"/>
    <w:rsid w:val="23EC61F6"/>
    <w:rsid w:val="244C543C"/>
    <w:rsid w:val="24624768"/>
    <w:rsid w:val="2539376C"/>
    <w:rsid w:val="254C6FAD"/>
    <w:rsid w:val="259B5BC5"/>
    <w:rsid w:val="25C7462E"/>
    <w:rsid w:val="25F62C4E"/>
    <w:rsid w:val="265718D7"/>
    <w:rsid w:val="26643D6C"/>
    <w:rsid w:val="2699649B"/>
    <w:rsid w:val="26FE109D"/>
    <w:rsid w:val="27073E1E"/>
    <w:rsid w:val="27B04AB3"/>
    <w:rsid w:val="28A63332"/>
    <w:rsid w:val="29C45F24"/>
    <w:rsid w:val="2CEC5E40"/>
    <w:rsid w:val="2DF8796C"/>
    <w:rsid w:val="2EB22F18"/>
    <w:rsid w:val="2EE12108"/>
    <w:rsid w:val="2EED35E3"/>
    <w:rsid w:val="2F250383"/>
    <w:rsid w:val="2F63610B"/>
    <w:rsid w:val="300965A3"/>
    <w:rsid w:val="30730D6E"/>
    <w:rsid w:val="30B91A70"/>
    <w:rsid w:val="32CF2C5D"/>
    <w:rsid w:val="335402B5"/>
    <w:rsid w:val="339466B2"/>
    <w:rsid w:val="339A365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2E2245"/>
    <w:rsid w:val="3D365BF6"/>
    <w:rsid w:val="3DF23324"/>
    <w:rsid w:val="3EA14040"/>
    <w:rsid w:val="3EE8108D"/>
    <w:rsid w:val="405745EF"/>
    <w:rsid w:val="40B80EFF"/>
    <w:rsid w:val="41A35364"/>
    <w:rsid w:val="41C31686"/>
    <w:rsid w:val="428B6B2F"/>
    <w:rsid w:val="42982B4E"/>
    <w:rsid w:val="435141A2"/>
    <w:rsid w:val="436B1E42"/>
    <w:rsid w:val="4379255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2A3343"/>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CB538C"/>
    <w:rsid w:val="57AE5C26"/>
    <w:rsid w:val="57DD75A9"/>
    <w:rsid w:val="58256ABD"/>
    <w:rsid w:val="592C7139"/>
    <w:rsid w:val="59472AC7"/>
    <w:rsid w:val="59BD150F"/>
    <w:rsid w:val="59DD570D"/>
    <w:rsid w:val="59FF5EDC"/>
    <w:rsid w:val="5A084708"/>
    <w:rsid w:val="5AB343F7"/>
    <w:rsid w:val="5ABF50F2"/>
    <w:rsid w:val="5AF76904"/>
    <w:rsid w:val="5B052E7A"/>
    <w:rsid w:val="5B3D7F7E"/>
    <w:rsid w:val="5B7C7777"/>
    <w:rsid w:val="5B9462A0"/>
    <w:rsid w:val="5BEC6771"/>
    <w:rsid w:val="5C2942D8"/>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6B4A74"/>
    <w:rsid w:val="6CF120A8"/>
    <w:rsid w:val="6D5C1F6E"/>
    <w:rsid w:val="6FEF1106"/>
    <w:rsid w:val="714213DD"/>
    <w:rsid w:val="717F272E"/>
    <w:rsid w:val="728027C6"/>
    <w:rsid w:val="72BE3C88"/>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8105</Words>
  <Characters>9975</Characters>
  <Lines>71</Lines>
  <Paragraphs>20</Paragraphs>
  <TotalTime>2</TotalTime>
  <ScaleCrop>false</ScaleCrop>
  <LinksUpToDate>false</LinksUpToDate>
  <CharactersWithSpaces>10537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2024-01-31T06:01:23Z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