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hint="eastAsia" w:eastAsia="方正小标宋简体"/>
          <w:sz w:val="44"/>
          <w:szCs w:val="44"/>
          <w:u w:val="single"/>
          <w:lang w:val="en-US" w:eastAsia="zh-CN"/>
        </w:rPr>
      </w:pPr>
      <w:r>
        <w:rPr>
          <w:rFonts w:hint="eastAsia" w:eastAsia="方正小标宋简体"/>
          <w:sz w:val="44"/>
          <w:szCs w:val="44"/>
          <w:u w:val="single"/>
          <w:lang w:val="en-US" w:eastAsia="zh-CN"/>
        </w:rPr>
        <w:t>通榆县公安局（本级）</w:t>
      </w:r>
    </w:p>
    <w:p>
      <w:pPr>
        <w:jc w:val="center"/>
        <w:rPr>
          <w:rFonts w:eastAsia="方正小标宋简体"/>
          <w:sz w:val="44"/>
          <w:szCs w:val="44"/>
        </w:rPr>
      </w:pP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1.贯彻执行党和国家有关公安工作的方针、政策、法规、规章，部署全国公安工作，并指导，检查和监督全县公安工作。</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2.掌握影响稳定、危害国家安全和社会治安的情况，为县委、县政府和市公安提供社会治安重要信息，并研究提出对策，侦查危害国内安全的犯罪案件。</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3.研究分析全县反恐怖斗争的情报信息，提高反恐、防暴和处置突发事件的能力，促进我县社会和谐稳定。</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4.组织指导全县公安侦查工作，分析研究全县经济犯罪、刑事犯罪情况，并提出对策；侦查、处置重大经济犯罪和各种刑事犯罪案件。</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5.组织指导、监督全县公安机关依法查处危害社会治安秩序行为；依法管理户口、居民身份证、枪支弹药、危险物品和特种行业等 工作；依法查处重特大治安案件，处置治安灾害事故和群体性治安事件。</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6.组织指导、监督全县公安机关对国家机关、社会团体企事业单位和重点建设工程的治安保卫工作以及群众性治安保卫组织的治安防范工作；加强首脑要害机关安全保卫工作。</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7.组织指导、监督全县公安机关维护道路交通安全、交通秩序以及机动车辆。驾驶员管理工作。</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8.指导、组织全县公安机关对公共信息网络的安全保护工作；指导、组织实施互联网违法信息监控和情报信息收集工作，侦查、查处各种信息网络进行的刑事犯罪案件。</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9.指导、监督全县公安机关依法承担的执行刑罚和监督、考察工作；组织、监督看守所、拘留所等的管理建设工作。</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10.指导、监督、检查全县公安法制工作、承办全县劳动教养和收容、省劳动教养案件的审核、审批及行政复议工作。</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11.依法管理出入境工作</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12.组织、指导全县消防工作，依法管理监督消防安全，依法查处火灾事故。</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13.组织实施对党和国家领导人、省领导来我县视察以及来访的重要外宾的安全警卫工作。</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14.组织实施全县公安科学技术工作，规划公安信息技术、刑事技术和技术侦查建设工作。</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15.筹划保障全县公安机关装备、被装配备和经费等并提供服务。</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16.制定全县公安机关民警培训、公安教育及公安宣传的计划和措施；检查监督落实情况；按规定权限管理干部；负责指导监督《吉林省见义勇为人员奖励和保护条例》的贯彻实施。</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17.制定全县队伍监督管理工作规章制度、分析队伍状况；组织全县公安机关督察工作；按规定权限实施对干部的监督；查处、督办全县公安队伍重大违纪案件；维护民警正当执法权益。</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18.联系县内铁路部门的公安工作，领导林业部门公安机关的业务工作。</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19.负责全县军事区域的治安管理和军事设施的安全保卫工作；组织、协调侦破涉军方面的政治、刑事案件和查处治安案件；协调、正理军地双方纠纷。</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20.承办县政府交办的其他事项。</w:t>
      </w:r>
    </w:p>
    <w:p>
      <w:pPr>
        <w:ind w:firstLine="640" w:firstLineChars="200"/>
      </w:pPr>
      <w:r>
        <w:rPr>
          <w:rFonts w:eastAsia="楷体_GB2312"/>
        </w:rPr>
        <w:t>二、机构设置</w:t>
      </w:r>
    </w:p>
    <w:p>
      <w:pPr>
        <w:pStyle w:val="51"/>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通榆县公安局内设办公室、政治工作处、情报指挥中心、政治安全保卫大队、警务督查大队、治安管理大队、户政管理大队、网络安全保卫大队、法制大队、刑事侦查大队、经济犯罪侦查大队11个科室；下设交巡警大队、看守所两个单位；所辖开通所、树满所、迎新所、八区所、双岗所、边昭所、苏公坨所、新华所、瞻榆所、团结所、新发所、包拉温都所、向海所、新兴所、兴隆山所、八面所、什花道所、鸿兴所、乌兰花所19个派出所。</w:t>
      </w: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0" w:type="auto"/>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7068.17</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7068.17</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7068.17</w:t>
            </w: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r>
              <w:rPr>
                <w:rFonts w:hint="eastAsia" w:eastAsia="宋体"/>
                <w:kern w:val="0"/>
                <w:sz w:val="20"/>
                <w:lang w:val="en-US" w:eastAsia="zh-CN"/>
              </w:rPr>
              <w:t>7068.17</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eastAsia="宋体"/>
                <w:color w:val="000000"/>
                <w:kern w:val="0"/>
                <w:sz w:val="20"/>
                <w:lang w:val="en-US" w:eastAsia="zh-CN"/>
              </w:rPr>
            </w:pPr>
            <w:r>
              <w:rPr>
                <w:rFonts w:hint="eastAsia" w:eastAsia="宋体"/>
                <w:color w:val="000000"/>
                <w:kern w:val="0"/>
                <w:sz w:val="20"/>
                <w:lang w:val="en-US" w:eastAsia="zh-CN"/>
              </w:rPr>
              <w:t>6070.13</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r>
              <w:rPr>
                <w:rFonts w:hint="eastAsia" w:eastAsia="宋体"/>
                <w:color w:val="000000"/>
                <w:kern w:val="0"/>
                <w:sz w:val="20"/>
                <w:lang w:val="en-US" w:eastAsia="zh-CN"/>
              </w:rPr>
              <w:t>6070.13</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502.40</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color w:val="000000"/>
                <w:kern w:val="0"/>
                <w:sz w:val="20"/>
                <w:lang w:val="en-US" w:eastAsia="zh-CN"/>
              </w:rPr>
              <w:t>502.40</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195.80</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r>
              <w:rPr>
                <w:rFonts w:hint="eastAsia" w:eastAsia="宋体"/>
                <w:color w:val="000000"/>
                <w:kern w:val="0"/>
                <w:sz w:val="20"/>
                <w:lang w:val="en-US" w:eastAsia="zh-CN"/>
              </w:rPr>
              <w:t>195.80</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default" w:eastAsia="仿宋_GB2312"/>
                <w:b w:val="0"/>
                <w:bCs/>
                <w:sz w:val="20"/>
                <w:lang w:val="en-US" w:eastAsia="zh-CN"/>
              </w:rPr>
            </w:pPr>
            <w:r>
              <w:rPr>
                <w:rFonts w:hint="eastAsia" w:ascii="仿宋_GB2312"/>
                <w:b w:val="0"/>
                <w:bCs/>
                <w:color w:val="000000"/>
                <w:kern w:val="0"/>
                <w:sz w:val="20"/>
              </w:rPr>
              <w:t>十一、</w:t>
            </w:r>
            <w:r>
              <w:rPr>
                <w:rFonts w:hint="eastAsia" w:ascii="仿宋_GB2312"/>
                <w:b w:val="0"/>
                <w:bCs/>
                <w:color w:val="000000"/>
                <w:kern w:val="0"/>
                <w:sz w:val="20"/>
                <w:lang w:val="en-US" w:eastAsia="zh-CN"/>
              </w:rPr>
              <w:t>住房保障支出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default" w:eastAsia="宋体"/>
                <w:sz w:val="20"/>
                <w:lang w:val="en-US" w:eastAsia="zh-CN"/>
              </w:rPr>
            </w:pPr>
            <w:r>
              <w:rPr>
                <w:rFonts w:hint="eastAsia" w:eastAsia="宋体"/>
                <w:sz w:val="20"/>
                <w:lang w:val="en-US" w:eastAsia="zh-CN"/>
              </w:rPr>
              <w:t>299.84</w:t>
            </w: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p>
            <w:pPr>
              <w:bidi w:val="0"/>
              <w:jc w:val="center"/>
              <w:rPr>
                <w:rFonts w:hint="eastAsia" w:ascii="Times New Roman" w:hAnsi="Times New Roman" w:eastAsia="仿宋_GB2312" w:cs="Times New Roman"/>
                <w:kern w:val="2"/>
                <w:sz w:val="32"/>
                <w:lang w:val="en-US" w:eastAsia="zh-CN" w:bidi="ar-SA"/>
              </w:rPr>
            </w:pPr>
            <w:r>
              <w:rPr>
                <w:rFonts w:hint="eastAsia" w:eastAsia="宋体"/>
                <w:sz w:val="20"/>
                <w:lang w:val="en-US" w:eastAsia="zh-CN"/>
              </w:rPr>
              <w:t>299.84</w:t>
            </w: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7068.17</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7068.17</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hint="eastAsia" w:eastAsia="宋体"/>
                <w:kern w:val="0"/>
                <w:sz w:val="20"/>
                <w:lang w:val="en-US" w:eastAsia="zh-CN"/>
              </w:rPr>
              <w:t>7068.17</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7068.17</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7068.17</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7068.17</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7068.17</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7068.17</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hint="default" w:eastAsia="宋体"/>
                <w:color w:val="000000"/>
                <w:sz w:val="20"/>
                <w:lang w:val="en-US" w:eastAsia="zh-CN"/>
              </w:rPr>
            </w:pPr>
            <w:r>
              <w:rPr>
                <w:rFonts w:hint="eastAsia" w:eastAsia="宋体"/>
                <w:color w:val="000000"/>
                <w:sz w:val="20"/>
                <w:lang w:val="en-US" w:eastAsia="zh-CN"/>
              </w:rPr>
              <w:t>516001通榆县公安局</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11"/>
                <w:szCs w:val="11"/>
              </w:rPr>
            </w:pPr>
            <w:r>
              <w:rPr>
                <w:rFonts w:hint="eastAsia" w:eastAsia="宋体"/>
                <w:kern w:val="0"/>
                <w:sz w:val="11"/>
                <w:szCs w:val="11"/>
                <w:lang w:val="en-US" w:eastAsia="zh-CN"/>
              </w:rPr>
              <w:t>7068.17</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11"/>
                <w:szCs w:val="11"/>
              </w:rPr>
            </w:pPr>
            <w:r>
              <w:rPr>
                <w:rFonts w:hint="eastAsia" w:eastAsia="宋体"/>
                <w:kern w:val="0"/>
                <w:sz w:val="11"/>
                <w:szCs w:val="11"/>
                <w:lang w:val="en-US" w:eastAsia="zh-CN"/>
              </w:rPr>
              <w:t>7068.17</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11"/>
                <w:szCs w:val="11"/>
              </w:rPr>
            </w:pPr>
            <w:r>
              <w:rPr>
                <w:rFonts w:hint="eastAsia" w:eastAsia="宋体"/>
                <w:kern w:val="0"/>
                <w:sz w:val="11"/>
                <w:szCs w:val="11"/>
                <w:lang w:val="en-US" w:eastAsia="zh-CN"/>
              </w:rPr>
              <w:t>7068.17</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ascii="Times New Roman" w:hAnsi="Times New Roman" w:eastAsia="宋体" w:cs="Times New Roman"/>
                <w:color w:val="000000"/>
                <w:kern w:val="2"/>
                <w:sz w:val="11"/>
                <w:szCs w:val="11"/>
                <w:lang w:val="en-US" w:eastAsia="zh-CN" w:bidi="ar-SA"/>
              </w:rPr>
            </w:pPr>
            <w:r>
              <w:rPr>
                <w:rFonts w:hint="eastAsia" w:eastAsia="宋体"/>
                <w:kern w:val="0"/>
                <w:sz w:val="11"/>
                <w:szCs w:val="11"/>
                <w:lang w:val="en-US" w:eastAsia="zh-CN"/>
              </w:rPr>
              <w:t>7068.17</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ascii="Times New Roman" w:hAnsi="Times New Roman" w:eastAsia="宋体" w:cs="Times New Roman"/>
                <w:color w:val="000000"/>
                <w:kern w:val="2"/>
                <w:sz w:val="11"/>
                <w:szCs w:val="11"/>
                <w:lang w:val="en-US" w:eastAsia="zh-CN" w:bidi="ar-SA"/>
              </w:rPr>
            </w:pPr>
            <w:r>
              <w:rPr>
                <w:rFonts w:hint="eastAsia" w:eastAsia="宋体"/>
                <w:kern w:val="0"/>
                <w:sz w:val="11"/>
                <w:szCs w:val="11"/>
                <w:lang w:val="en-US" w:eastAsia="zh-CN"/>
              </w:rPr>
              <w:t>7068.17</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ascii="Times New Roman" w:hAnsi="Times New Roman" w:eastAsia="宋体" w:cs="Times New Roman"/>
                <w:color w:val="000000"/>
                <w:kern w:val="2"/>
                <w:sz w:val="11"/>
                <w:szCs w:val="11"/>
                <w:lang w:val="en-US" w:eastAsia="zh-CN" w:bidi="ar-SA"/>
              </w:rPr>
            </w:pPr>
            <w:r>
              <w:rPr>
                <w:rFonts w:hint="eastAsia" w:eastAsia="宋体"/>
                <w:kern w:val="0"/>
                <w:sz w:val="11"/>
                <w:szCs w:val="11"/>
                <w:lang w:val="en-US" w:eastAsia="zh-CN"/>
              </w:rPr>
              <w:t>7068.17</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公共安全支出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6070.13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3830.16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2239.97</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　公安</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6070.13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3830.16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2239.97</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6070.13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3830.16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2239.97</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502.40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502.40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502.40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502.40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405.13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405.13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97.28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97.28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195.80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195.80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195.80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195.80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　　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193.26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193.26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2.53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2.53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299.84</w:t>
                  </w:r>
                </w:p>
                <w:p>
                  <w:pPr>
                    <w:widowControl/>
                    <w:jc w:val="center"/>
                    <w:rPr>
                      <w:rFonts w:hint="default" w:eastAsia="宋体"/>
                      <w:color w:val="000000"/>
                      <w:kern w:val="0"/>
                      <w:sz w:val="20"/>
                      <w:lang w:val="en-US" w:eastAsia="zh-CN"/>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299.84</w:t>
                  </w:r>
                </w:p>
                <w:p>
                  <w:pPr>
                    <w:widowControl/>
                    <w:jc w:val="center"/>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　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299.84</w:t>
                  </w:r>
                </w:p>
                <w:p>
                  <w:pPr>
                    <w:widowControl/>
                    <w:jc w:val="right"/>
                    <w:rPr>
                      <w:rFonts w:hint="eastAsia" w:ascii="Times New Roman" w:hAnsi="Times New Roman" w:eastAsia="宋体" w:cs="Times New Roman"/>
                      <w:color w:val="000000"/>
                      <w:kern w:val="0"/>
                      <w:sz w:val="20"/>
                      <w:lang w:val="en-US" w:eastAsia="zh-CN" w:bidi="ar-SA"/>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299.84</w:t>
                  </w:r>
                </w:p>
                <w:p>
                  <w:pPr>
                    <w:widowControl/>
                    <w:jc w:val="right"/>
                    <w:rPr>
                      <w:rFonts w:ascii="Times New Roman" w:hAnsi="Times New Roman" w:eastAsia="宋体" w:cs="Times New Roman"/>
                      <w:color w:val="000000"/>
                      <w:kern w:val="0"/>
                      <w:sz w:val="20"/>
                      <w:lang w:val="en-US" w:eastAsia="zh-CN" w:bidi="ar-SA"/>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299.84</w:t>
                  </w:r>
                </w:p>
                <w:p>
                  <w:pPr>
                    <w:widowControl/>
                    <w:jc w:val="right"/>
                    <w:rPr>
                      <w:rFonts w:hint="default" w:ascii="Times New Roman" w:hAnsi="Times New Roman" w:eastAsia="宋体" w:cs="Times New Roman"/>
                      <w:color w:val="000000"/>
                      <w:kern w:val="0"/>
                      <w:sz w:val="20"/>
                      <w:lang w:val="en-US" w:eastAsia="zh-CN" w:bidi="ar-SA"/>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lang w:val="en-US" w:eastAsia="zh-CN"/>
                    </w:rPr>
                  </w:pPr>
                  <w:r>
                    <w:rPr>
                      <w:rFonts w:hint="eastAsia" w:eastAsia="宋体"/>
                      <w:color w:val="000000"/>
                      <w:kern w:val="0"/>
                      <w:sz w:val="20"/>
                      <w:lang w:val="en-US" w:eastAsia="zh-CN"/>
                    </w:rPr>
                    <w:t>299.84</w:t>
                  </w:r>
                </w:p>
                <w:p>
                  <w:pPr>
                    <w:widowControl/>
                    <w:jc w:val="right"/>
                    <w:rPr>
                      <w:rFonts w:ascii="Times New Roman" w:hAnsi="Times New Roman" w:eastAsia="宋体" w:cs="Times New Roman"/>
                      <w:color w:val="000000"/>
                      <w:kern w:val="0"/>
                      <w:sz w:val="20"/>
                      <w:lang w:val="en-US" w:eastAsia="zh-CN" w:bidi="ar-SA"/>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7068.17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4828.20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2239.97</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09"/>
              <w:gridCol w:w="742"/>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09"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74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09"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0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7068.17</w:t>
                  </w:r>
                  <w:r>
                    <w:rPr>
                      <w:rFonts w:eastAsia="宋体"/>
                      <w:kern w:val="0"/>
                      <w:sz w:val="20"/>
                    </w:rPr>
                    <w:t>　</w:t>
                  </w:r>
                </w:p>
              </w:tc>
              <w:tc>
                <w:tcPr>
                  <w:tcW w:w="74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7068.17</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0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7068.17</w:t>
                  </w:r>
                  <w:r>
                    <w:rPr>
                      <w:rFonts w:eastAsia="宋体"/>
                      <w:kern w:val="0"/>
                      <w:sz w:val="20"/>
                    </w:rPr>
                    <w:t>　</w:t>
                  </w:r>
                </w:p>
              </w:tc>
              <w:tc>
                <w:tcPr>
                  <w:tcW w:w="74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7068.17</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6070.13</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6070.13</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0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0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0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0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502.40</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502.40</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0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195.80</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195.80</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0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0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0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0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0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0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0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0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0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299.84</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299.84</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0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0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0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0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0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7068.17</w:t>
                  </w:r>
                  <w:r>
                    <w:rPr>
                      <w:rFonts w:eastAsia="宋体"/>
                      <w:kern w:val="0"/>
                      <w:sz w:val="20"/>
                    </w:rPr>
                    <w:t>　</w:t>
                  </w:r>
                </w:p>
              </w:tc>
              <w:tc>
                <w:tcPr>
                  <w:tcW w:w="74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r>
                    <w:rPr>
                      <w:rFonts w:hint="eastAsia" w:eastAsia="宋体"/>
                      <w:kern w:val="0"/>
                      <w:sz w:val="20"/>
                      <w:lang w:val="en-US" w:eastAsia="zh-CN"/>
                    </w:rPr>
                    <w:t>7068.17</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7068.17</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7068.17</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0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0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0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09"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0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宋体"/>
                      <w:kern w:val="0"/>
                      <w:sz w:val="20"/>
                      <w:lang w:val="en-US" w:eastAsia="zh-CN"/>
                    </w:rPr>
                    <w:t>7068.17</w:t>
                  </w:r>
                  <w:r>
                    <w:rPr>
                      <w:rFonts w:eastAsia="黑体"/>
                      <w:kern w:val="0"/>
                      <w:sz w:val="20"/>
                    </w:rPr>
                    <w:t>　</w:t>
                  </w:r>
                </w:p>
              </w:tc>
              <w:tc>
                <w:tcPr>
                  <w:tcW w:w="74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宋体"/>
                      <w:kern w:val="0"/>
                      <w:sz w:val="20"/>
                      <w:lang w:val="en-US" w:eastAsia="zh-CN"/>
                    </w:rPr>
                    <w:t>7068.17</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7068.17</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7068.17</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eastAsia" w:ascii="Arial" w:hAnsi="Arial" w:eastAsia="宋体" w:cs="Arial"/>
                      <w:i w:val="0"/>
                      <w:iCs w:val="0"/>
                      <w:color w:val="000000"/>
                      <w:kern w:val="0"/>
                      <w:sz w:val="20"/>
                      <w:szCs w:val="20"/>
                      <w:u w:val="none"/>
                      <w:lang w:val="en-US" w:eastAsia="zh-CN" w:bidi="ar"/>
                    </w:rPr>
                    <w:t>204</w:t>
                  </w:r>
                  <w:r>
                    <w:rPr>
                      <w:rFonts w:hint="default" w:ascii="Arial" w:hAnsi="Arial" w:eastAsia="宋体" w:cs="Arial"/>
                      <w:i w:val="0"/>
                      <w:iCs w:val="0"/>
                      <w:color w:val="000000"/>
                      <w:kern w:val="0"/>
                      <w:sz w:val="20"/>
                      <w:szCs w:val="20"/>
                      <w:u w:val="none"/>
                      <w:lang w:val="en-US" w:eastAsia="zh-CN" w:bidi="ar"/>
                    </w:rPr>
                    <w:t>公共安全支出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6070.137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3830.16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3024.00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806.16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2239.97</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20402</w:t>
                  </w:r>
                  <w:r>
                    <w:rPr>
                      <w:rFonts w:hint="default" w:ascii="Arial" w:hAnsi="Arial" w:eastAsia="宋体" w:cs="Arial"/>
                      <w:i w:val="0"/>
                      <w:iCs w:val="0"/>
                      <w:color w:val="000000"/>
                      <w:kern w:val="0"/>
                      <w:sz w:val="20"/>
                      <w:szCs w:val="20"/>
                      <w:u w:val="none"/>
                      <w:lang w:val="en-US" w:eastAsia="zh-CN" w:bidi="ar"/>
                    </w:rPr>
                    <w:t>公安</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6070.13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3830.16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3024.00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806.16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2239.97</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2040201</w:t>
                  </w:r>
                  <w:r>
                    <w:rPr>
                      <w:rFonts w:hint="default" w:ascii="Arial" w:hAnsi="Arial" w:eastAsia="宋体" w:cs="Arial"/>
                      <w:i w:val="0"/>
                      <w:iCs w:val="0"/>
                      <w:color w:val="000000"/>
                      <w:kern w:val="0"/>
                      <w:sz w:val="20"/>
                      <w:szCs w:val="20"/>
                      <w:u w:val="none"/>
                      <w:lang w:val="en-US" w:eastAsia="zh-CN" w:bidi="ar"/>
                    </w:rPr>
                    <w:t>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6070.13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3830.16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3024.00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803.16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2239.97</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208</w:t>
                  </w:r>
                  <w:r>
                    <w:rPr>
                      <w:rFonts w:hint="default" w:ascii="Arial" w:hAnsi="Arial" w:eastAsia="宋体" w:cs="Arial"/>
                      <w:i w:val="0"/>
                      <w:iCs w:val="0"/>
                      <w:color w:val="000000"/>
                      <w:kern w:val="0"/>
                      <w:sz w:val="20"/>
                      <w:szCs w:val="20"/>
                      <w:u w:val="none"/>
                      <w:lang w:val="en-US" w:eastAsia="zh-CN" w:bidi="ar"/>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502.40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502.40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502.40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20805</w:t>
                  </w:r>
                  <w:r>
                    <w:rPr>
                      <w:rFonts w:hint="default" w:ascii="Arial" w:hAnsi="Arial" w:eastAsia="宋体" w:cs="Arial"/>
                      <w:i w:val="0"/>
                      <w:iCs w:val="0"/>
                      <w:color w:val="000000"/>
                      <w:kern w:val="0"/>
                      <w:sz w:val="20"/>
                      <w:szCs w:val="20"/>
                      <w:u w:val="none"/>
                      <w:lang w:val="en-US" w:eastAsia="zh-CN" w:bidi="ar"/>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502.40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502.40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502.40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400" w:firstLineChars="200"/>
                    <w:jc w:val="lef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2080505</w:t>
                  </w:r>
                  <w:r>
                    <w:rPr>
                      <w:rFonts w:hint="default" w:ascii="Arial" w:hAnsi="Arial" w:eastAsia="宋体" w:cs="Arial"/>
                      <w:i w:val="0"/>
                      <w:iCs w:val="0"/>
                      <w:color w:val="000000"/>
                      <w:kern w:val="0"/>
                      <w:sz w:val="20"/>
                      <w:szCs w:val="20"/>
                      <w:u w:val="none"/>
                      <w:lang w:val="en-US" w:eastAsia="zh-CN" w:bidi="ar"/>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405.13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405.13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405.13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400"/>
                    <w:jc w:val="lef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20802506</w:t>
                  </w:r>
                  <w:r>
                    <w:rPr>
                      <w:rFonts w:hint="default" w:ascii="Arial" w:hAnsi="Arial" w:eastAsia="宋体" w:cs="Arial"/>
                      <w:i w:val="0"/>
                      <w:iCs w:val="0"/>
                      <w:color w:val="000000"/>
                      <w:kern w:val="0"/>
                      <w:sz w:val="20"/>
                      <w:szCs w:val="20"/>
                      <w:u w:val="none"/>
                      <w:lang w:val="en-US" w:eastAsia="zh-CN" w:bidi="ar"/>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97.28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97.28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97.28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210</w:t>
                  </w:r>
                  <w:r>
                    <w:rPr>
                      <w:rFonts w:hint="default" w:ascii="Arial" w:hAnsi="Arial" w:eastAsia="宋体" w:cs="Arial"/>
                      <w:i w:val="0"/>
                      <w:iCs w:val="0"/>
                      <w:color w:val="000000"/>
                      <w:kern w:val="0"/>
                      <w:sz w:val="20"/>
                      <w:szCs w:val="20"/>
                      <w:u w:val="none"/>
                      <w:lang w:val="en-US" w:eastAsia="zh-CN" w:bidi="ar"/>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195.80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195.80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195.80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21011</w:t>
                  </w:r>
                  <w:r>
                    <w:rPr>
                      <w:rFonts w:hint="default" w:ascii="Arial" w:hAnsi="Arial" w:eastAsia="宋体" w:cs="Arial"/>
                      <w:i w:val="0"/>
                      <w:iCs w:val="0"/>
                      <w:color w:val="000000"/>
                      <w:kern w:val="0"/>
                      <w:sz w:val="20"/>
                      <w:szCs w:val="20"/>
                      <w:u w:val="none"/>
                      <w:lang w:val="en-US" w:eastAsia="zh-CN" w:bidi="ar"/>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195.80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195.80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195.80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2101101</w:t>
                  </w:r>
                  <w:r>
                    <w:rPr>
                      <w:rFonts w:hint="default" w:ascii="Arial" w:hAnsi="Arial" w:eastAsia="宋体" w:cs="Arial"/>
                      <w:i w:val="0"/>
                      <w:iCs w:val="0"/>
                      <w:color w:val="000000"/>
                      <w:kern w:val="0"/>
                      <w:sz w:val="20"/>
                      <w:szCs w:val="20"/>
                      <w:u w:val="none"/>
                      <w:lang w:val="en-US" w:eastAsia="zh-CN" w:bidi="ar"/>
                    </w:rPr>
                    <w:t>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193.26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193.26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193.26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2101199</w:t>
                  </w:r>
                  <w:r>
                    <w:rPr>
                      <w:rFonts w:hint="default" w:ascii="Arial" w:hAnsi="Arial" w:eastAsia="宋体" w:cs="Arial"/>
                      <w:i w:val="0"/>
                      <w:iCs w:val="0"/>
                      <w:color w:val="000000"/>
                      <w:kern w:val="0"/>
                      <w:sz w:val="20"/>
                      <w:szCs w:val="20"/>
                      <w:u w:val="none"/>
                      <w:lang w:val="en-US" w:eastAsia="zh-CN" w:bidi="ar"/>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2.53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2.53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2.53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221</w:t>
                  </w:r>
                  <w:r>
                    <w:rPr>
                      <w:rFonts w:hint="default" w:ascii="Arial" w:hAnsi="Arial" w:eastAsia="宋体" w:cs="Arial"/>
                      <w:i w:val="0"/>
                      <w:iCs w:val="0"/>
                      <w:color w:val="000000"/>
                      <w:kern w:val="0"/>
                      <w:sz w:val="20"/>
                      <w:szCs w:val="20"/>
                      <w:u w:val="none"/>
                      <w:lang w:val="en-US" w:eastAsia="zh-CN" w:bidi="ar"/>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299.84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299.84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299.84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22102</w:t>
                  </w:r>
                  <w:r>
                    <w:rPr>
                      <w:rFonts w:hint="default" w:ascii="Arial" w:hAnsi="Arial" w:eastAsia="宋体" w:cs="Arial"/>
                      <w:i w:val="0"/>
                      <w:iCs w:val="0"/>
                      <w:color w:val="000000"/>
                      <w:kern w:val="0"/>
                      <w:sz w:val="20"/>
                      <w:szCs w:val="20"/>
                      <w:u w:val="none"/>
                      <w:lang w:val="en-US" w:eastAsia="zh-CN" w:bidi="ar"/>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299.84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299.84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299.84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2210201</w:t>
                  </w:r>
                  <w:r>
                    <w:rPr>
                      <w:rFonts w:hint="default" w:ascii="Arial" w:hAnsi="Arial" w:eastAsia="宋体" w:cs="Arial"/>
                      <w:i w:val="0"/>
                      <w:iCs w:val="0"/>
                      <w:color w:val="000000"/>
                      <w:kern w:val="0"/>
                      <w:sz w:val="20"/>
                      <w:szCs w:val="20"/>
                      <w:u w:val="none"/>
                      <w:lang w:val="en-US" w:eastAsia="zh-CN" w:bidi="ar"/>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299.84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299.84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299.84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7068.17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4828..20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4022.04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806.16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2239.97</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4,828.20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4,022.04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806.16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1,080.03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1,080.03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1,371.08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1,371.08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479.35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479.35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405.13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405.13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　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97.28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97.28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　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193.26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193.26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　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2.53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2.53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299.84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299.84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　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29.94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29.94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kern w:val="0"/>
                <w:sz w:val="20"/>
              </w:rPr>
            </w:pPr>
            <w:r>
              <w:rPr>
                <w:rFonts w:eastAsia="宋体"/>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766.16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766.16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90.80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90.80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印刷费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4.80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4.80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咨询费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3.00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3.00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手续费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0.40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0.40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水费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3.00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3.00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电费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72.00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72.00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邮电费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7.00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7.00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取暖费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65.00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65.00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物业管理费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48.00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48.00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差旅费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10.00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维修（护）费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72.00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72.00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租赁费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4.80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4.80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被装购置费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16.00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16.00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劳务费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30.00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30.00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工会经费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90.00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90.00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其他交通费用</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189.36</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189.36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sz w:val="20"/>
                <w:lang w:val="en-US" w:eastAsia="zh-CN"/>
              </w:rPr>
              <w:t>三</w:t>
            </w:r>
            <w:r>
              <w:rPr>
                <w:rFonts w:eastAsia="宋体"/>
                <w:color w:val="000000"/>
                <w:sz w:val="20"/>
              </w:rPr>
              <w:t>、</w:t>
            </w:r>
            <w:r>
              <w:rPr>
                <w:rFonts w:hint="eastAsia" w:eastAsia="宋体"/>
                <w:color w:val="000000"/>
                <w:sz w:val="20"/>
              </w:rPr>
              <w:t>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eastAsia="宋体"/>
                <w:color w:val="000000"/>
                <w:sz w:val="20"/>
                <w:lang w:val="en-US" w:eastAsia="zh-CN"/>
              </w:rPr>
            </w:pPr>
            <w:r>
              <w:rPr>
                <w:rFonts w:hint="default" w:ascii="Arial" w:hAnsi="Arial" w:eastAsia="宋体" w:cs="Arial"/>
                <w:i w:val="0"/>
                <w:iCs w:val="0"/>
                <w:color w:val="000000"/>
                <w:kern w:val="0"/>
                <w:sz w:val="20"/>
                <w:szCs w:val="20"/>
                <w:u w:val="none"/>
                <w:lang w:val="en-US" w:eastAsia="zh-CN" w:bidi="ar"/>
              </w:rPr>
              <w:t>　退休费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61.89</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61.89</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eastAsia="宋体"/>
                <w:color w:val="000000"/>
                <w:sz w:val="20"/>
                <w:lang w:val="en-US" w:eastAsia="zh-CN"/>
              </w:rPr>
            </w:pPr>
            <w:r>
              <w:rPr>
                <w:rFonts w:hint="default" w:ascii="Arial" w:hAnsi="Arial" w:eastAsia="宋体" w:cs="Arial"/>
                <w:i w:val="0"/>
                <w:iCs w:val="0"/>
                <w:color w:val="000000"/>
                <w:kern w:val="0"/>
                <w:sz w:val="20"/>
                <w:szCs w:val="20"/>
                <w:u w:val="none"/>
                <w:lang w:val="en-US" w:eastAsia="zh-CN" w:bidi="ar"/>
              </w:rPr>
              <w:t>　生活补助</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1.71</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1.71</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eastAsia="宋体"/>
                <w:color w:val="000000"/>
                <w:sz w:val="20"/>
                <w:lang w:val="en-US" w:eastAsia="zh-CN"/>
              </w:rPr>
            </w:pPr>
            <w:r>
              <w:rPr>
                <w:rFonts w:hint="default" w:ascii="Arial" w:hAnsi="Arial" w:eastAsia="宋体" w:cs="Arial"/>
                <w:i w:val="0"/>
                <w:iCs w:val="0"/>
                <w:color w:val="000000"/>
                <w:kern w:val="0"/>
                <w:sz w:val="20"/>
                <w:szCs w:val="20"/>
                <w:u w:val="none"/>
                <w:lang w:val="en-US" w:eastAsia="zh-CN" w:bidi="ar"/>
              </w:rPr>
              <w:t>资本性支出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40.00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40.00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eastAsia="宋体"/>
                <w:color w:val="000000"/>
                <w:sz w:val="20"/>
                <w:lang w:val="en-US" w:eastAsia="zh-CN"/>
              </w:rPr>
            </w:pPr>
            <w:r>
              <w:rPr>
                <w:rFonts w:hint="default" w:ascii="Arial" w:hAnsi="Arial" w:eastAsia="宋体" w:cs="Arial"/>
                <w:i w:val="0"/>
                <w:iCs w:val="0"/>
                <w:color w:val="000000"/>
                <w:kern w:val="0"/>
                <w:sz w:val="20"/>
                <w:szCs w:val="20"/>
                <w:u w:val="none"/>
                <w:lang w:val="en-US" w:eastAsia="zh-CN" w:bidi="ar"/>
              </w:rPr>
              <w:t>　办公设备购置</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40.00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40.00</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highlight w:val="none"/>
              </w:rPr>
            </w:pPr>
            <w:r>
              <w:rPr>
                <w:rFonts w:eastAsia="宋体"/>
                <w:color w:val="000000"/>
                <w:kern w:val="0"/>
                <w:sz w:val="28"/>
                <w:szCs w:val="28"/>
              </w:rPr>
              <w:t xml:space="preserve">     </w:t>
            </w:r>
            <w:r>
              <w:rPr>
                <w:rFonts w:eastAsia="宋体"/>
                <w:color w:val="000000"/>
                <w:kern w:val="0"/>
                <w:sz w:val="28"/>
                <w:szCs w:val="28"/>
                <w:highlight w:val="none"/>
              </w:rPr>
              <w:t xml:space="preserve">  2</w:t>
            </w:r>
            <w:r>
              <w:rPr>
                <w:color w:val="000000"/>
                <w:kern w:val="0"/>
                <w:sz w:val="28"/>
                <w:szCs w:val="28"/>
                <w:highlight w:val="none"/>
              </w:rPr>
              <w:t>、</w:t>
            </w:r>
            <w:r>
              <w:rPr>
                <w:rFonts w:eastAsia="宋体"/>
                <w:color w:val="000000"/>
                <w:kern w:val="0"/>
                <w:sz w:val="28"/>
                <w:szCs w:val="28"/>
                <w:highlight w:val="none"/>
              </w:rPr>
              <w:t>“</w:t>
            </w:r>
            <w:r>
              <w:rPr>
                <w:rFonts w:hint="eastAsia" w:eastAsia="宋体"/>
                <w:color w:val="000000"/>
                <w:kern w:val="0"/>
                <w:sz w:val="28"/>
                <w:szCs w:val="28"/>
                <w:highlight w:val="none"/>
                <w:lang w:eastAsia="zh-CN"/>
              </w:rPr>
              <w:t>2024</w:t>
            </w:r>
            <w:r>
              <w:rPr>
                <w:color w:val="000000"/>
                <w:kern w:val="0"/>
                <w:sz w:val="28"/>
                <w:szCs w:val="28"/>
                <w:highlight w:val="none"/>
              </w:rPr>
              <w:t>年预算数</w:t>
            </w:r>
            <w:r>
              <w:rPr>
                <w:rFonts w:eastAsia="宋体"/>
                <w:color w:val="000000"/>
                <w:kern w:val="0"/>
                <w:sz w:val="28"/>
                <w:szCs w:val="28"/>
                <w:highlight w:val="none"/>
              </w:rPr>
              <w:t>”</w:t>
            </w:r>
            <w:r>
              <w:rPr>
                <w:color w:val="000000"/>
                <w:kern w:val="0"/>
                <w:sz w:val="28"/>
                <w:szCs w:val="28"/>
                <w:highlight w:val="none"/>
              </w:rPr>
              <w:t>的实有人员</w:t>
            </w:r>
            <w:r>
              <w:rPr>
                <w:rFonts w:hint="eastAsia" w:eastAsia="宋体"/>
                <w:color w:val="000000"/>
                <w:kern w:val="0"/>
                <w:sz w:val="28"/>
                <w:szCs w:val="28"/>
                <w:highlight w:val="none"/>
                <w:u w:val="single"/>
                <w:lang w:val="en-US" w:eastAsia="zh-CN"/>
              </w:rPr>
              <w:t>356</w:t>
            </w:r>
            <w:r>
              <w:rPr>
                <w:color w:val="000000"/>
                <w:kern w:val="0"/>
                <w:sz w:val="28"/>
                <w:szCs w:val="28"/>
                <w:highlight w:val="none"/>
              </w:rPr>
              <w:t>人，其中：在职人员</w:t>
            </w:r>
            <w:r>
              <w:rPr>
                <w:rFonts w:hint="eastAsia" w:eastAsia="宋体"/>
                <w:color w:val="000000"/>
                <w:kern w:val="0"/>
                <w:sz w:val="28"/>
                <w:szCs w:val="28"/>
                <w:highlight w:val="none"/>
                <w:u w:val="single"/>
                <w:lang w:val="en-US" w:eastAsia="zh-CN"/>
              </w:rPr>
              <w:t>257</w:t>
            </w:r>
            <w:r>
              <w:rPr>
                <w:color w:val="000000"/>
                <w:kern w:val="0"/>
                <w:sz w:val="28"/>
                <w:szCs w:val="28"/>
                <w:highlight w:val="none"/>
              </w:rPr>
              <w:t>人，离退休人员</w:t>
            </w:r>
            <w:r>
              <w:rPr>
                <w:rFonts w:hint="eastAsia" w:eastAsia="宋体"/>
                <w:color w:val="000000"/>
                <w:kern w:val="0"/>
                <w:sz w:val="28"/>
                <w:szCs w:val="28"/>
                <w:highlight w:val="none"/>
                <w:u w:val="single"/>
                <w:lang w:val="en-US" w:eastAsia="zh-CN"/>
              </w:rPr>
              <w:t>99</w:t>
            </w:r>
            <w:r>
              <w:rPr>
                <w:color w:val="000000"/>
                <w:kern w:val="0"/>
                <w:sz w:val="28"/>
                <w:szCs w:val="28"/>
                <w:highlight w:val="none"/>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highlight w:val="none"/>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652"/>
        <w:gridCol w:w="713"/>
        <w:gridCol w:w="427"/>
        <w:gridCol w:w="334"/>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652"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474"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652"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47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652" w:type="dxa"/>
            <w:vMerge w:val="continue"/>
            <w:noWrap w:val="0"/>
            <w:vAlign w:val="center"/>
          </w:tcPr>
          <w:p>
            <w:pPr>
              <w:autoSpaceDN w:val="0"/>
              <w:jc w:val="center"/>
              <w:textAlignment w:val="center"/>
              <w:rPr>
                <w:rFonts w:ascii="Calibri" w:hAnsi="Calibri" w:eastAsia="华文细黑"/>
                <w:color w:val="000000"/>
                <w:sz w:val="20"/>
                <w:szCs w:val="22"/>
              </w:rPr>
            </w:pPr>
          </w:p>
        </w:tc>
        <w:tc>
          <w:tcPr>
            <w:tcW w:w="71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42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33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kern w:val="0"/>
                <w:sz w:val="10"/>
                <w:szCs w:val="10"/>
              </w:rPr>
            </w:pPr>
            <w:r>
              <w:rPr>
                <w:rFonts w:hint="eastAsia" w:asciiTheme="majorEastAsia" w:hAnsiTheme="majorEastAsia" w:eastAsiaTheme="majorEastAsia" w:cstheme="majorEastAsia"/>
                <w:i w:val="0"/>
                <w:iCs w:val="0"/>
                <w:color w:val="000000"/>
                <w:kern w:val="0"/>
                <w:sz w:val="10"/>
                <w:szCs w:val="10"/>
                <w:u w:val="none"/>
                <w:lang w:val="en-US" w:eastAsia="zh-CN" w:bidi="ar"/>
              </w:rPr>
              <w:t>311-专项业务支出</w:t>
            </w:r>
          </w:p>
        </w:tc>
        <w:tc>
          <w:tcPr>
            <w:tcW w:w="1063" w:type="dxa"/>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kern w:val="0"/>
                <w:sz w:val="10"/>
                <w:szCs w:val="10"/>
              </w:rPr>
            </w:pPr>
            <w:r>
              <w:rPr>
                <w:rFonts w:hint="eastAsia" w:asciiTheme="majorEastAsia" w:hAnsiTheme="majorEastAsia" w:eastAsiaTheme="majorEastAsia" w:cstheme="majorEastAsia"/>
                <w:i w:val="0"/>
                <w:iCs w:val="0"/>
                <w:color w:val="000000"/>
                <w:kern w:val="0"/>
                <w:sz w:val="10"/>
                <w:szCs w:val="10"/>
                <w:u w:val="none"/>
                <w:lang w:val="en-US" w:eastAsia="zh-CN" w:bidi="ar"/>
              </w:rPr>
              <w:t>通榆县公安2024年贫困、非贫人口辅警工资</w:t>
            </w:r>
          </w:p>
        </w:tc>
        <w:tc>
          <w:tcPr>
            <w:tcW w:w="1107" w:type="dxa"/>
            <w:noWrap w:val="0"/>
            <w:vAlign w:val="center"/>
          </w:tcPr>
          <w:p>
            <w:pPr>
              <w:jc w:val="left"/>
              <w:rPr>
                <w:rFonts w:hint="eastAsia" w:asciiTheme="majorEastAsia" w:hAnsiTheme="majorEastAsia" w:eastAsiaTheme="majorEastAsia" w:cstheme="majorEastAsia"/>
                <w:kern w:val="0"/>
                <w:sz w:val="10"/>
                <w:szCs w:val="10"/>
              </w:rPr>
            </w:pPr>
          </w:p>
        </w:tc>
        <w:tc>
          <w:tcPr>
            <w:tcW w:w="864" w:type="dxa"/>
            <w:noWrap w:val="0"/>
            <w:vAlign w:val="center"/>
          </w:tcPr>
          <w:p>
            <w:pPr>
              <w:jc w:val="left"/>
              <w:rPr>
                <w:rFonts w:hint="eastAsia" w:asciiTheme="majorEastAsia" w:hAnsiTheme="majorEastAsia" w:eastAsiaTheme="majorEastAsia" w:cstheme="majorEastAsia"/>
                <w:kern w:val="0"/>
                <w:sz w:val="10"/>
                <w:szCs w:val="10"/>
              </w:rPr>
            </w:pPr>
          </w:p>
        </w:tc>
        <w:tc>
          <w:tcPr>
            <w:tcW w:w="652" w:type="dxa"/>
            <w:noWrap w:val="0"/>
            <w:vAlign w:val="center"/>
          </w:tcPr>
          <w:p>
            <w:pPr>
              <w:keepNext w:val="0"/>
              <w:keepLines w:val="0"/>
              <w:widowControl/>
              <w:suppressLineNumbers w:val="0"/>
              <w:jc w:val="right"/>
              <w:textAlignment w:val="center"/>
              <w:rPr>
                <w:rFonts w:hint="eastAsia" w:asciiTheme="majorEastAsia" w:hAnsiTheme="majorEastAsia" w:eastAsiaTheme="majorEastAsia" w:cstheme="majorEastAsia"/>
                <w:kern w:val="0"/>
                <w:sz w:val="10"/>
                <w:szCs w:val="10"/>
              </w:rPr>
            </w:pPr>
            <w:r>
              <w:rPr>
                <w:rFonts w:hint="eastAsia" w:asciiTheme="majorEastAsia" w:hAnsiTheme="majorEastAsia" w:eastAsiaTheme="majorEastAsia" w:cstheme="majorEastAsia"/>
                <w:i w:val="0"/>
                <w:iCs w:val="0"/>
                <w:color w:val="000000"/>
                <w:kern w:val="0"/>
                <w:sz w:val="10"/>
                <w:szCs w:val="10"/>
                <w:u w:val="none"/>
                <w:lang w:val="en-US" w:eastAsia="zh-CN" w:bidi="ar"/>
              </w:rPr>
              <w:t>116.00</w:t>
            </w:r>
          </w:p>
        </w:tc>
        <w:tc>
          <w:tcPr>
            <w:tcW w:w="713" w:type="dxa"/>
            <w:noWrap w:val="0"/>
            <w:vAlign w:val="center"/>
          </w:tcPr>
          <w:p>
            <w:pPr>
              <w:keepNext w:val="0"/>
              <w:keepLines w:val="0"/>
              <w:widowControl/>
              <w:suppressLineNumbers w:val="0"/>
              <w:jc w:val="right"/>
              <w:textAlignment w:val="center"/>
              <w:rPr>
                <w:rFonts w:hint="eastAsia" w:asciiTheme="majorEastAsia" w:hAnsiTheme="majorEastAsia" w:eastAsiaTheme="majorEastAsia" w:cstheme="majorEastAsia"/>
                <w:kern w:val="0"/>
                <w:sz w:val="10"/>
                <w:szCs w:val="10"/>
              </w:rPr>
            </w:pPr>
            <w:r>
              <w:rPr>
                <w:rFonts w:hint="eastAsia" w:asciiTheme="majorEastAsia" w:hAnsiTheme="majorEastAsia" w:eastAsiaTheme="majorEastAsia" w:cstheme="majorEastAsia"/>
                <w:i w:val="0"/>
                <w:iCs w:val="0"/>
                <w:color w:val="000000"/>
                <w:kern w:val="0"/>
                <w:sz w:val="10"/>
                <w:szCs w:val="10"/>
                <w:u w:val="none"/>
                <w:lang w:val="en-US" w:eastAsia="zh-CN" w:bidi="ar"/>
              </w:rPr>
              <w:t>116.00</w:t>
            </w:r>
          </w:p>
        </w:tc>
        <w:tc>
          <w:tcPr>
            <w:tcW w:w="427" w:type="dxa"/>
            <w:noWrap w:val="0"/>
            <w:vAlign w:val="center"/>
          </w:tcPr>
          <w:p>
            <w:pPr>
              <w:spacing w:line="700" w:lineRule="exact"/>
              <w:jc w:val="center"/>
              <w:rPr>
                <w:rFonts w:ascii="Calibri" w:hAnsi="Calibri" w:eastAsia="楷体"/>
                <w:kern w:val="0"/>
                <w:szCs w:val="32"/>
              </w:rPr>
            </w:pPr>
          </w:p>
        </w:tc>
        <w:tc>
          <w:tcPr>
            <w:tcW w:w="334"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jc w:val="left"/>
              <w:rPr>
                <w:rFonts w:hint="eastAsia" w:asciiTheme="majorEastAsia" w:hAnsiTheme="majorEastAsia" w:eastAsiaTheme="majorEastAsia" w:cstheme="majorEastAsia"/>
                <w:kern w:val="0"/>
                <w:sz w:val="10"/>
                <w:szCs w:val="10"/>
              </w:rPr>
            </w:pPr>
          </w:p>
        </w:tc>
        <w:tc>
          <w:tcPr>
            <w:tcW w:w="1063" w:type="dxa"/>
            <w:noWrap w:val="0"/>
            <w:vAlign w:val="center"/>
          </w:tcPr>
          <w:p>
            <w:pPr>
              <w:jc w:val="left"/>
              <w:rPr>
                <w:rFonts w:hint="eastAsia" w:asciiTheme="majorEastAsia" w:hAnsiTheme="majorEastAsia" w:eastAsiaTheme="majorEastAsia" w:cstheme="majorEastAsia"/>
                <w:kern w:val="0"/>
                <w:sz w:val="10"/>
                <w:szCs w:val="10"/>
              </w:rPr>
            </w:pPr>
          </w:p>
        </w:tc>
        <w:tc>
          <w:tcPr>
            <w:tcW w:w="1107" w:type="dxa"/>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kern w:val="0"/>
                <w:sz w:val="10"/>
                <w:szCs w:val="10"/>
              </w:rPr>
            </w:pPr>
            <w:r>
              <w:rPr>
                <w:rFonts w:hint="eastAsia" w:asciiTheme="majorEastAsia" w:hAnsiTheme="majorEastAsia" w:eastAsiaTheme="majorEastAsia" w:cstheme="majorEastAsia"/>
                <w:i w:val="0"/>
                <w:iCs w:val="0"/>
                <w:color w:val="000000"/>
                <w:kern w:val="0"/>
                <w:sz w:val="10"/>
                <w:szCs w:val="10"/>
                <w:u w:val="none"/>
                <w:lang w:val="en-US" w:eastAsia="zh-CN" w:bidi="ar"/>
              </w:rPr>
              <w:t>通榆县公安局2024年贫困、非贫人口辅警工资</w:t>
            </w:r>
          </w:p>
        </w:tc>
        <w:tc>
          <w:tcPr>
            <w:tcW w:w="864" w:type="dxa"/>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kern w:val="0"/>
                <w:sz w:val="10"/>
                <w:szCs w:val="10"/>
              </w:rPr>
            </w:pPr>
            <w:r>
              <w:rPr>
                <w:rFonts w:hint="eastAsia" w:asciiTheme="majorEastAsia" w:hAnsiTheme="majorEastAsia" w:eastAsiaTheme="majorEastAsia" w:cstheme="majorEastAsia"/>
                <w:i w:val="0"/>
                <w:iCs w:val="0"/>
                <w:color w:val="000000"/>
                <w:kern w:val="0"/>
                <w:sz w:val="10"/>
                <w:szCs w:val="10"/>
                <w:u w:val="none"/>
                <w:lang w:val="en-US" w:eastAsia="zh-CN" w:bidi="ar"/>
              </w:rPr>
              <w:t>通榆县公安局</w:t>
            </w:r>
          </w:p>
        </w:tc>
        <w:tc>
          <w:tcPr>
            <w:tcW w:w="652" w:type="dxa"/>
            <w:noWrap w:val="0"/>
            <w:vAlign w:val="center"/>
          </w:tcPr>
          <w:p>
            <w:pPr>
              <w:keepNext w:val="0"/>
              <w:keepLines w:val="0"/>
              <w:widowControl/>
              <w:suppressLineNumbers w:val="0"/>
              <w:jc w:val="right"/>
              <w:textAlignment w:val="center"/>
              <w:rPr>
                <w:rFonts w:hint="eastAsia" w:asciiTheme="majorEastAsia" w:hAnsiTheme="majorEastAsia" w:eastAsiaTheme="majorEastAsia" w:cstheme="majorEastAsia"/>
                <w:kern w:val="0"/>
                <w:sz w:val="10"/>
                <w:szCs w:val="10"/>
              </w:rPr>
            </w:pPr>
            <w:r>
              <w:rPr>
                <w:rFonts w:hint="eastAsia" w:asciiTheme="majorEastAsia" w:hAnsiTheme="majorEastAsia" w:eastAsiaTheme="majorEastAsia" w:cstheme="majorEastAsia"/>
                <w:i w:val="0"/>
                <w:iCs w:val="0"/>
                <w:color w:val="000000"/>
                <w:kern w:val="0"/>
                <w:sz w:val="10"/>
                <w:szCs w:val="10"/>
                <w:u w:val="none"/>
                <w:lang w:val="en-US" w:eastAsia="zh-CN" w:bidi="ar"/>
              </w:rPr>
              <w:t>116.00</w:t>
            </w:r>
          </w:p>
        </w:tc>
        <w:tc>
          <w:tcPr>
            <w:tcW w:w="713" w:type="dxa"/>
            <w:noWrap w:val="0"/>
            <w:vAlign w:val="center"/>
          </w:tcPr>
          <w:p>
            <w:pPr>
              <w:keepNext w:val="0"/>
              <w:keepLines w:val="0"/>
              <w:widowControl/>
              <w:suppressLineNumbers w:val="0"/>
              <w:jc w:val="right"/>
              <w:textAlignment w:val="center"/>
              <w:rPr>
                <w:rFonts w:hint="eastAsia" w:asciiTheme="majorEastAsia" w:hAnsiTheme="majorEastAsia" w:eastAsiaTheme="majorEastAsia" w:cstheme="majorEastAsia"/>
                <w:kern w:val="0"/>
                <w:sz w:val="10"/>
                <w:szCs w:val="10"/>
              </w:rPr>
            </w:pPr>
            <w:r>
              <w:rPr>
                <w:rFonts w:hint="eastAsia" w:asciiTheme="majorEastAsia" w:hAnsiTheme="majorEastAsia" w:eastAsiaTheme="majorEastAsia" w:cstheme="majorEastAsia"/>
                <w:i w:val="0"/>
                <w:iCs w:val="0"/>
                <w:color w:val="000000"/>
                <w:kern w:val="0"/>
                <w:sz w:val="10"/>
                <w:szCs w:val="10"/>
                <w:u w:val="none"/>
                <w:lang w:val="en-US" w:eastAsia="zh-CN" w:bidi="ar"/>
              </w:rPr>
              <w:t>116.00</w:t>
            </w:r>
          </w:p>
        </w:tc>
        <w:tc>
          <w:tcPr>
            <w:tcW w:w="427" w:type="dxa"/>
            <w:noWrap w:val="0"/>
            <w:vAlign w:val="center"/>
          </w:tcPr>
          <w:p>
            <w:pPr>
              <w:spacing w:line="700" w:lineRule="exact"/>
              <w:jc w:val="center"/>
              <w:rPr>
                <w:rFonts w:ascii="Calibri" w:hAnsi="Calibri" w:eastAsia="楷体"/>
                <w:kern w:val="0"/>
                <w:szCs w:val="32"/>
              </w:rPr>
            </w:pPr>
          </w:p>
        </w:tc>
        <w:tc>
          <w:tcPr>
            <w:tcW w:w="334"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kern w:val="0"/>
                <w:sz w:val="10"/>
                <w:szCs w:val="10"/>
              </w:rPr>
            </w:pPr>
            <w:r>
              <w:rPr>
                <w:rFonts w:hint="eastAsia" w:asciiTheme="majorEastAsia" w:hAnsiTheme="majorEastAsia" w:eastAsiaTheme="majorEastAsia" w:cstheme="majorEastAsia"/>
                <w:i w:val="0"/>
                <w:iCs w:val="0"/>
                <w:color w:val="000000"/>
                <w:kern w:val="0"/>
                <w:sz w:val="10"/>
                <w:szCs w:val="10"/>
                <w:u w:val="none"/>
                <w:lang w:val="en-US" w:eastAsia="zh-CN" w:bidi="ar"/>
              </w:rPr>
              <w:t>311-专项业务支出</w:t>
            </w:r>
          </w:p>
        </w:tc>
        <w:tc>
          <w:tcPr>
            <w:tcW w:w="1063" w:type="dxa"/>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kern w:val="0"/>
                <w:sz w:val="10"/>
                <w:szCs w:val="10"/>
              </w:rPr>
            </w:pPr>
            <w:r>
              <w:rPr>
                <w:rFonts w:hint="eastAsia" w:asciiTheme="majorEastAsia" w:hAnsiTheme="majorEastAsia" w:eastAsiaTheme="majorEastAsia" w:cstheme="majorEastAsia"/>
                <w:i w:val="0"/>
                <w:iCs w:val="0"/>
                <w:color w:val="000000"/>
                <w:kern w:val="0"/>
                <w:sz w:val="10"/>
                <w:szCs w:val="10"/>
                <w:u w:val="none"/>
                <w:lang w:val="en-US" w:eastAsia="zh-CN" w:bidi="ar"/>
              </w:rPr>
              <w:t>通榆县公安局2024年一格一警辅警工资</w:t>
            </w:r>
          </w:p>
        </w:tc>
        <w:tc>
          <w:tcPr>
            <w:tcW w:w="1107" w:type="dxa"/>
            <w:noWrap w:val="0"/>
            <w:vAlign w:val="center"/>
          </w:tcPr>
          <w:p>
            <w:pPr>
              <w:jc w:val="left"/>
              <w:rPr>
                <w:rFonts w:hint="eastAsia" w:asciiTheme="majorEastAsia" w:hAnsiTheme="majorEastAsia" w:eastAsiaTheme="majorEastAsia" w:cstheme="majorEastAsia"/>
                <w:kern w:val="0"/>
                <w:sz w:val="10"/>
                <w:szCs w:val="10"/>
              </w:rPr>
            </w:pPr>
          </w:p>
        </w:tc>
        <w:tc>
          <w:tcPr>
            <w:tcW w:w="864" w:type="dxa"/>
            <w:noWrap w:val="0"/>
            <w:vAlign w:val="center"/>
          </w:tcPr>
          <w:p>
            <w:pPr>
              <w:jc w:val="left"/>
              <w:rPr>
                <w:rFonts w:hint="eastAsia" w:asciiTheme="majorEastAsia" w:hAnsiTheme="majorEastAsia" w:eastAsiaTheme="majorEastAsia" w:cstheme="majorEastAsia"/>
                <w:kern w:val="0"/>
                <w:sz w:val="10"/>
                <w:szCs w:val="10"/>
              </w:rPr>
            </w:pPr>
          </w:p>
        </w:tc>
        <w:tc>
          <w:tcPr>
            <w:tcW w:w="652" w:type="dxa"/>
            <w:noWrap w:val="0"/>
            <w:vAlign w:val="center"/>
          </w:tcPr>
          <w:p>
            <w:pPr>
              <w:keepNext w:val="0"/>
              <w:keepLines w:val="0"/>
              <w:widowControl/>
              <w:suppressLineNumbers w:val="0"/>
              <w:jc w:val="right"/>
              <w:textAlignment w:val="center"/>
              <w:rPr>
                <w:rFonts w:hint="eastAsia" w:asciiTheme="majorEastAsia" w:hAnsiTheme="majorEastAsia" w:eastAsiaTheme="majorEastAsia" w:cstheme="majorEastAsia"/>
                <w:kern w:val="0"/>
                <w:sz w:val="10"/>
                <w:szCs w:val="10"/>
              </w:rPr>
            </w:pPr>
            <w:r>
              <w:rPr>
                <w:rFonts w:hint="eastAsia" w:asciiTheme="majorEastAsia" w:hAnsiTheme="majorEastAsia" w:eastAsiaTheme="majorEastAsia" w:cstheme="majorEastAsia"/>
                <w:i w:val="0"/>
                <w:iCs w:val="0"/>
                <w:color w:val="000000"/>
                <w:kern w:val="0"/>
                <w:sz w:val="10"/>
                <w:szCs w:val="10"/>
                <w:u w:val="none"/>
                <w:lang w:val="en-US" w:eastAsia="zh-CN" w:bidi="ar"/>
              </w:rPr>
              <w:t>132.00</w:t>
            </w:r>
          </w:p>
        </w:tc>
        <w:tc>
          <w:tcPr>
            <w:tcW w:w="713" w:type="dxa"/>
            <w:noWrap w:val="0"/>
            <w:vAlign w:val="center"/>
          </w:tcPr>
          <w:p>
            <w:pPr>
              <w:keepNext w:val="0"/>
              <w:keepLines w:val="0"/>
              <w:widowControl/>
              <w:suppressLineNumbers w:val="0"/>
              <w:jc w:val="right"/>
              <w:textAlignment w:val="center"/>
              <w:rPr>
                <w:rFonts w:hint="eastAsia" w:asciiTheme="majorEastAsia" w:hAnsiTheme="majorEastAsia" w:eastAsiaTheme="majorEastAsia" w:cstheme="majorEastAsia"/>
                <w:kern w:val="0"/>
                <w:sz w:val="10"/>
                <w:szCs w:val="10"/>
              </w:rPr>
            </w:pPr>
            <w:r>
              <w:rPr>
                <w:rFonts w:hint="eastAsia" w:asciiTheme="majorEastAsia" w:hAnsiTheme="majorEastAsia" w:eastAsiaTheme="majorEastAsia" w:cstheme="majorEastAsia"/>
                <w:i w:val="0"/>
                <w:iCs w:val="0"/>
                <w:color w:val="000000"/>
                <w:kern w:val="0"/>
                <w:sz w:val="10"/>
                <w:szCs w:val="10"/>
                <w:u w:val="none"/>
                <w:lang w:val="en-US" w:eastAsia="zh-CN" w:bidi="ar"/>
              </w:rPr>
              <w:t>132.00</w:t>
            </w:r>
          </w:p>
        </w:tc>
        <w:tc>
          <w:tcPr>
            <w:tcW w:w="427" w:type="dxa"/>
            <w:noWrap w:val="0"/>
            <w:vAlign w:val="center"/>
          </w:tcPr>
          <w:p>
            <w:pPr>
              <w:spacing w:line="700" w:lineRule="exact"/>
              <w:jc w:val="center"/>
              <w:rPr>
                <w:rFonts w:ascii="Calibri" w:hAnsi="Calibri" w:eastAsia="楷体"/>
                <w:kern w:val="0"/>
                <w:szCs w:val="32"/>
              </w:rPr>
            </w:pPr>
          </w:p>
        </w:tc>
        <w:tc>
          <w:tcPr>
            <w:tcW w:w="334"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jc w:val="left"/>
              <w:rPr>
                <w:rFonts w:hint="eastAsia" w:asciiTheme="majorEastAsia" w:hAnsiTheme="majorEastAsia" w:eastAsiaTheme="majorEastAsia" w:cstheme="majorEastAsia"/>
                <w:kern w:val="0"/>
                <w:sz w:val="10"/>
                <w:szCs w:val="10"/>
              </w:rPr>
            </w:pPr>
          </w:p>
        </w:tc>
        <w:tc>
          <w:tcPr>
            <w:tcW w:w="1063" w:type="dxa"/>
            <w:noWrap w:val="0"/>
            <w:vAlign w:val="center"/>
          </w:tcPr>
          <w:p>
            <w:pPr>
              <w:jc w:val="left"/>
              <w:rPr>
                <w:rFonts w:hint="eastAsia" w:asciiTheme="majorEastAsia" w:hAnsiTheme="majorEastAsia" w:eastAsiaTheme="majorEastAsia" w:cstheme="majorEastAsia"/>
                <w:kern w:val="0"/>
                <w:sz w:val="10"/>
                <w:szCs w:val="10"/>
              </w:rPr>
            </w:pPr>
          </w:p>
        </w:tc>
        <w:tc>
          <w:tcPr>
            <w:tcW w:w="1107" w:type="dxa"/>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kern w:val="0"/>
                <w:sz w:val="10"/>
                <w:szCs w:val="10"/>
              </w:rPr>
            </w:pPr>
            <w:r>
              <w:rPr>
                <w:rFonts w:hint="eastAsia" w:asciiTheme="majorEastAsia" w:hAnsiTheme="majorEastAsia" w:eastAsiaTheme="majorEastAsia" w:cstheme="majorEastAsia"/>
                <w:i w:val="0"/>
                <w:iCs w:val="0"/>
                <w:color w:val="000000"/>
                <w:kern w:val="0"/>
                <w:sz w:val="10"/>
                <w:szCs w:val="10"/>
                <w:u w:val="none"/>
                <w:lang w:val="en-US" w:eastAsia="zh-CN" w:bidi="ar"/>
              </w:rPr>
              <w:t>通榆县公安局2024年一格一警辅警工资</w:t>
            </w:r>
          </w:p>
        </w:tc>
        <w:tc>
          <w:tcPr>
            <w:tcW w:w="864" w:type="dxa"/>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kern w:val="0"/>
                <w:sz w:val="10"/>
                <w:szCs w:val="10"/>
              </w:rPr>
            </w:pPr>
            <w:r>
              <w:rPr>
                <w:rFonts w:hint="eastAsia" w:asciiTheme="majorEastAsia" w:hAnsiTheme="majorEastAsia" w:eastAsiaTheme="majorEastAsia" w:cstheme="majorEastAsia"/>
                <w:i w:val="0"/>
                <w:iCs w:val="0"/>
                <w:color w:val="000000"/>
                <w:kern w:val="0"/>
                <w:sz w:val="10"/>
                <w:szCs w:val="10"/>
                <w:u w:val="none"/>
                <w:lang w:val="en-US" w:eastAsia="zh-CN" w:bidi="ar"/>
              </w:rPr>
              <w:t>通榆县公安局</w:t>
            </w:r>
          </w:p>
        </w:tc>
        <w:tc>
          <w:tcPr>
            <w:tcW w:w="652" w:type="dxa"/>
            <w:noWrap w:val="0"/>
            <w:vAlign w:val="center"/>
          </w:tcPr>
          <w:p>
            <w:pPr>
              <w:keepNext w:val="0"/>
              <w:keepLines w:val="0"/>
              <w:widowControl/>
              <w:suppressLineNumbers w:val="0"/>
              <w:jc w:val="right"/>
              <w:textAlignment w:val="center"/>
              <w:rPr>
                <w:rFonts w:hint="eastAsia" w:asciiTheme="majorEastAsia" w:hAnsiTheme="majorEastAsia" w:eastAsiaTheme="majorEastAsia" w:cstheme="majorEastAsia"/>
                <w:kern w:val="0"/>
                <w:sz w:val="10"/>
                <w:szCs w:val="10"/>
              </w:rPr>
            </w:pPr>
            <w:r>
              <w:rPr>
                <w:rFonts w:hint="eastAsia" w:asciiTheme="majorEastAsia" w:hAnsiTheme="majorEastAsia" w:eastAsiaTheme="majorEastAsia" w:cstheme="majorEastAsia"/>
                <w:i w:val="0"/>
                <w:iCs w:val="0"/>
                <w:color w:val="000000"/>
                <w:kern w:val="0"/>
                <w:sz w:val="10"/>
                <w:szCs w:val="10"/>
                <w:u w:val="none"/>
                <w:lang w:val="en-US" w:eastAsia="zh-CN" w:bidi="ar"/>
              </w:rPr>
              <w:t>132.00</w:t>
            </w:r>
          </w:p>
        </w:tc>
        <w:tc>
          <w:tcPr>
            <w:tcW w:w="713" w:type="dxa"/>
            <w:noWrap w:val="0"/>
            <w:vAlign w:val="center"/>
          </w:tcPr>
          <w:p>
            <w:pPr>
              <w:keepNext w:val="0"/>
              <w:keepLines w:val="0"/>
              <w:widowControl/>
              <w:suppressLineNumbers w:val="0"/>
              <w:jc w:val="right"/>
              <w:textAlignment w:val="center"/>
              <w:rPr>
                <w:rFonts w:hint="eastAsia" w:asciiTheme="majorEastAsia" w:hAnsiTheme="majorEastAsia" w:eastAsiaTheme="majorEastAsia" w:cstheme="majorEastAsia"/>
                <w:kern w:val="0"/>
                <w:sz w:val="10"/>
                <w:szCs w:val="10"/>
              </w:rPr>
            </w:pPr>
            <w:r>
              <w:rPr>
                <w:rFonts w:hint="eastAsia" w:asciiTheme="majorEastAsia" w:hAnsiTheme="majorEastAsia" w:eastAsiaTheme="majorEastAsia" w:cstheme="majorEastAsia"/>
                <w:i w:val="0"/>
                <w:iCs w:val="0"/>
                <w:color w:val="000000"/>
                <w:kern w:val="0"/>
                <w:sz w:val="10"/>
                <w:szCs w:val="10"/>
                <w:u w:val="none"/>
                <w:lang w:val="en-US" w:eastAsia="zh-CN" w:bidi="ar"/>
              </w:rPr>
              <w:t>132.00</w:t>
            </w:r>
          </w:p>
        </w:tc>
        <w:tc>
          <w:tcPr>
            <w:tcW w:w="427" w:type="dxa"/>
            <w:noWrap w:val="0"/>
            <w:vAlign w:val="center"/>
          </w:tcPr>
          <w:p>
            <w:pPr>
              <w:spacing w:line="700" w:lineRule="exact"/>
              <w:jc w:val="center"/>
              <w:rPr>
                <w:rFonts w:ascii="Calibri" w:hAnsi="Calibri" w:eastAsia="楷体"/>
                <w:kern w:val="0"/>
                <w:szCs w:val="32"/>
              </w:rPr>
            </w:pPr>
          </w:p>
        </w:tc>
        <w:tc>
          <w:tcPr>
            <w:tcW w:w="334"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kern w:val="0"/>
                <w:sz w:val="10"/>
                <w:szCs w:val="10"/>
              </w:rPr>
            </w:pPr>
            <w:r>
              <w:rPr>
                <w:rFonts w:hint="eastAsia" w:asciiTheme="majorEastAsia" w:hAnsiTheme="majorEastAsia" w:eastAsiaTheme="majorEastAsia" w:cstheme="majorEastAsia"/>
                <w:i w:val="0"/>
                <w:iCs w:val="0"/>
                <w:color w:val="000000"/>
                <w:kern w:val="0"/>
                <w:sz w:val="10"/>
                <w:szCs w:val="10"/>
                <w:u w:val="none"/>
                <w:lang w:val="en-US" w:eastAsia="zh-CN" w:bidi="ar"/>
              </w:rPr>
              <w:t>311-专项业务支出</w:t>
            </w:r>
          </w:p>
        </w:tc>
        <w:tc>
          <w:tcPr>
            <w:tcW w:w="1063" w:type="dxa"/>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kern w:val="0"/>
                <w:sz w:val="10"/>
                <w:szCs w:val="10"/>
              </w:rPr>
            </w:pPr>
            <w:r>
              <w:rPr>
                <w:rFonts w:hint="eastAsia" w:asciiTheme="majorEastAsia" w:hAnsiTheme="majorEastAsia" w:eastAsiaTheme="majorEastAsia" w:cstheme="majorEastAsia"/>
                <w:i w:val="0"/>
                <w:iCs w:val="0"/>
                <w:color w:val="000000"/>
                <w:kern w:val="0"/>
                <w:sz w:val="10"/>
                <w:szCs w:val="10"/>
                <w:u w:val="none"/>
                <w:lang w:val="en-US" w:eastAsia="zh-CN" w:bidi="ar"/>
              </w:rPr>
              <w:t>通榆县公安局2024年禁毒经费</w:t>
            </w:r>
          </w:p>
        </w:tc>
        <w:tc>
          <w:tcPr>
            <w:tcW w:w="1107" w:type="dxa"/>
            <w:noWrap w:val="0"/>
            <w:vAlign w:val="center"/>
          </w:tcPr>
          <w:p>
            <w:pPr>
              <w:jc w:val="left"/>
              <w:rPr>
                <w:rFonts w:hint="eastAsia" w:asciiTheme="majorEastAsia" w:hAnsiTheme="majorEastAsia" w:eastAsiaTheme="majorEastAsia" w:cstheme="majorEastAsia"/>
                <w:kern w:val="0"/>
                <w:sz w:val="10"/>
                <w:szCs w:val="10"/>
              </w:rPr>
            </w:pPr>
          </w:p>
        </w:tc>
        <w:tc>
          <w:tcPr>
            <w:tcW w:w="864" w:type="dxa"/>
            <w:noWrap w:val="0"/>
            <w:vAlign w:val="center"/>
          </w:tcPr>
          <w:p>
            <w:pPr>
              <w:jc w:val="left"/>
              <w:rPr>
                <w:rFonts w:hint="eastAsia" w:asciiTheme="majorEastAsia" w:hAnsiTheme="majorEastAsia" w:eastAsiaTheme="majorEastAsia" w:cstheme="majorEastAsia"/>
                <w:kern w:val="0"/>
                <w:sz w:val="10"/>
                <w:szCs w:val="10"/>
              </w:rPr>
            </w:pPr>
          </w:p>
        </w:tc>
        <w:tc>
          <w:tcPr>
            <w:tcW w:w="652" w:type="dxa"/>
            <w:noWrap w:val="0"/>
            <w:vAlign w:val="center"/>
          </w:tcPr>
          <w:p>
            <w:pPr>
              <w:keepNext w:val="0"/>
              <w:keepLines w:val="0"/>
              <w:widowControl/>
              <w:suppressLineNumbers w:val="0"/>
              <w:jc w:val="right"/>
              <w:textAlignment w:val="center"/>
              <w:rPr>
                <w:rFonts w:hint="eastAsia" w:asciiTheme="majorEastAsia" w:hAnsiTheme="majorEastAsia" w:eastAsiaTheme="majorEastAsia" w:cstheme="majorEastAsia"/>
                <w:kern w:val="0"/>
                <w:sz w:val="10"/>
                <w:szCs w:val="10"/>
              </w:rPr>
            </w:pPr>
            <w:r>
              <w:rPr>
                <w:rFonts w:hint="eastAsia" w:asciiTheme="majorEastAsia" w:hAnsiTheme="majorEastAsia" w:eastAsiaTheme="majorEastAsia" w:cstheme="majorEastAsia"/>
                <w:i w:val="0"/>
                <w:iCs w:val="0"/>
                <w:color w:val="000000"/>
                <w:kern w:val="0"/>
                <w:sz w:val="10"/>
                <w:szCs w:val="10"/>
                <w:u w:val="none"/>
                <w:lang w:val="en-US" w:eastAsia="zh-CN" w:bidi="ar"/>
              </w:rPr>
              <w:t>10.00</w:t>
            </w:r>
          </w:p>
        </w:tc>
        <w:tc>
          <w:tcPr>
            <w:tcW w:w="713" w:type="dxa"/>
            <w:noWrap w:val="0"/>
            <w:vAlign w:val="center"/>
          </w:tcPr>
          <w:p>
            <w:pPr>
              <w:keepNext w:val="0"/>
              <w:keepLines w:val="0"/>
              <w:widowControl/>
              <w:suppressLineNumbers w:val="0"/>
              <w:jc w:val="right"/>
              <w:textAlignment w:val="center"/>
              <w:rPr>
                <w:rFonts w:hint="eastAsia" w:asciiTheme="majorEastAsia" w:hAnsiTheme="majorEastAsia" w:eastAsiaTheme="majorEastAsia" w:cstheme="majorEastAsia"/>
                <w:kern w:val="0"/>
                <w:sz w:val="10"/>
                <w:szCs w:val="10"/>
              </w:rPr>
            </w:pPr>
            <w:r>
              <w:rPr>
                <w:rFonts w:hint="eastAsia" w:asciiTheme="majorEastAsia" w:hAnsiTheme="majorEastAsia" w:eastAsiaTheme="majorEastAsia" w:cstheme="majorEastAsia"/>
                <w:i w:val="0"/>
                <w:iCs w:val="0"/>
                <w:color w:val="000000"/>
                <w:kern w:val="0"/>
                <w:sz w:val="10"/>
                <w:szCs w:val="10"/>
                <w:u w:val="none"/>
                <w:lang w:val="en-US" w:eastAsia="zh-CN" w:bidi="ar"/>
              </w:rPr>
              <w:t>10.00</w:t>
            </w:r>
          </w:p>
        </w:tc>
        <w:tc>
          <w:tcPr>
            <w:tcW w:w="427" w:type="dxa"/>
            <w:noWrap w:val="0"/>
            <w:vAlign w:val="center"/>
          </w:tcPr>
          <w:p>
            <w:pPr>
              <w:spacing w:line="700" w:lineRule="exact"/>
              <w:jc w:val="center"/>
              <w:rPr>
                <w:rFonts w:ascii="Calibri" w:hAnsi="Calibri" w:eastAsia="楷体"/>
                <w:kern w:val="0"/>
                <w:szCs w:val="32"/>
              </w:rPr>
            </w:pPr>
          </w:p>
        </w:tc>
        <w:tc>
          <w:tcPr>
            <w:tcW w:w="334"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jc w:val="left"/>
              <w:rPr>
                <w:rFonts w:hint="eastAsia" w:asciiTheme="majorEastAsia" w:hAnsiTheme="majorEastAsia" w:eastAsiaTheme="majorEastAsia" w:cstheme="majorEastAsia"/>
                <w:kern w:val="0"/>
                <w:sz w:val="10"/>
                <w:szCs w:val="10"/>
              </w:rPr>
            </w:pPr>
          </w:p>
        </w:tc>
        <w:tc>
          <w:tcPr>
            <w:tcW w:w="1063" w:type="dxa"/>
            <w:noWrap w:val="0"/>
            <w:vAlign w:val="center"/>
          </w:tcPr>
          <w:p>
            <w:pPr>
              <w:jc w:val="left"/>
              <w:rPr>
                <w:rFonts w:hint="eastAsia" w:asciiTheme="majorEastAsia" w:hAnsiTheme="majorEastAsia" w:eastAsiaTheme="majorEastAsia" w:cstheme="majorEastAsia"/>
                <w:kern w:val="0"/>
                <w:sz w:val="10"/>
                <w:szCs w:val="10"/>
              </w:rPr>
            </w:pPr>
          </w:p>
        </w:tc>
        <w:tc>
          <w:tcPr>
            <w:tcW w:w="1107" w:type="dxa"/>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kern w:val="0"/>
                <w:sz w:val="10"/>
                <w:szCs w:val="10"/>
              </w:rPr>
            </w:pPr>
            <w:r>
              <w:rPr>
                <w:rFonts w:hint="eastAsia" w:asciiTheme="majorEastAsia" w:hAnsiTheme="majorEastAsia" w:eastAsiaTheme="majorEastAsia" w:cstheme="majorEastAsia"/>
                <w:i w:val="0"/>
                <w:iCs w:val="0"/>
                <w:color w:val="000000"/>
                <w:kern w:val="0"/>
                <w:sz w:val="10"/>
                <w:szCs w:val="10"/>
                <w:u w:val="none"/>
                <w:lang w:val="en-US" w:eastAsia="zh-CN" w:bidi="ar"/>
              </w:rPr>
              <w:t>通榆县公安局2024年禁毒经费</w:t>
            </w:r>
          </w:p>
        </w:tc>
        <w:tc>
          <w:tcPr>
            <w:tcW w:w="864" w:type="dxa"/>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kern w:val="0"/>
                <w:sz w:val="10"/>
                <w:szCs w:val="10"/>
              </w:rPr>
            </w:pPr>
            <w:r>
              <w:rPr>
                <w:rFonts w:hint="eastAsia" w:asciiTheme="majorEastAsia" w:hAnsiTheme="majorEastAsia" w:eastAsiaTheme="majorEastAsia" w:cstheme="majorEastAsia"/>
                <w:i w:val="0"/>
                <w:iCs w:val="0"/>
                <w:color w:val="000000"/>
                <w:kern w:val="0"/>
                <w:sz w:val="10"/>
                <w:szCs w:val="10"/>
                <w:u w:val="none"/>
                <w:lang w:val="en-US" w:eastAsia="zh-CN" w:bidi="ar"/>
              </w:rPr>
              <w:t>通榆县公安局</w:t>
            </w:r>
          </w:p>
        </w:tc>
        <w:tc>
          <w:tcPr>
            <w:tcW w:w="652" w:type="dxa"/>
            <w:noWrap w:val="0"/>
            <w:vAlign w:val="center"/>
          </w:tcPr>
          <w:p>
            <w:pPr>
              <w:keepNext w:val="0"/>
              <w:keepLines w:val="0"/>
              <w:widowControl/>
              <w:suppressLineNumbers w:val="0"/>
              <w:jc w:val="right"/>
              <w:textAlignment w:val="center"/>
              <w:rPr>
                <w:rFonts w:hint="eastAsia" w:asciiTheme="majorEastAsia" w:hAnsiTheme="majorEastAsia" w:eastAsiaTheme="majorEastAsia" w:cstheme="majorEastAsia"/>
                <w:kern w:val="0"/>
                <w:sz w:val="10"/>
                <w:szCs w:val="10"/>
              </w:rPr>
            </w:pPr>
            <w:r>
              <w:rPr>
                <w:rFonts w:hint="eastAsia" w:asciiTheme="majorEastAsia" w:hAnsiTheme="majorEastAsia" w:eastAsiaTheme="majorEastAsia" w:cstheme="majorEastAsia"/>
                <w:i w:val="0"/>
                <w:iCs w:val="0"/>
                <w:color w:val="000000"/>
                <w:kern w:val="0"/>
                <w:sz w:val="10"/>
                <w:szCs w:val="10"/>
                <w:u w:val="none"/>
                <w:lang w:val="en-US" w:eastAsia="zh-CN" w:bidi="ar"/>
              </w:rPr>
              <w:t>10.00</w:t>
            </w:r>
          </w:p>
        </w:tc>
        <w:tc>
          <w:tcPr>
            <w:tcW w:w="713" w:type="dxa"/>
            <w:noWrap w:val="0"/>
            <w:vAlign w:val="center"/>
          </w:tcPr>
          <w:p>
            <w:pPr>
              <w:keepNext w:val="0"/>
              <w:keepLines w:val="0"/>
              <w:widowControl/>
              <w:suppressLineNumbers w:val="0"/>
              <w:jc w:val="right"/>
              <w:textAlignment w:val="center"/>
              <w:rPr>
                <w:rFonts w:hint="eastAsia" w:asciiTheme="majorEastAsia" w:hAnsiTheme="majorEastAsia" w:eastAsiaTheme="majorEastAsia" w:cstheme="majorEastAsia"/>
                <w:kern w:val="0"/>
                <w:sz w:val="10"/>
                <w:szCs w:val="10"/>
              </w:rPr>
            </w:pPr>
            <w:r>
              <w:rPr>
                <w:rFonts w:hint="eastAsia" w:asciiTheme="majorEastAsia" w:hAnsiTheme="majorEastAsia" w:eastAsiaTheme="majorEastAsia" w:cstheme="majorEastAsia"/>
                <w:i w:val="0"/>
                <w:iCs w:val="0"/>
                <w:color w:val="000000"/>
                <w:kern w:val="0"/>
                <w:sz w:val="10"/>
                <w:szCs w:val="10"/>
                <w:u w:val="none"/>
                <w:lang w:val="en-US" w:eastAsia="zh-CN" w:bidi="ar"/>
              </w:rPr>
              <w:t>10.00</w:t>
            </w:r>
          </w:p>
        </w:tc>
        <w:tc>
          <w:tcPr>
            <w:tcW w:w="427" w:type="dxa"/>
            <w:noWrap w:val="0"/>
            <w:vAlign w:val="center"/>
          </w:tcPr>
          <w:p>
            <w:pPr>
              <w:spacing w:line="700" w:lineRule="exact"/>
              <w:jc w:val="center"/>
              <w:rPr>
                <w:rFonts w:ascii="Calibri" w:hAnsi="Calibri" w:eastAsia="楷体"/>
                <w:kern w:val="0"/>
                <w:szCs w:val="32"/>
              </w:rPr>
            </w:pPr>
          </w:p>
        </w:tc>
        <w:tc>
          <w:tcPr>
            <w:tcW w:w="334"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kern w:val="0"/>
                <w:sz w:val="10"/>
                <w:szCs w:val="10"/>
              </w:rPr>
            </w:pPr>
            <w:r>
              <w:rPr>
                <w:rFonts w:hint="eastAsia" w:asciiTheme="majorEastAsia" w:hAnsiTheme="majorEastAsia" w:eastAsiaTheme="majorEastAsia" w:cstheme="majorEastAsia"/>
                <w:i w:val="0"/>
                <w:iCs w:val="0"/>
                <w:color w:val="000000"/>
                <w:kern w:val="0"/>
                <w:sz w:val="10"/>
                <w:szCs w:val="10"/>
                <w:u w:val="none"/>
                <w:lang w:val="en-US" w:eastAsia="zh-CN" w:bidi="ar"/>
              </w:rPr>
              <w:t>311-专项业务支出</w:t>
            </w:r>
          </w:p>
        </w:tc>
        <w:tc>
          <w:tcPr>
            <w:tcW w:w="1063" w:type="dxa"/>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kern w:val="0"/>
                <w:sz w:val="10"/>
                <w:szCs w:val="10"/>
              </w:rPr>
            </w:pPr>
            <w:r>
              <w:rPr>
                <w:rFonts w:hint="eastAsia" w:asciiTheme="majorEastAsia" w:hAnsiTheme="majorEastAsia" w:eastAsiaTheme="majorEastAsia" w:cstheme="majorEastAsia"/>
                <w:i w:val="0"/>
                <w:iCs w:val="0"/>
                <w:color w:val="000000"/>
                <w:kern w:val="0"/>
                <w:sz w:val="10"/>
                <w:szCs w:val="10"/>
                <w:u w:val="none"/>
                <w:lang w:val="en-US" w:eastAsia="zh-CN" w:bidi="ar"/>
              </w:rPr>
              <w:t>通榆县公安局2024年视频监控运行费</w:t>
            </w:r>
          </w:p>
        </w:tc>
        <w:tc>
          <w:tcPr>
            <w:tcW w:w="1107" w:type="dxa"/>
            <w:noWrap w:val="0"/>
            <w:vAlign w:val="center"/>
          </w:tcPr>
          <w:p>
            <w:pPr>
              <w:jc w:val="left"/>
              <w:rPr>
                <w:rFonts w:hint="eastAsia" w:asciiTheme="majorEastAsia" w:hAnsiTheme="majorEastAsia" w:eastAsiaTheme="majorEastAsia" w:cstheme="majorEastAsia"/>
                <w:kern w:val="0"/>
                <w:sz w:val="10"/>
                <w:szCs w:val="10"/>
              </w:rPr>
            </w:pPr>
          </w:p>
        </w:tc>
        <w:tc>
          <w:tcPr>
            <w:tcW w:w="864" w:type="dxa"/>
            <w:noWrap w:val="0"/>
            <w:vAlign w:val="center"/>
          </w:tcPr>
          <w:p>
            <w:pPr>
              <w:jc w:val="left"/>
              <w:rPr>
                <w:rFonts w:hint="eastAsia" w:asciiTheme="majorEastAsia" w:hAnsiTheme="majorEastAsia" w:eastAsiaTheme="majorEastAsia" w:cstheme="majorEastAsia"/>
                <w:kern w:val="0"/>
                <w:sz w:val="10"/>
                <w:szCs w:val="10"/>
              </w:rPr>
            </w:pPr>
          </w:p>
        </w:tc>
        <w:tc>
          <w:tcPr>
            <w:tcW w:w="652" w:type="dxa"/>
            <w:noWrap w:val="0"/>
            <w:vAlign w:val="center"/>
          </w:tcPr>
          <w:p>
            <w:pPr>
              <w:keepNext w:val="0"/>
              <w:keepLines w:val="0"/>
              <w:widowControl/>
              <w:suppressLineNumbers w:val="0"/>
              <w:jc w:val="right"/>
              <w:textAlignment w:val="center"/>
              <w:rPr>
                <w:rFonts w:hint="eastAsia" w:asciiTheme="majorEastAsia" w:hAnsiTheme="majorEastAsia" w:eastAsiaTheme="majorEastAsia" w:cstheme="majorEastAsia"/>
                <w:kern w:val="0"/>
                <w:sz w:val="10"/>
                <w:szCs w:val="10"/>
              </w:rPr>
            </w:pPr>
            <w:r>
              <w:rPr>
                <w:rFonts w:hint="eastAsia" w:asciiTheme="majorEastAsia" w:hAnsiTheme="majorEastAsia" w:eastAsiaTheme="majorEastAsia" w:cstheme="majorEastAsia"/>
                <w:i w:val="0"/>
                <w:iCs w:val="0"/>
                <w:color w:val="000000"/>
                <w:kern w:val="0"/>
                <w:sz w:val="10"/>
                <w:szCs w:val="10"/>
                <w:u w:val="none"/>
                <w:lang w:val="en-US" w:eastAsia="zh-CN" w:bidi="ar"/>
              </w:rPr>
              <w:t>863.00</w:t>
            </w:r>
          </w:p>
        </w:tc>
        <w:tc>
          <w:tcPr>
            <w:tcW w:w="713" w:type="dxa"/>
            <w:noWrap w:val="0"/>
            <w:vAlign w:val="center"/>
          </w:tcPr>
          <w:p>
            <w:pPr>
              <w:keepNext w:val="0"/>
              <w:keepLines w:val="0"/>
              <w:widowControl/>
              <w:suppressLineNumbers w:val="0"/>
              <w:jc w:val="right"/>
              <w:textAlignment w:val="center"/>
              <w:rPr>
                <w:rFonts w:hint="eastAsia" w:asciiTheme="majorEastAsia" w:hAnsiTheme="majorEastAsia" w:eastAsiaTheme="majorEastAsia" w:cstheme="majorEastAsia"/>
                <w:kern w:val="0"/>
                <w:sz w:val="10"/>
                <w:szCs w:val="10"/>
              </w:rPr>
            </w:pPr>
            <w:r>
              <w:rPr>
                <w:rFonts w:hint="eastAsia" w:asciiTheme="majorEastAsia" w:hAnsiTheme="majorEastAsia" w:eastAsiaTheme="majorEastAsia" w:cstheme="majorEastAsia"/>
                <w:i w:val="0"/>
                <w:iCs w:val="0"/>
                <w:color w:val="000000"/>
                <w:kern w:val="0"/>
                <w:sz w:val="10"/>
                <w:szCs w:val="10"/>
                <w:u w:val="none"/>
                <w:lang w:val="en-US" w:eastAsia="zh-CN" w:bidi="ar"/>
              </w:rPr>
              <w:t>863.00</w:t>
            </w:r>
          </w:p>
        </w:tc>
        <w:tc>
          <w:tcPr>
            <w:tcW w:w="427" w:type="dxa"/>
            <w:noWrap w:val="0"/>
            <w:vAlign w:val="center"/>
          </w:tcPr>
          <w:p>
            <w:pPr>
              <w:spacing w:line="700" w:lineRule="exact"/>
              <w:jc w:val="center"/>
              <w:rPr>
                <w:rFonts w:ascii="Calibri" w:hAnsi="Calibri" w:eastAsia="楷体"/>
                <w:kern w:val="0"/>
                <w:szCs w:val="32"/>
              </w:rPr>
            </w:pPr>
          </w:p>
        </w:tc>
        <w:tc>
          <w:tcPr>
            <w:tcW w:w="334"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jc w:val="left"/>
              <w:rPr>
                <w:rFonts w:hint="eastAsia" w:asciiTheme="majorEastAsia" w:hAnsiTheme="majorEastAsia" w:eastAsiaTheme="majorEastAsia" w:cstheme="majorEastAsia"/>
                <w:kern w:val="0"/>
                <w:sz w:val="10"/>
                <w:szCs w:val="10"/>
              </w:rPr>
            </w:pPr>
          </w:p>
        </w:tc>
        <w:tc>
          <w:tcPr>
            <w:tcW w:w="1063" w:type="dxa"/>
            <w:noWrap w:val="0"/>
            <w:vAlign w:val="center"/>
          </w:tcPr>
          <w:p>
            <w:pPr>
              <w:jc w:val="left"/>
              <w:rPr>
                <w:rFonts w:hint="eastAsia" w:asciiTheme="majorEastAsia" w:hAnsiTheme="majorEastAsia" w:eastAsiaTheme="majorEastAsia" w:cstheme="majorEastAsia"/>
                <w:kern w:val="0"/>
                <w:sz w:val="10"/>
                <w:szCs w:val="10"/>
              </w:rPr>
            </w:pPr>
          </w:p>
        </w:tc>
        <w:tc>
          <w:tcPr>
            <w:tcW w:w="1107" w:type="dxa"/>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kern w:val="0"/>
                <w:sz w:val="10"/>
                <w:szCs w:val="10"/>
              </w:rPr>
            </w:pPr>
            <w:r>
              <w:rPr>
                <w:rFonts w:hint="eastAsia" w:asciiTheme="majorEastAsia" w:hAnsiTheme="majorEastAsia" w:eastAsiaTheme="majorEastAsia" w:cstheme="majorEastAsia"/>
                <w:i w:val="0"/>
                <w:iCs w:val="0"/>
                <w:color w:val="000000"/>
                <w:kern w:val="0"/>
                <w:sz w:val="10"/>
                <w:szCs w:val="10"/>
                <w:u w:val="none"/>
                <w:lang w:val="en-US" w:eastAsia="zh-CN" w:bidi="ar"/>
              </w:rPr>
              <w:t>通榆县公安局2024年视频监控运行费</w:t>
            </w:r>
          </w:p>
        </w:tc>
        <w:tc>
          <w:tcPr>
            <w:tcW w:w="864" w:type="dxa"/>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kern w:val="0"/>
                <w:sz w:val="10"/>
                <w:szCs w:val="10"/>
              </w:rPr>
            </w:pPr>
            <w:r>
              <w:rPr>
                <w:rFonts w:hint="eastAsia" w:asciiTheme="majorEastAsia" w:hAnsiTheme="majorEastAsia" w:eastAsiaTheme="majorEastAsia" w:cstheme="majorEastAsia"/>
                <w:i w:val="0"/>
                <w:iCs w:val="0"/>
                <w:color w:val="000000"/>
                <w:kern w:val="0"/>
                <w:sz w:val="10"/>
                <w:szCs w:val="10"/>
                <w:u w:val="none"/>
                <w:lang w:val="en-US" w:eastAsia="zh-CN" w:bidi="ar"/>
              </w:rPr>
              <w:t>通榆县公安局</w:t>
            </w:r>
          </w:p>
        </w:tc>
        <w:tc>
          <w:tcPr>
            <w:tcW w:w="652" w:type="dxa"/>
            <w:noWrap w:val="0"/>
            <w:vAlign w:val="center"/>
          </w:tcPr>
          <w:p>
            <w:pPr>
              <w:keepNext w:val="0"/>
              <w:keepLines w:val="0"/>
              <w:widowControl/>
              <w:suppressLineNumbers w:val="0"/>
              <w:jc w:val="right"/>
              <w:textAlignment w:val="center"/>
              <w:rPr>
                <w:rFonts w:hint="eastAsia" w:asciiTheme="majorEastAsia" w:hAnsiTheme="majorEastAsia" w:eastAsiaTheme="majorEastAsia" w:cstheme="majorEastAsia"/>
                <w:kern w:val="0"/>
                <w:sz w:val="10"/>
                <w:szCs w:val="10"/>
              </w:rPr>
            </w:pPr>
            <w:r>
              <w:rPr>
                <w:rFonts w:hint="eastAsia" w:asciiTheme="majorEastAsia" w:hAnsiTheme="majorEastAsia" w:eastAsiaTheme="majorEastAsia" w:cstheme="majorEastAsia"/>
                <w:i w:val="0"/>
                <w:iCs w:val="0"/>
                <w:color w:val="000000"/>
                <w:kern w:val="0"/>
                <w:sz w:val="10"/>
                <w:szCs w:val="10"/>
                <w:u w:val="none"/>
                <w:lang w:val="en-US" w:eastAsia="zh-CN" w:bidi="ar"/>
              </w:rPr>
              <w:t>863.00</w:t>
            </w:r>
          </w:p>
        </w:tc>
        <w:tc>
          <w:tcPr>
            <w:tcW w:w="713" w:type="dxa"/>
            <w:noWrap w:val="0"/>
            <w:vAlign w:val="center"/>
          </w:tcPr>
          <w:p>
            <w:pPr>
              <w:keepNext w:val="0"/>
              <w:keepLines w:val="0"/>
              <w:widowControl/>
              <w:suppressLineNumbers w:val="0"/>
              <w:jc w:val="right"/>
              <w:textAlignment w:val="center"/>
              <w:rPr>
                <w:rFonts w:hint="eastAsia" w:asciiTheme="majorEastAsia" w:hAnsiTheme="majorEastAsia" w:eastAsiaTheme="majorEastAsia" w:cstheme="majorEastAsia"/>
                <w:kern w:val="0"/>
                <w:sz w:val="10"/>
                <w:szCs w:val="10"/>
              </w:rPr>
            </w:pPr>
            <w:r>
              <w:rPr>
                <w:rFonts w:hint="eastAsia" w:asciiTheme="majorEastAsia" w:hAnsiTheme="majorEastAsia" w:eastAsiaTheme="majorEastAsia" w:cstheme="majorEastAsia"/>
                <w:i w:val="0"/>
                <w:iCs w:val="0"/>
                <w:color w:val="000000"/>
                <w:kern w:val="0"/>
                <w:sz w:val="10"/>
                <w:szCs w:val="10"/>
                <w:u w:val="none"/>
                <w:lang w:val="en-US" w:eastAsia="zh-CN" w:bidi="ar"/>
              </w:rPr>
              <w:t>863.00</w:t>
            </w:r>
          </w:p>
        </w:tc>
        <w:tc>
          <w:tcPr>
            <w:tcW w:w="427" w:type="dxa"/>
            <w:noWrap w:val="0"/>
            <w:vAlign w:val="center"/>
          </w:tcPr>
          <w:p>
            <w:pPr>
              <w:spacing w:line="700" w:lineRule="exact"/>
              <w:jc w:val="center"/>
              <w:rPr>
                <w:rFonts w:ascii="Calibri" w:hAnsi="Calibri" w:eastAsia="楷体"/>
                <w:kern w:val="0"/>
                <w:szCs w:val="32"/>
              </w:rPr>
            </w:pPr>
          </w:p>
        </w:tc>
        <w:tc>
          <w:tcPr>
            <w:tcW w:w="334"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kern w:val="0"/>
                <w:sz w:val="10"/>
                <w:szCs w:val="10"/>
              </w:rPr>
            </w:pPr>
            <w:r>
              <w:rPr>
                <w:rFonts w:hint="eastAsia" w:asciiTheme="majorEastAsia" w:hAnsiTheme="majorEastAsia" w:eastAsiaTheme="majorEastAsia" w:cstheme="majorEastAsia"/>
                <w:i w:val="0"/>
                <w:iCs w:val="0"/>
                <w:color w:val="000000"/>
                <w:kern w:val="0"/>
                <w:sz w:val="10"/>
                <w:szCs w:val="10"/>
                <w:u w:val="none"/>
                <w:lang w:val="en-US" w:eastAsia="zh-CN" w:bidi="ar"/>
              </w:rPr>
              <w:t>311-专项业务支出</w:t>
            </w:r>
          </w:p>
        </w:tc>
        <w:tc>
          <w:tcPr>
            <w:tcW w:w="1063" w:type="dxa"/>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kern w:val="0"/>
                <w:sz w:val="10"/>
                <w:szCs w:val="10"/>
              </w:rPr>
            </w:pPr>
            <w:r>
              <w:rPr>
                <w:rFonts w:hint="eastAsia" w:asciiTheme="majorEastAsia" w:hAnsiTheme="majorEastAsia" w:eastAsiaTheme="majorEastAsia" w:cstheme="majorEastAsia"/>
                <w:i w:val="0"/>
                <w:iCs w:val="0"/>
                <w:color w:val="000000"/>
                <w:kern w:val="0"/>
                <w:sz w:val="10"/>
                <w:szCs w:val="10"/>
                <w:u w:val="none"/>
                <w:lang w:val="en-US" w:eastAsia="zh-CN" w:bidi="ar"/>
              </w:rPr>
              <w:t>通榆县公安局2024年警察节假日之外加班补助</w:t>
            </w:r>
          </w:p>
        </w:tc>
        <w:tc>
          <w:tcPr>
            <w:tcW w:w="1107" w:type="dxa"/>
            <w:noWrap w:val="0"/>
            <w:vAlign w:val="center"/>
          </w:tcPr>
          <w:p>
            <w:pPr>
              <w:jc w:val="left"/>
              <w:rPr>
                <w:rFonts w:hint="eastAsia" w:asciiTheme="majorEastAsia" w:hAnsiTheme="majorEastAsia" w:eastAsiaTheme="majorEastAsia" w:cstheme="majorEastAsia"/>
                <w:kern w:val="0"/>
                <w:sz w:val="10"/>
                <w:szCs w:val="10"/>
              </w:rPr>
            </w:pPr>
          </w:p>
        </w:tc>
        <w:tc>
          <w:tcPr>
            <w:tcW w:w="864" w:type="dxa"/>
            <w:noWrap w:val="0"/>
            <w:vAlign w:val="center"/>
          </w:tcPr>
          <w:p>
            <w:pPr>
              <w:jc w:val="left"/>
              <w:rPr>
                <w:rFonts w:hint="eastAsia" w:asciiTheme="majorEastAsia" w:hAnsiTheme="majorEastAsia" w:eastAsiaTheme="majorEastAsia" w:cstheme="majorEastAsia"/>
                <w:kern w:val="0"/>
                <w:sz w:val="10"/>
                <w:szCs w:val="10"/>
              </w:rPr>
            </w:pPr>
          </w:p>
        </w:tc>
        <w:tc>
          <w:tcPr>
            <w:tcW w:w="652" w:type="dxa"/>
            <w:noWrap w:val="0"/>
            <w:vAlign w:val="center"/>
          </w:tcPr>
          <w:p>
            <w:pPr>
              <w:keepNext w:val="0"/>
              <w:keepLines w:val="0"/>
              <w:widowControl/>
              <w:suppressLineNumbers w:val="0"/>
              <w:jc w:val="right"/>
              <w:textAlignment w:val="center"/>
              <w:rPr>
                <w:rFonts w:hint="eastAsia" w:asciiTheme="majorEastAsia" w:hAnsiTheme="majorEastAsia" w:eastAsiaTheme="majorEastAsia" w:cstheme="majorEastAsia"/>
                <w:kern w:val="0"/>
                <w:sz w:val="10"/>
                <w:szCs w:val="10"/>
              </w:rPr>
            </w:pPr>
            <w:r>
              <w:rPr>
                <w:rFonts w:hint="eastAsia" w:asciiTheme="majorEastAsia" w:hAnsiTheme="majorEastAsia" w:eastAsiaTheme="majorEastAsia" w:cstheme="majorEastAsia"/>
                <w:i w:val="0"/>
                <w:iCs w:val="0"/>
                <w:color w:val="000000"/>
                <w:kern w:val="0"/>
                <w:sz w:val="10"/>
                <w:szCs w:val="10"/>
                <w:u w:val="none"/>
                <w:lang w:val="en-US" w:eastAsia="zh-CN" w:bidi="ar"/>
              </w:rPr>
              <w:t>220.00</w:t>
            </w:r>
          </w:p>
        </w:tc>
        <w:tc>
          <w:tcPr>
            <w:tcW w:w="713" w:type="dxa"/>
            <w:noWrap w:val="0"/>
            <w:vAlign w:val="center"/>
          </w:tcPr>
          <w:p>
            <w:pPr>
              <w:keepNext w:val="0"/>
              <w:keepLines w:val="0"/>
              <w:widowControl/>
              <w:suppressLineNumbers w:val="0"/>
              <w:jc w:val="right"/>
              <w:textAlignment w:val="center"/>
              <w:rPr>
                <w:rFonts w:hint="eastAsia" w:asciiTheme="majorEastAsia" w:hAnsiTheme="majorEastAsia" w:eastAsiaTheme="majorEastAsia" w:cstheme="majorEastAsia"/>
                <w:kern w:val="0"/>
                <w:sz w:val="10"/>
                <w:szCs w:val="10"/>
              </w:rPr>
            </w:pPr>
            <w:r>
              <w:rPr>
                <w:rFonts w:hint="eastAsia" w:asciiTheme="majorEastAsia" w:hAnsiTheme="majorEastAsia" w:eastAsiaTheme="majorEastAsia" w:cstheme="majorEastAsia"/>
                <w:i w:val="0"/>
                <w:iCs w:val="0"/>
                <w:color w:val="000000"/>
                <w:kern w:val="0"/>
                <w:sz w:val="10"/>
                <w:szCs w:val="10"/>
                <w:u w:val="none"/>
                <w:lang w:val="en-US" w:eastAsia="zh-CN" w:bidi="ar"/>
              </w:rPr>
              <w:t>220.00</w:t>
            </w:r>
          </w:p>
        </w:tc>
        <w:tc>
          <w:tcPr>
            <w:tcW w:w="427" w:type="dxa"/>
            <w:noWrap w:val="0"/>
            <w:vAlign w:val="center"/>
          </w:tcPr>
          <w:p>
            <w:pPr>
              <w:spacing w:line="700" w:lineRule="exact"/>
              <w:jc w:val="center"/>
              <w:rPr>
                <w:rFonts w:ascii="Calibri" w:hAnsi="Calibri" w:eastAsia="楷体"/>
                <w:kern w:val="0"/>
                <w:szCs w:val="32"/>
              </w:rPr>
            </w:pPr>
          </w:p>
        </w:tc>
        <w:tc>
          <w:tcPr>
            <w:tcW w:w="334"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jc w:val="left"/>
              <w:rPr>
                <w:rFonts w:hint="eastAsia" w:asciiTheme="majorEastAsia" w:hAnsiTheme="majorEastAsia" w:eastAsiaTheme="majorEastAsia" w:cstheme="majorEastAsia"/>
                <w:kern w:val="0"/>
                <w:sz w:val="10"/>
                <w:szCs w:val="10"/>
              </w:rPr>
            </w:pPr>
          </w:p>
        </w:tc>
        <w:tc>
          <w:tcPr>
            <w:tcW w:w="1063" w:type="dxa"/>
            <w:noWrap w:val="0"/>
            <w:vAlign w:val="center"/>
          </w:tcPr>
          <w:p>
            <w:pPr>
              <w:jc w:val="left"/>
              <w:rPr>
                <w:rFonts w:hint="eastAsia" w:asciiTheme="majorEastAsia" w:hAnsiTheme="majorEastAsia" w:eastAsiaTheme="majorEastAsia" w:cstheme="majorEastAsia"/>
                <w:kern w:val="0"/>
                <w:sz w:val="10"/>
                <w:szCs w:val="10"/>
              </w:rPr>
            </w:pPr>
          </w:p>
        </w:tc>
        <w:tc>
          <w:tcPr>
            <w:tcW w:w="1107" w:type="dxa"/>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kern w:val="0"/>
                <w:sz w:val="10"/>
                <w:szCs w:val="10"/>
              </w:rPr>
            </w:pPr>
            <w:r>
              <w:rPr>
                <w:rFonts w:hint="eastAsia" w:asciiTheme="majorEastAsia" w:hAnsiTheme="majorEastAsia" w:eastAsiaTheme="majorEastAsia" w:cstheme="majorEastAsia"/>
                <w:i w:val="0"/>
                <w:iCs w:val="0"/>
                <w:color w:val="000000"/>
                <w:kern w:val="0"/>
                <w:sz w:val="10"/>
                <w:szCs w:val="10"/>
                <w:u w:val="none"/>
                <w:lang w:val="en-US" w:eastAsia="zh-CN" w:bidi="ar"/>
              </w:rPr>
              <w:t>通榆县公安局2024年警察节假日之外加班补助</w:t>
            </w:r>
          </w:p>
        </w:tc>
        <w:tc>
          <w:tcPr>
            <w:tcW w:w="864" w:type="dxa"/>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kern w:val="0"/>
                <w:sz w:val="10"/>
                <w:szCs w:val="10"/>
              </w:rPr>
            </w:pPr>
            <w:r>
              <w:rPr>
                <w:rFonts w:hint="eastAsia" w:asciiTheme="majorEastAsia" w:hAnsiTheme="majorEastAsia" w:eastAsiaTheme="majorEastAsia" w:cstheme="majorEastAsia"/>
                <w:i w:val="0"/>
                <w:iCs w:val="0"/>
                <w:color w:val="000000"/>
                <w:kern w:val="0"/>
                <w:sz w:val="10"/>
                <w:szCs w:val="10"/>
                <w:u w:val="none"/>
                <w:lang w:val="en-US" w:eastAsia="zh-CN" w:bidi="ar"/>
              </w:rPr>
              <w:t>通榆县公安局</w:t>
            </w:r>
          </w:p>
        </w:tc>
        <w:tc>
          <w:tcPr>
            <w:tcW w:w="652" w:type="dxa"/>
            <w:noWrap w:val="0"/>
            <w:vAlign w:val="center"/>
          </w:tcPr>
          <w:p>
            <w:pPr>
              <w:keepNext w:val="0"/>
              <w:keepLines w:val="0"/>
              <w:widowControl/>
              <w:suppressLineNumbers w:val="0"/>
              <w:jc w:val="right"/>
              <w:textAlignment w:val="center"/>
              <w:rPr>
                <w:rFonts w:hint="eastAsia" w:asciiTheme="majorEastAsia" w:hAnsiTheme="majorEastAsia" w:eastAsiaTheme="majorEastAsia" w:cstheme="majorEastAsia"/>
                <w:kern w:val="0"/>
                <w:sz w:val="10"/>
                <w:szCs w:val="10"/>
              </w:rPr>
            </w:pPr>
            <w:r>
              <w:rPr>
                <w:rFonts w:hint="eastAsia" w:asciiTheme="majorEastAsia" w:hAnsiTheme="majorEastAsia" w:eastAsiaTheme="majorEastAsia" w:cstheme="majorEastAsia"/>
                <w:i w:val="0"/>
                <w:iCs w:val="0"/>
                <w:color w:val="000000"/>
                <w:kern w:val="0"/>
                <w:sz w:val="10"/>
                <w:szCs w:val="10"/>
                <w:u w:val="none"/>
                <w:lang w:val="en-US" w:eastAsia="zh-CN" w:bidi="ar"/>
              </w:rPr>
              <w:t>220.00</w:t>
            </w:r>
          </w:p>
        </w:tc>
        <w:tc>
          <w:tcPr>
            <w:tcW w:w="713" w:type="dxa"/>
            <w:noWrap w:val="0"/>
            <w:vAlign w:val="center"/>
          </w:tcPr>
          <w:p>
            <w:pPr>
              <w:keepNext w:val="0"/>
              <w:keepLines w:val="0"/>
              <w:widowControl/>
              <w:suppressLineNumbers w:val="0"/>
              <w:jc w:val="right"/>
              <w:textAlignment w:val="center"/>
              <w:rPr>
                <w:rFonts w:hint="eastAsia" w:asciiTheme="majorEastAsia" w:hAnsiTheme="majorEastAsia" w:eastAsiaTheme="majorEastAsia" w:cstheme="majorEastAsia"/>
                <w:kern w:val="0"/>
                <w:sz w:val="10"/>
                <w:szCs w:val="10"/>
              </w:rPr>
            </w:pPr>
            <w:r>
              <w:rPr>
                <w:rFonts w:hint="eastAsia" w:asciiTheme="majorEastAsia" w:hAnsiTheme="majorEastAsia" w:eastAsiaTheme="majorEastAsia" w:cstheme="majorEastAsia"/>
                <w:i w:val="0"/>
                <w:iCs w:val="0"/>
                <w:color w:val="000000"/>
                <w:kern w:val="0"/>
                <w:sz w:val="10"/>
                <w:szCs w:val="10"/>
                <w:u w:val="none"/>
                <w:lang w:val="en-US" w:eastAsia="zh-CN" w:bidi="ar"/>
              </w:rPr>
              <w:t>220.00</w:t>
            </w:r>
          </w:p>
        </w:tc>
        <w:tc>
          <w:tcPr>
            <w:tcW w:w="427" w:type="dxa"/>
            <w:noWrap w:val="0"/>
            <w:vAlign w:val="center"/>
          </w:tcPr>
          <w:p>
            <w:pPr>
              <w:spacing w:line="700" w:lineRule="exact"/>
              <w:jc w:val="center"/>
              <w:rPr>
                <w:rFonts w:ascii="Calibri" w:hAnsi="Calibri" w:eastAsia="楷体"/>
                <w:kern w:val="0"/>
                <w:szCs w:val="32"/>
              </w:rPr>
            </w:pPr>
          </w:p>
        </w:tc>
        <w:tc>
          <w:tcPr>
            <w:tcW w:w="334"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kern w:val="0"/>
                <w:sz w:val="10"/>
                <w:szCs w:val="10"/>
              </w:rPr>
            </w:pPr>
            <w:r>
              <w:rPr>
                <w:rFonts w:hint="eastAsia" w:asciiTheme="majorEastAsia" w:hAnsiTheme="majorEastAsia" w:eastAsiaTheme="majorEastAsia" w:cstheme="majorEastAsia"/>
                <w:i w:val="0"/>
                <w:iCs w:val="0"/>
                <w:color w:val="000000"/>
                <w:kern w:val="0"/>
                <w:sz w:val="10"/>
                <w:szCs w:val="10"/>
                <w:u w:val="none"/>
                <w:lang w:val="en-US" w:eastAsia="zh-CN" w:bidi="ar"/>
              </w:rPr>
              <w:t>311-专项业务支出</w:t>
            </w:r>
          </w:p>
        </w:tc>
        <w:tc>
          <w:tcPr>
            <w:tcW w:w="1063" w:type="dxa"/>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kern w:val="0"/>
                <w:sz w:val="10"/>
                <w:szCs w:val="10"/>
              </w:rPr>
            </w:pPr>
            <w:r>
              <w:rPr>
                <w:rFonts w:hint="eastAsia" w:asciiTheme="majorEastAsia" w:hAnsiTheme="majorEastAsia" w:eastAsiaTheme="majorEastAsia" w:cstheme="majorEastAsia"/>
                <w:i w:val="0"/>
                <w:iCs w:val="0"/>
                <w:color w:val="000000"/>
                <w:kern w:val="0"/>
                <w:sz w:val="10"/>
                <w:szCs w:val="10"/>
                <w:u w:val="none"/>
                <w:lang w:val="en-US" w:eastAsia="zh-CN" w:bidi="ar"/>
              </w:rPr>
              <w:t>通榆县公安局2024年辅助岗人员经费</w:t>
            </w:r>
          </w:p>
        </w:tc>
        <w:tc>
          <w:tcPr>
            <w:tcW w:w="1107" w:type="dxa"/>
            <w:noWrap w:val="0"/>
            <w:vAlign w:val="center"/>
          </w:tcPr>
          <w:p>
            <w:pPr>
              <w:jc w:val="left"/>
              <w:rPr>
                <w:rFonts w:hint="eastAsia" w:asciiTheme="majorEastAsia" w:hAnsiTheme="majorEastAsia" w:eastAsiaTheme="majorEastAsia" w:cstheme="majorEastAsia"/>
                <w:kern w:val="0"/>
                <w:sz w:val="10"/>
                <w:szCs w:val="10"/>
              </w:rPr>
            </w:pPr>
          </w:p>
        </w:tc>
        <w:tc>
          <w:tcPr>
            <w:tcW w:w="864" w:type="dxa"/>
            <w:noWrap w:val="0"/>
            <w:vAlign w:val="center"/>
          </w:tcPr>
          <w:p>
            <w:pPr>
              <w:jc w:val="left"/>
              <w:rPr>
                <w:rFonts w:hint="eastAsia" w:asciiTheme="majorEastAsia" w:hAnsiTheme="majorEastAsia" w:eastAsiaTheme="majorEastAsia" w:cstheme="majorEastAsia"/>
                <w:kern w:val="0"/>
                <w:sz w:val="10"/>
                <w:szCs w:val="10"/>
              </w:rPr>
            </w:pPr>
          </w:p>
        </w:tc>
        <w:tc>
          <w:tcPr>
            <w:tcW w:w="652" w:type="dxa"/>
            <w:noWrap w:val="0"/>
            <w:vAlign w:val="center"/>
          </w:tcPr>
          <w:p>
            <w:pPr>
              <w:keepNext w:val="0"/>
              <w:keepLines w:val="0"/>
              <w:widowControl/>
              <w:suppressLineNumbers w:val="0"/>
              <w:jc w:val="right"/>
              <w:textAlignment w:val="center"/>
              <w:rPr>
                <w:rFonts w:hint="eastAsia" w:asciiTheme="majorEastAsia" w:hAnsiTheme="majorEastAsia" w:eastAsiaTheme="majorEastAsia" w:cstheme="majorEastAsia"/>
                <w:kern w:val="0"/>
                <w:sz w:val="10"/>
                <w:szCs w:val="10"/>
              </w:rPr>
            </w:pPr>
            <w:r>
              <w:rPr>
                <w:rFonts w:hint="eastAsia" w:asciiTheme="majorEastAsia" w:hAnsiTheme="majorEastAsia" w:eastAsiaTheme="majorEastAsia" w:cstheme="majorEastAsia"/>
                <w:i w:val="0"/>
                <w:iCs w:val="0"/>
                <w:color w:val="000000"/>
                <w:kern w:val="0"/>
                <w:sz w:val="10"/>
                <w:szCs w:val="10"/>
                <w:u w:val="none"/>
                <w:lang w:val="en-US" w:eastAsia="zh-CN" w:bidi="ar"/>
              </w:rPr>
              <w:t>888.17</w:t>
            </w:r>
          </w:p>
        </w:tc>
        <w:tc>
          <w:tcPr>
            <w:tcW w:w="713" w:type="dxa"/>
            <w:noWrap w:val="0"/>
            <w:vAlign w:val="center"/>
          </w:tcPr>
          <w:p>
            <w:pPr>
              <w:keepNext w:val="0"/>
              <w:keepLines w:val="0"/>
              <w:widowControl/>
              <w:suppressLineNumbers w:val="0"/>
              <w:jc w:val="right"/>
              <w:textAlignment w:val="center"/>
              <w:rPr>
                <w:rFonts w:hint="eastAsia" w:asciiTheme="majorEastAsia" w:hAnsiTheme="majorEastAsia" w:eastAsiaTheme="majorEastAsia" w:cstheme="majorEastAsia"/>
                <w:kern w:val="0"/>
                <w:sz w:val="10"/>
                <w:szCs w:val="10"/>
              </w:rPr>
            </w:pPr>
            <w:r>
              <w:rPr>
                <w:rFonts w:hint="eastAsia" w:asciiTheme="majorEastAsia" w:hAnsiTheme="majorEastAsia" w:eastAsiaTheme="majorEastAsia" w:cstheme="majorEastAsia"/>
                <w:i w:val="0"/>
                <w:iCs w:val="0"/>
                <w:color w:val="000000"/>
                <w:kern w:val="0"/>
                <w:sz w:val="10"/>
                <w:szCs w:val="10"/>
                <w:u w:val="none"/>
                <w:lang w:val="en-US" w:eastAsia="zh-CN" w:bidi="ar"/>
              </w:rPr>
              <w:t>888.17</w:t>
            </w:r>
          </w:p>
        </w:tc>
        <w:tc>
          <w:tcPr>
            <w:tcW w:w="427" w:type="dxa"/>
            <w:noWrap w:val="0"/>
            <w:vAlign w:val="center"/>
          </w:tcPr>
          <w:p>
            <w:pPr>
              <w:spacing w:line="700" w:lineRule="exact"/>
              <w:jc w:val="center"/>
              <w:rPr>
                <w:rFonts w:ascii="Calibri" w:hAnsi="Calibri" w:eastAsia="楷体"/>
                <w:kern w:val="0"/>
                <w:szCs w:val="32"/>
              </w:rPr>
            </w:pPr>
          </w:p>
        </w:tc>
        <w:tc>
          <w:tcPr>
            <w:tcW w:w="334"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jc w:val="left"/>
              <w:rPr>
                <w:rFonts w:hint="eastAsia" w:asciiTheme="majorEastAsia" w:hAnsiTheme="majorEastAsia" w:eastAsiaTheme="majorEastAsia" w:cstheme="majorEastAsia"/>
                <w:kern w:val="0"/>
                <w:sz w:val="10"/>
                <w:szCs w:val="10"/>
              </w:rPr>
            </w:pPr>
          </w:p>
        </w:tc>
        <w:tc>
          <w:tcPr>
            <w:tcW w:w="1063" w:type="dxa"/>
            <w:noWrap w:val="0"/>
            <w:vAlign w:val="center"/>
          </w:tcPr>
          <w:p>
            <w:pPr>
              <w:jc w:val="left"/>
              <w:rPr>
                <w:rFonts w:hint="eastAsia" w:asciiTheme="majorEastAsia" w:hAnsiTheme="majorEastAsia" w:eastAsiaTheme="majorEastAsia" w:cstheme="majorEastAsia"/>
                <w:kern w:val="0"/>
                <w:sz w:val="10"/>
                <w:szCs w:val="10"/>
              </w:rPr>
            </w:pPr>
          </w:p>
        </w:tc>
        <w:tc>
          <w:tcPr>
            <w:tcW w:w="1107" w:type="dxa"/>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kern w:val="0"/>
                <w:sz w:val="10"/>
                <w:szCs w:val="10"/>
              </w:rPr>
            </w:pPr>
            <w:r>
              <w:rPr>
                <w:rFonts w:hint="eastAsia" w:asciiTheme="majorEastAsia" w:hAnsiTheme="majorEastAsia" w:eastAsiaTheme="majorEastAsia" w:cstheme="majorEastAsia"/>
                <w:i w:val="0"/>
                <w:iCs w:val="0"/>
                <w:color w:val="000000"/>
                <w:kern w:val="0"/>
                <w:sz w:val="10"/>
                <w:szCs w:val="10"/>
                <w:u w:val="none"/>
                <w:lang w:val="en-US" w:eastAsia="zh-CN" w:bidi="ar"/>
              </w:rPr>
              <w:t>通榆县公安局2024年辅助岗人员经费</w:t>
            </w:r>
          </w:p>
        </w:tc>
        <w:tc>
          <w:tcPr>
            <w:tcW w:w="864" w:type="dxa"/>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kern w:val="0"/>
                <w:sz w:val="10"/>
                <w:szCs w:val="10"/>
              </w:rPr>
            </w:pPr>
            <w:r>
              <w:rPr>
                <w:rFonts w:hint="eastAsia" w:asciiTheme="majorEastAsia" w:hAnsiTheme="majorEastAsia" w:eastAsiaTheme="majorEastAsia" w:cstheme="majorEastAsia"/>
                <w:i w:val="0"/>
                <w:iCs w:val="0"/>
                <w:color w:val="000000"/>
                <w:kern w:val="0"/>
                <w:sz w:val="10"/>
                <w:szCs w:val="10"/>
                <w:u w:val="none"/>
                <w:lang w:val="en-US" w:eastAsia="zh-CN" w:bidi="ar"/>
              </w:rPr>
              <w:t>通榆县公安局</w:t>
            </w:r>
          </w:p>
        </w:tc>
        <w:tc>
          <w:tcPr>
            <w:tcW w:w="652" w:type="dxa"/>
            <w:noWrap w:val="0"/>
            <w:vAlign w:val="center"/>
          </w:tcPr>
          <w:p>
            <w:pPr>
              <w:keepNext w:val="0"/>
              <w:keepLines w:val="0"/>
              <w:widowControl/>
              <w:suppressLineNumbers w:val="0"/>
              <w:jc w:val="right"/>
              <w:textAlignment w:val="center"/>
              <w:rPr>
                <w:rFonts w:hint="eastAsia" w:asciiTheme="majorEastAsia" w:hAnsiTheme="majorEastAsia" w:eastAsiaTheme="majorEastAsia" w:cstheme="majorEastAsia"/>
                <w:kern w:val="0"/>
                <w:sz w:val="10"/>
                <w:szCs w:val="10"/>
              </w:rPr>
            </w:pPr>
            <w:r>
              <w:rPr>
                <w:rFonts w:hint="eastAsia" w:asciiTheme="majorEastAsia" w:hAnsiTheme="majorEastAsia" w:eastAsiaTheme="majorEastAsia" w:cstheme="majorEastAsia"/>
                <w:i w:val="0"/>
                <w:iCs w:val="0"/>
                <w:color w:val="000000"/>
                <w:kern w:val="0"/>
                <w:sz w:val="10"/>
                <w:szCs w:val="10"/>
                <w:u w:val="none"/>
                <w:lang w:val="en-US" w:eastAsia="zh-CN" w:bidi="ar"/>
              </w:rPr>
              <w:t>888.17</w:t>
            </w:r>
          </w:p>
        </w:tc>
        <w:tc>
          <w:tcPr>
            <w:tcW w:w="713" w:type="dxa"/>
            <w:noWrap w:val="0"/>
            <w:vAlign w:val="center"/>
          </w:tcPr>
          <w:p>
            <w:pPr>
              <w:keepNext w:val="0"/>
              <w:keepLines w:val="0"/>
              <w:widowControl/>
              <w:suppressLineNumbers w:val="0"/>
              <w:jc w:val="right"/>
              <w:textAlignment w:val="center"/>
              <w:rPr>
                <w:rFonts w:hint="eastAsia" w:asciiTheme="majorEastAsia" w:hAnsiTheme="majorEastAsia" w:eastAsiaTheme="majorEastAsia" w:cstheme="majorEastAsia"/>
                <w:kern w:val="0"/>
                <w:sz w:val="10"/>
                <w:szCs w:val="10"/>
              </w:rPr>
            </w:pPr>
            <w:r>
              <w:rPr>
                <w:rFonts w:hint="eastAsia" w:asciiTheme="majorEastAsia" w:hAnsiTheme="majorEastAsia" w:eastAsiaTheme="majorEastAsia" w:cstheme="majorEastAsia"/>
                <w:i w:val="0"/>
                <w:iCs w:val="0"/>
                <w:color w:val="000000"/>
                <w:kern w:val="0"/>
                <w:sz w:val="10"/>
                <w:szCs w:val="10"/>
                <w:u w:val="none"/>
                <w:lang w:val="en-US" w:eastAsia="zh-CN" w:bidi="ar"/>
              </w:rPr>
              <w:t>888.17</w:t>
            </w:r>
          </w:p>
        </w:tc>
        <w:tc>
          <w:tcPr>
            <w:tcW w:w="427" w:type="dxa"/>
            <w:noWrap w:val="0"/>
            <w:vAlign w:val="center"/>
          </w:tcPr>
          <w:p>
            <w:pPr>
              <w:spacing w:line="700" w:lineRule="exact"/>
              <w:jc w:val="center"/>
              <w:rPr>
                <w:rFonts w:ascii="Calibri" w:hAnsi="Calibri" w:eastAsia="楷体"/>
                <w:kern w:val="0"/>
                <w:szCs w:val="32"/>
              </w:rPr>
            </w:pPr>
          </w:p>
        </w:tc>
        <w:tc>
          <w:tcPr>
            <w:tcW w:w="334"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kern w:val="0"/>
                <w:sz w:val="10"/>
                <w:szCs w:val="10"/>
              </w:rPr>
            </w:pPr>
            <w:r>
              <w:rPr>
                <w:rFonts w:hint="eastAsia" w:asciiTheme="majorEastAsia" w:hAnsiTheme="majorEastAsia" w:eastAsiaTheme="majorEastAsia" w:cstheme="majorEastAsia"/>
                <w:i w:val="0"/>
                <w:iCs w:val="0"/>
                <w:color w:val="000000"/>
                <w:kern w:val="0"/>
                <w:sz w:val="10"/>
                <w:szCs w:val="10"/>
                <w:u w:val="none"/>
                <w:lang w:val="en-US" w:eastAsia="zh-CN" w:bidi="ar"/>
              </w:rPr>
              <w:t>311-专项业务支出</w:t>
            </w:r>
          </w:p>
        </w:tc>
        <w:tc>
          <w:tcPr>
            <w:tcW w:w="1063" w:type="dxa"/>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kern w:val="0"/>
                <w:sz w:val="10"/>
                <w:szCs w:val="10"/>
              </w:rPr>
            </w:pPr>
            <w:r>
              <w:rPr>
                <w:rFonts w:hint="eastAsia" w:asciiTheme="majorEastAsia" w:hAnsiTheme="majorEastAsia" w:eastAsiaTheme="majorEastAsia" w:cstheme="majorEastAsia"/>
                <w:i w:val="0"/>
                <w:iCs w:val="0"/>
                <w:color w:val="000000"/>
                <w:kern w:val="0"/>
                <w:sz w:val="10"/>
                <w:szCs w:val="10"/>
                <w:u w:val="none"/>
                <w:lang w:val="en-US" w:eastAsia="zh-CN" w:bidi="ar"/>
              </w:rPr>
              <w:t>通榆县公安局2024年驻村工作队生活补贴</w:t>
            </w:r>
          </w:p>
        </w:tc>
        <w:tc>
          <w:tcPr>
            <w:tcW w:w="1107" w:type="dxa"/>
            <w:noWrap w:val="0"/>
            <w:vAlign w:val="center"/>
          </w:tcPr>
          <w:p>
            <w:pPr>
              <w:jc w:val="left"/>
              <w:rPr>
                <w:rFonts w:hint="eastAsia" w:asciiTheme="majorEastAsia" w:hAnsiTheme="majorEastAsia" w:eastAsiaTheme="majorEastAsia" w:cstheme="majorEastAsia"/>
                <w:kern w:val="0"/>
                <w:sz w:val="10"/>
                <w:szCs w:val="10"/>
              </w:rPr>
            </w:pPr>
          </w:p>
        </w:tc>
        <w:tc>
          <w:tcPr>
            <w:tcW w:w="864" w:type="dxa"/>
            <w:noWrap w:val="0"/>
            <w:vAlign w:val="center"/>
          </w:tcPr>
          <w:p>
            <w:pPr>
              <w:jc w:val="left"/>
              <w:rPr>
                <w:rFonts w:hint="eastAsia" w:asciiTheme="majorEastAsia" w:hAnsiTheme="majorEastAsia" w:eastAsiaTheme="majorEastAsia" w:cstheme="majorEastAsia"/>
                <w:kern w:val="0"/>
                <w:sz w:val="10"/>
                <w:szCs w:val="10"/>
              </w:rPr>
            </w:pPr>
          </w:p>
        </w:tc>
        <w:tc>
          <w:tcPr>
            <w:tcW w:w="652" w:type="dxa"/>
            <w:noWrap w:val="0"/>
            <w:vAlign w:val="center"/>
          </w:tcPr>
          <w:p>
            <w:pPr>
              <w:keepNext w:val="0"/>
              <w:keepLines w:val="0"/>
              <w:widowControl/>
              <w:suppressLineNumbers w:val="0"/>
              <w:jc w:val="right"/>
              <w:textAlignment w:val="center"/>
              <w:rPr>
                <w:rFonts w:hint="eastAsia" w:asciiTheme="majorEastAsia" w:hAnsiTheme="majorEastAsia" w:eastAsiaTheme="majorEastAsia" w:cstheme="majorEastAsia"/>
                <w:kern w:val="0"/>
                <w:sz w:val="10"/>
                <w:szCs w:val="10"/>
              </w:rPr>
            </w:pPr>
            <w:r>
              <w:rPr>
                <w:rFonts w:hint="eastAsia" w:asciiTheme="majorEastAsia" w:hAnsiTheme="majorEastAsia" w:eastAsiaTheme="majorEastAsia" w:cstheme="majorEastAsia"/>
                <w:i w:val="0"/>
                <w:iCs w:val="0"/>
                <w:color w:val="000000"/>
                <w:kern w:val="0"/>
                <w:sz w:val="10"/>
                <w:szCs w:val="10"/>
                <w:u w:val="none"/>
                <w:lang w:val="en-US" w:eastAsia="zh-CN" w:bidi="ar"/>
              </w:rPr>
              <w:t>10.80</w:t>
            </w:r>
          </w:p>
        </w:tc>
        <w:tc>
          <w:tcPr>
            <w:tcW w:w="713" w:type="dxa"/>
            <w:noWrap w:val="0"/>
            <w:vAlign w:val="center"/>
          </w:tcPr>
          <w:p>
            <w:pPr>
              <w:keepNext w:val="0"/>
              <w:keepLines w:val="0"/>
              <w:widowControl/>
              <w:suppressLineNumbers w:val="0"/>
              <w:jc w:val="right"/>
              <w:textAlignment w:val="center"/>
              <w:rPr>
                <w:rFonts w:hint="eastAsia" w:asciiTheme="majorEastAsia" w:hAnsiTheme="majorEastAsia" w:eastAsiaTheme="majorEastAsia" w:cstheme="majorEastAsia"/>
                <w:kern w:val="0"/>
                <w:sz w:val="10"/>
                <w:szCs w:val="10"/>
              </w:rPr>
            </w:pPr>
            <w:r>
              <w:rPr>
                <w:rFonts w:hint="eastAsia" w:asciiTheme="majorEastAsia" w:hAnsiTheme="majorEastAsia" w:eastAsiaTheme="majorEastAsia" w:cstheme="majorEastAsia"/>
                <w:i w:val="0"/>
                <w:iCs w:val="0"/>
                <w:color w:val="000000"/>
                <w:kern w:val="0"/>
                <w:sz w:val="10"/>
                <w:szCs w:val="10"/>
                <w:u w:val="none"/>
                <w:lang w:val="en-US" w:eastAsia="zh-CN" w:bidi="ar"/>
              </w:rPr>
              <w:t>10.80</w:t>
            </w:r>
          </w:p>
        </w:tc>
        <w:tc>
          <w:tcPr>
            <w:tcW w:w="427" w:type="dxa"/>
            <w:noWrap w:val="0"/>
            <w:vAlign w:val="center"/>
          </w:tcPr>
          <w:p>
            <w:pPr>
              <w:spacing w:line="700" w:lineRule="exact"/>
              <w:jc w:val="center"/>
              <w:rPr>
                <w:rFonts w:ascii="Calibri" w:hAnsi="Calibri" w:eastAsia="楷体"/>
                <w:kern w:val="0"/>
                <w:szCs w:val="32"/>
              </w:rPr>
            </w:pPr>
          </w:p>
        </w:tc>
        <w:tc>
          <w:tcPr>
            <w:tcW w:w="334"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jc w:val="left"/>
              <w:rPr>
                <w:rFonts w:hint="eastAsia" w:asciiTheme="majorEastAsia" w:hAnsiTheme="majorEastAsia" w:eastAsiaTheme="majorEastAsia" w:cstheme="majorEastAsia"/>
                <w:kern w:val="0"/>
                <w:sz w:val="10"/>
                <w:szCs w:val="10"/>
              </w:rPr>
            </w:pPr>
          </w:p>
        </w:tc>
        <w:tc>
          <w:tcPr>
            <w:tcW w:w="1063" w:type="dxa"/>
            <w:noWrap w:val="0"/>
            <w:vAlign w:val="center"/>
          </w:tcPr>
          <w:p>
            <w:pPr>
              <w:jc w:val="left"/>
              <w:rPr>
                <w:rFonts w:hint="eastAsia" w:asciiTheme="majorEastAsia" w:hAnsiTheme="majorEastAsia" w:eastAsiaTheme="majorEastAsia" w:cstheme="majorEastAsia"/>
                <w:kern w:val="0"/>
                <w:sz w:val="10"/>
                <w:szCs w:val="10"/>
              </w:rPr>
            </w:pPr>
          </w:p>
        </w:tc>
        <w:tc>
          <w:tcPr>
            <w:tcW w:w="1107" w:type="dxa"/>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kern w:val="0"/>
                <w:sz w:val="10"/>
                <w:szCs w:val="10"/>
              </w:rPr>
            </w:pPr>
            <w:r>
              <w:rPr>
                <w:rFonts w:hint="eastAsia" w:asciiTheme="majorEastAsia" w:hAnsiTheme="majorEastAsia" w:eastAsiaTheme="majorEastAsia" w:cstheme="majorEastAsia"/>
                <w:i w:val="0"/>
                <w:iCs w:val="0"/>
                <w:color w:val="000000"/>
                <w:kern w:val="0"/>
                <w:sz w:val="10"/>
                <w:szCs w:val="10"/>
                <w:u w:val="none"/>
                <w:lang w:val="en-US" w:eastAsia="zh-CN" w:bidi="ar"/>
              </w:rPr>
              <w:t>通榆县公安局2024年驻村工作队生活补贴</w:t>
            </w:r>
          </w:p>
        </w:tc>
        <w:tc>
          <w:tcPr>
            <w:tcW w:w="864" w:type="dxa"/>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kern w:val="0"/>
                <w:sz w:val="10"/>
                <w:szCs w:val="10"/>
              </w:rPr>
            </w:pPr>
            <w:r>
              <w:rPr>
                <w:rFonts w:hint="eastAsia" w:asciiTheme="majorEastAsia" w:hAnsiTheme="majorEastAsia" w:eastAsiaTheme="majorEastAsia" w:cstheme="majorEastAsia"/>
                <w:i w:val="0"/>
                <w:iCs w:val="0"/>
                <w:color w:val="000000"/>
                <w:kern w:val="0"/>
                <w:sz w:val="10"/>
                <w:szCs w:val="10"/>
                <w:u w:val="none"/>
                <w:lang w:val="en-US" w:eastAsia="zh-CN" w:bidi="ar"/>
              </w:rPr>
              <w:t>通榆县公安局</w:t>
            </w:r>
          </w:p>
        </w:tc>
        <w:tc>
          <w:tcPr>
            <w:tcW w:w="652" w:type="dxa"/>
            <w:noWrap w:val="0"/>
            <w:vAlign w:val="center"/>
          </w:tcPr>
          <w:p>
            <w:pPr>
              <w:keepNext w:val="0"/>
              <w:keepLines w:val="0"/>
              <w:widowControl/>
              <w:suppressLineNumbers w:val="0"/>
              <w:jc w:val="right"/>
              <w:textAlignment w:val="center"/>
              <w:rPr>
                <w:rFonts w:hint="eastAsia" w:asciiTheme="majorEastAsia" w:hAnsiTheme="majorEastAsia" w:eastAsiaTheme="majorEastAsia" w:cstheme="majorEastAsia"/>
                <w:kern w:val="0"/>
                <w:sz w:val="10"/>
                <w:szCs w:val="10"/>
              </w:rPr>
            </w:pPr>
            <w:r>
              <w:rPr>
                <w:rFonts w:hint="eastAsia" w:asciiTheme="majorEastAsia" w:hAnsiTheme="majorEastAsia" w:eastAsiaTheme="majorEastAsia" w:cstheme="majorEastAsia"/>
                <w:i w:val="0"/>
                <w:iCs w:val="0"/>
                <w:color w:val="000000"/>
                <w:kern w:val="0"/>
                <w:sz w:val="10"/>
                <w:szCs w:val="10"/>
                <w:u w:val="none"/>
                <w:lang w:val="en-US" w:eastAsia="zh-CN" w:bidi="ar"/>
              </w:rPr>
              <w:t>10.80</w:t>
            </w:r>
          </w:p>
        </w:tc>
        <w:tc>
          <w:tcPr>
            <w:tcW w:w="713" w:type="dxa"/>
            <w:noWrap w:val="0"/>
            <w:vAlign w:val="center"/>
          </w:tcPr>
          <w:p>
            <w:pPr>
              <w:keepNext w:val="0"/>
              <w:keepLines w:val="0"/>
              <w:widowControl/>
              <w:suppressLineNumbers w:val="0"/>
              <w:jc w:val="right"/>
              <w:textAlignment w:val="center"/>
              <w:rPr>
                <w:rFonts w:hint="eastAsia" w:asciiTheme="majorEastAsia" w:hAnsiTheme="majorEastAsia" w:eastAsiaTheme="majorEastAsia" w:cstheme="majorEastAsia"/>
                <w:kern w:val="0"/>
                <w:sz w:val="10"/>
                <w:szCs w:val="10"/>
              </w:rPr>
            </w:pPr>
            <w:r>
              <w:rPr>
                <w:rFonts w:hint="eastAsia" w:asciiTheme="majorEastAsia" w:hAnsiTheme="majorEastAsia" w:eastAsiaTheme="majorEastAsia" w:cstheme="majorEastAsia"/>
                <w:i w:val="0"/>
                <w:iCs w:val="0"/>
                <w:color w:val="000000"/>
                <w:kern w:val="0"/>
                <w:sz w:val="10"/>
                <w:szCs w:val="10"/>
                <w:u w:val="none"/>
                <w:lang w:val="en-US" w:eastAsia="zh-CN" w:bidi="ar"/>
              </w:rPr>
              <w:t>10.80</w:t>
            </w:r>
          </w:p>
        </w:tc>
        <w:tc>
          <w:tcPr>
            <w:tcW w:w="427" w:type="dxa"/>
            <w:noWrap w:val="0"/>
            <w:vAlign w:val="center"/>
          </w:tcPr>
          <w:p>
            <w:pPr>
              <w:spacing w:line="700" w:lineRule="exact"/>
              <w:jc w:val="center"/>
              <w:rPr>
                <w:rFonts w:ascii="Calibri" w:hAnsi="Calibri" w:eastAsia="楷体"/>
                <w:kern w:val="0"/>
                <w:szCs w:val="32"/>
              </w:rPr>
            </w:pPr>
          </w:p>
        </w:tc>
        <w:tc>
          <w:tcPr>
            <w:tcW w:w="334"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652" w:type="dxa"/>
            <w:noWrap w:val="0"/>
            <w:vAlign w:val="center"/>
          </w:tcPr>
          <w:p>
            <w:pPr>
              <w:keepNext w:val="0"/>
              <w:keepLines w:val="0"/>
              <w:widowControl/>
              <w:suppressLineNumbers w:val="0"/>
              <w:jc w:val="right"/>
              <w:textAlignment w:val="center"/>
              <w:rPr>
                <w:rFonts w:hint="eastAsia" w:asciiTheme="majorEastAsia" w:hAnsiTheme="majorEastAsia" w:eastAsiaTheme="majorEastAsia" w:cstheme="majorEastAsia"/>
                <w:kern w:val="0"/>
                <w:sz w:val="10"/>
                <w:szCs w:val="10"/>
              </w:rPr>
            </w:pPr>
            <w:r>
              <w:rPr>
                <w:rFonts w:hint="eastAsia" w:asciiTheme="majorEastAsia" w:hAnsiTheme="majorEastAsia" w:eastAsiaTheme="majorEastAsia" w:cstheme="majorEastAsia"/>
                <w:i w:val="0"/>
                <w:iCs w:val="0"/>
                <w:color w:val="000000"/>
                <w:kern w:val="0"/>
                <w:sz w:val="10"/>
                <w:szCs w:val="10"/>
                <w:u w:val="none"/>
                <w:lang w:val="en-US" w:eastAsia="zh-CN" w:bidi="ar"/>
              </w:rPr>
              <w:t>2,239.97</w:t>
            </w:r>
          </w:p>
        </w:tc>
        <w:tc>
          <w:tcPr>
            <w:tcW w:w="713" w:type="dxa"/>
            <w:noWrap w:val="0"/>
            <w:vAlign w:val="center"/>
          </w:tcPr>
          <w:p>
            <w:pPr>
              <w:keepNext w:val="0"/>
              <w:keepLines w:val="0"/>
              <w:widowControl/>
              <w:suppressLineNumbers w:val="0"/>
              <w:jc w:val="right"/>
              <w:textAlignment w:val="center"/>
              <w:rPr>
                <w:rFonts w:hint="eastAsia" w:asciiTheme="majorEastAsia" w:hAnsiTheme="majorEastAsia" w:eastAsiaTheme="majorEastAsia" w:cstheme="majorEastAsia"/>
                <w:kern w:val="0"/>
                <w:sz w:val="10"/>
                <w:szCs w:val="10"/>
              </w:rPr>
            </w:pPr>
            <w:r>
              <w:rPr>
                <w:rFonts w:hint="eastAsia" w:asciiTheme="majorEastAsia" w:hAnsiTheme="majorEastAsia" w:eastAsiaTheme="majorEastAsia" w:cstheme="majorEastAsia"/>
                <w:i w:val="0"/>
                <w:iCs w:val="0"/>
                <w:color w:val="000000"/>
                <w:kern w:val="0"/>
                <w:sz w:val="10"/>
                <w:szCs w:val="10"/>
                <w:u w:val="none"/>
                <w:lang w:val="en-US" w:eastAsia="zh-CN" w:bidi="ar"/>
              </w:rPr>
              <w:t>2,239.97</w:t>
            </w:r>
          </w:p>
        </w:tc>
        <w:tc>
          <w:tcPr>
            <w:tcW w:w="427" w:type="dxa"/>
            <w:noWrap w:val="0"/>
            <w:vAlign w:val="center"/>
          </w:tcPr>
          <w:p>
            <w:pPr>
              <w:spacing w:line="700" w:lineRule="exact"/>
              <w:jc w:val="center"/>
              <w:rPr>
                <w:rFonts w:ascii="Calibri" w:hAnsi="Calibri" w:eastAsia="楷体"/>
                <w:kern w:val="0"/>
                <w:szCs w:val="32"/>
              </w:rPr>
            </w:pPr>
          </w:p>
        </w:tc>
        <w:tc>
          <w:tcPr>
            <w:tcW w:w="334"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rPr>
          <w:rFonts w:eastAsia="楷体"/>
          <w:kern w:val="0"/>
          <w:szCs w:val="32"/>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通榆县公安局2024年辅助岗人员经费</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lang w:val="en-US" w:eastAsia="zh-CN"/>
              </w:rPr>
              <w:t>二</w:t>
            </w:r>
            <w:r>
              <w:rPr>
                <w:rFonts w:hint="eastAsia" w:asciiTheme="majorEastAsia" w:hAnsiTheme="majorEastAsia" w:eastAsiaTheme="majorEastAsia" w:cstheme="majorEastAsia"/>
                <w:color w:val="000000"/>
                <w:sz w:val="20"/>
                <w:szCs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lang w:eastAsia="zh-CN"/>
              </w:rPr>
            </w:pPr>
            <w:r>
              <w:rPr>
                <w:rFonts w:hint="eastAsia" w:asciiTheme="majorEastAsia" w:hAnsiTheme="majorEastAsia" w:eastAsiaTheme="majorEastAsia" w:cstheme="majorEastAsia"/>
                <w:color w:val="000000"/>
                <w:sz w:val="20"/>
                <w:szCs w:val="20"/>
              </w:rPr>
              <w:t>项目资金</w:t>
            </w:r>
          </w:p>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通榆县公安局-516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888.17</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888.17</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lang w:eastAsia="zh-CN"/>
              </w:rPr>
            </w:pPr>
            <w:r>
              <w:rPr>
                <w:rFonts w:hint="eastAsia" w:asciiTheme="majorEastAsia" w:hAnsiTheme="majorEastAsia" w:eastAsiaTheme="majorEastAsia" w:cstheme="majorEastAsia"/>
                <w:color w:val="000000"/>
                <w:sz w:val="20"/>
                <w:szCs w:val="20"/>
              </w:rPr>
              <w:t>年度绩效</w:t>
            </w:r>
          </w:p>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用于支付2024年辅助岗人员相关经费支出，保障辅助岗各项工作顺利开展，提高辅助岗人员满意度。</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成本指标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经济成本指标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辅助岗人员经费支出成本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&lt;=4000元/人/月</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辅助岗人员数量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&gt;=187人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辅助岗人员资格合格率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辅助岗经费支出及时率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效益指标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辅助岗人员生活水平</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有所提高</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满意度指标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服务对象满意度指标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辅助岗人员满意度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&gt;=95%</w:t>
            </w: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通榆县公安局2024年禁毒经费</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二级项目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lang w:eastAsia="zh-CN"/>
              </w:rPr>
            </w:pPr>
            <w:r>
              <w:rPr>
                <w:rFonts w:hint="eastAsia" w:asciiTheme="majorEastAsia" w:hAnsiTheme="majorEastAsia" w:eastAsiaTheme="majorEastAsia" w:cstheme="majorEastAsia"/>
                <w:color w:val="000000"/>
                <w:sz w:val="20"/>
                <w:szCs w:val="20"/>
              </w:rPr>
              <w:t>项目资金</w:t>
            </w:r>
          </w:p>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10.00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10.00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lang w:eastAsia="zh-CN"/>
              </w:rPr>
            </w:pPr>
            <w:r>
              <w:rPr>
                <w:rFonts w:hint="eastAsia" w:asciiTheme="majorEastAsia" w:hAnsiTheme="majorEastAsia" w:eastAsiaTheme="majorEastAsia" w:cstheme="majorEastAsia"/>
                <w:color w:val="000000"/>
                <w:sz w:val="20"/>
                <w:szCs w:val="20"/>
              </w:rPr>
              <w:t>年度绩效</w:t>
            </w:r>
          </w:p>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用于支付2024年禁毒工作相关费用支出，保障禁毒工作正常开展，提高群众满意度。</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成本指标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经济成本指标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禁毒案件侦办成本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&lt;=1万元/起</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侦办禁毒案件数量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&gt;=10起</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heme="majorEastAsia" w:hAnsiTheme="majorEastAsia" w:eastAsiaTheme="majorEastAsia" w:cstheme="majorEastAsia"/>
                <w:color w:val="000000"/>
                <w:sz w:val="20"/>
                <w:szCs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禁毒案件破案率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&gt;=95%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heme="majorEastAsia" w:hAnsiTheme="majorEastAsia" w:eastAsiaTheme="majorEastAsia" w:cstheme="majorEastAsia"/>
                <w:color w:val="000000"/>
                <w:sz w:val="20"/>
                <w:szCs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禁毒案件侦办及时率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&gt;=95%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效益指标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社会治安环境</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有所改善</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满意度指标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服务对象满意度指标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群众满意度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&gt;=95%</w:t>
            </w:r>
          </w:p>
        </w:tc>
      </w:tr>
    </w:tbl>
    <w:p>
      <w:pPr>
        <w:spacing w:line="700" w:lineRule="exact"/>
        <w:rPr>
          <w:rFonts w:hint="eastAsia" w:asciiTheme="majorEastAsia" w:hAnsiTheme="majorEastAsia" w:eastAsiaTheme="majorEastAsia" w:cstheme="majorEastAsia"/>
          <w:kern w:val="0"/>
          <w:sz w:val="20"/>
          <w:szCs w:val="20"/>
        </w:rPr>
      </w:pPr>
    </w:p>
    <w:p>
      <w:pPr>
        <w:spacing w:line="700" w:lineRule="exact"/>
        <w:rPr>
          <w:rFonts w:hint="eastAsia" w:asciiTheme="majorEastAsia" w:hAnsiTheme="majorEastAsia" w:eastAsiaTheme="majorEastAsia" w:cstheme="majorEastAsia"/>
          <w:kern w:val="0"/>
          <w:sz w:val="20"/>
          <w:szCs w:val="20"/>
        </w:rPr>
      </w:pPr>
    </w:p>
    <w:p>
      <w:pPr>
        <w:spacing w:line="700" w:lineRule="exact"/>
        <w:rPr>
          <w:rFonts w:hint="eastAsia" w:asciiTheme="majorEastAsia" w:hAnsiTheme="majorEastAsia" w:eastAsiaTheme="majorEastAsia" w:cstheme="majorEastAsia"/>
          <w:kern w:val="0"/>
          <w:sz w:val="20"/>
          <w:szCs w:val="20"/>
        </w:rPr>
      </w:pPr>
    </w:p>
    <w:p>
      <w:pPr>
        <w:spacing w:line="700" w:lineRule="exact"/>
        <w:rPr>
          <w:rFonts w:hint="eastAsia" w:asciiTheme="majorEastAsia" w:hAnsiTheme="majorEastAsia" w:eastAsiaTheme="majorEastAsia" w:cstheme="majorEastAsia"/>
          <w:kern w:val="0"/>
          <w:sz w:val="20"/>
          <w:szCs w:val="20"/>
        </w:rPr>
      </w:pPr>
    </w:p>
    <w:p>
      <w:pPr>
        <w:spacing w:line="700" w:lineRule="exact"/>
        <w:rPr>
          <w:rFonts w:hint="eastAsia" w:asciiTheme="majorEastAsia" w:hAnsiTheme="majorEastAsia" w:eastAsiaTheme="majorEastAsia" w:cstheme="majorEastAsia"/>
          <w:kern w:val="0"/>
          <w:sz w:val="20"/>
          <w:szCs w:val="20"/>
        </w:rPr>
      </w:pPr>
    </w:p>
    <w:p>
      <w:pPr>
        <w:spacing w:line="700" w:lineRule="exact"/>
        <w:rPr>
          <w:rFonts w:hint="eastAsia" w:asciiTheme="majorEastAsia" w:hAnsiTheme="majorEastAsia" w:eastAsiaTheme="majorEastAsia" w:cstheme="majorEastAsia"/>
          <w:kern w:val="0"/>
          <w:sz w:val="20"/>
          <w:szCs w:val="20"/>
        </w:rPr>
      </w:pPr>
    </w:p>
    <w:p>
      <w:pPr>
        <w:spacing w:line="700" w:lineRule="exact"/>
        <w:rPr>
          <w:rFonts w:hint="eastAsia" w:asciiTheme="majorEastAsia" w:hAnsiTheme="majorEastAsia" w:eastAsiaTheme="majorEastAsia" w:cstheme="majorEastAsia"/>
          <w:kern w:val="0"/>
          <w:sz w:val="20"/>
          <w:szCs w:val="20"/>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通榆县公安局2024年警察节假日之外加班补助</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二级项目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lang w:eastAsia="zh-CN"/>
              </w:rPr>
            </w:pPr>
            <w:r>
              <w:rPr>
                <w:rFonts w:hint="eastAsia" w:asciiTheme="majorEastAsia" w:hAnsiTheme="majorEastAsia" w:eastAsiaTheme="majorEastAsia" w:cstheme="majorEastAsia"/>
                <w:color w:val="000000"/>
                <w:sz w:val="20"/>
                <w:szCs w:val="20"/>
              </w:rPr>
              <w:t>项目资金</w:t>
            </w:r>
          </w:p>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220.00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220.00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lang w:eastAsia="zh-CN"/>
              </w:rPr>
            </w:pPr>
            <w:r>
              <w:rPr>
                <w:rFonts w:hint="eastAsia" w:asciiTheme="majorEastAsia" w:hAnsiTheme="majorEastAsia" w:eastAsiaTheme="majorEastAsia" w:cstheme="majorEastAsia"/>
                <w:color w:val="000000"/>
                <w:sz w:val="20"/>
                <w:szCs w:val="20"/>
              </w:rPr>
              <w:t>年度绩效</w:t>
            </w:r>
          </w:p>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发放2024年民警法定工作日之外加班补助，提高民警满意度，保障各项公安工作顺利开展。</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成本指标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经济成本指标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加班补助发放成本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&lt;=710元/人/月</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加班补助发放人数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&gt;=257人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heme="majorEastAsia" w:hAnsiTheme="majorEastAsia" w:eastAsiaTheme="majorEastAsia" w:cstheme="majorEastAsia"/>
                <w:color w:val="000000"/>
                <w:sz w:val="20"/>
                <w:szCs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发放补助民警资格合格率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heme="majorEastAsia" w:hAnsiTheme="majorEastAsia" w:eastAsiaTheme="majorEastAsia" w:cstheme="majorEastAsia"/>
                <w:color w:val="000000"/>
                <w:sz w:val="20"/>
                <w:szCs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加班补助发放及时率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效益指标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民警生活水平</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有所提高</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满意度指标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服务对象满意度指标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干警满意度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=100%</w:t>
            </w:r>
          </w:p>
        </w:tc>
      </w:tr>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通榆县公安局2024年贫困、非贫人口辅警工资</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二级项目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lang w:eastAsia="zh-CN"/>
              </w:rPr>
            </w:pPr>
            <w:r>
              <w:rPr>
                <w:rFonts w:hint="eastAsia" w:asciiTheme="majorEastAsia" w:hAnsiTheme="majorEastAsia" w:eastAsiaTheme="majorEastAsia" w:cstheme="majorEastAsia"/>
                <w:color w:val="000000"/>
                <w:sz w:val="20"/>
                <w:szCs w:val="20"/>
              </w:rPr>
              <w:t>项目资金</w:t>
            </w:r>
          </w:p>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116.00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116.00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lang w:eastAsia="zh-CN"/>
              </w:rPr>
            </w:pPr>
            <w:r>
              <w:rPr>
                <w:rFonts w:hint="eastAsia" w:asciiTheme="majorEastAsia" w:hAnsiTheme="majorEastAsia" w:eastAsiaTheme="majorEastAsia" w:cstheme="majorEastAsia"/>
                <w:color w:val="000000"/>
                <w:sz w:val="20"/>
                <w:szCs w:val="20"/>
              </w:rPr>
              <w:t>年度绩效</w:t>
            </w:r>
          </w:p>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发放2024年贫困、非贫人口辅警工资，提高辅警满意度，促进各项公安工作正常开展。</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成本指标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经济成本指标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工资发放成本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&lt;=1000元/人/月</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辅助岗人数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&gt;=200人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heme="majorEastAsia" w:hAnsiTheme="majorEastAsia" w:eastAsiaTheme="majorEastAsia" w:cstheme="majorEastAsia"/>
                <w:color w:val="000000"/>
                <w:sz w:val="20"/>
                <w:szCs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发放人员工资资格合格率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heme="majorEastAsia" w:hAnsiTheme="majorEastAsia" w:eastAsiaTheme="majorEastAsia" w:cstheme="majorEastAsia"/>
                <w:color w:val="000000"/>
                <w:sz w:val="20"/>
                <w:szCs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工资发放及时率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效益指标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辅警生活水平</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有所提高</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满意度指标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服务对象满意度指标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辅助岗人员满意度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=100%</w:t>
            </w:r>
          </w:p>
        </w:tc>
      </w:tr>
    </w:tbl>
    <w:p>
      <w:pPr>
        <w:spacing w:line="700" w:lineRule="exact"/>
        <w:ind w:firstLine="400" w:firstLineChars="200"/>
        <w:rPr>
          <w:rFonts w:hint="eastAsia" w:eastAsia="楷体"/>
          <w:kern w:val="0"/>
          <w:szCs w:val="32"/>
        </w:rPr>
      </w:pPr>
      <w:r>
        <w:rPr>
          <w:rFonts w:hint="eastAsia" w:asciiTheme="majorEastAsia" w:hAnsiTheme="majorEastAsia" w:eastAsiaTheme="majorEastAsia" w:cstheme="majorEastAsia"/>
          <w:kern w:val="0"/>
          <w:sz w:val="20"/>
          <w:szCs w:val="20"/>
        </w:rPr>
        <w:br w:type="page"/>
      </w: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通榆县公安局2024年视频监控运行费</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二级项目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lang w:eastAsia="zh-CN"/>
              </w:rPr>
            </w:pPr>
            <w:r>
              <w:rPr>
                <w:rFonts w:hint="eastAsia" w:asciiTheme="majorEastAsia" w:hAnsiTheme="majorEastAsia" w:eastAsiaTheme="majorEastAsia" w:cstheme="majorEastAsia"/>
                <w:color w:val="000000"/>
                <w:sz w:val="20"/>
                <w:szCs w:val="20"/>
              </w:rPr>
              <w:t>项目资金</w:t>
            </w:r>
          </w:p>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863.00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863.00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lang w:eastAsia="zh-CN"/>
              </w:rPr>
            </w:pPr>
            <w:r>
              <w:rPr>
                <w:rFonts w:hint="eastAsia" w:asciiTheme="majorEastAsia" w:hAnsiTheme="majorEastAsia" w:eastAsiaTheme="majorEastAsia" w:cstheme="majorEastAsia"/>
                <w:color w:val="000000"/>
                <w:sz w:val="20"/>
                <w:szCs w:val="20"/>
              </w:rPr>
              <w:t>年度绩效</w:t>
            </w:r>
          </w:p>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用于支付2024年视频监控运行费用支出，保障视频监控正常运行，提高人民群众满意度。</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成本指标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经济成本指标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视频监控各项支出成本控制</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&lt;=72万元/月</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视频监控点位数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&gt;=1700个</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heme="majorEastAsia" w:hAnsiTheme="majorEastAsia" w:eastAsiaTheme="majorEastAsia" w:cstheme="majorEastAsia"/>
                <w:color w:val="000000"/>
                <w:sz w:val="20"/>
                <w:szCs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视频监控工程验收合格率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heme="majorEastAsia" w:hAnsiTheme="majorEastAsia" w:eastAsiaTheme="majorEastAsia" w:cstheme="majorEastAsia"/>
                <w:color w:val="000000"/>
                <w:sz w:val="20"/>
                <w:szCs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视频监控工程完成的及时率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效益指标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社会治安环境</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有所改善</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满意度指标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服务对象满意度指标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群众满意度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&gt;=95%</w:t>
            </w:r>
          </w:p>
        </w:tc>
      </w:tr>
    </w:tbl>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通榆县公安局2024年一格一警辅警工资</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二级项目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lang w:eastAsia="zh-CN"/>
              </w:rPr>
            </w:pPr>
            <w:r>
              <w:rPr>
                <w:rFonts w:hint="eastAsia" w:asciiTheme="majorEastAsia" w:hAnsiTheme="majorEastAsia" w:eastAsiaTheme="majorEastAsia" w:cstheme="majorEastAsia"/>
                <w:color w:val="000000"/>
                <w:sz w:val="20"/>
                <w:szCs w:val="20"/>
              </w:rPr>
              <w:t>项目资金</w:t>
            </w:r>
          </w:p>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132.00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132.00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lang w:eastAsia="zh-CN"/>
              </w:rPr>
            </w:pPr>
            <w:r>
              <w:rPr>
                <w:rFonts w:hint="eastAsia" w:asciiTheme="majorEastAsia" w:hAnsiTheme="majorEastAsia" w:eastAsiaTheme="majorEastAsia" w:cstheme="majorEastAsia"/>
                <w:color w:val="000000"/>
                <w:sz w:val="20"/>
                <w:szCs w:val="20"/>
              </w:rPr>
              <w:t>年度绩效</w:t>
            </w:r>
          </w:p>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2"/>
                <w:sz w:val="20"/>
                <w:szCs w:val="20"/>
                <w:u w:val="none"/>
                <w:lang w:val="en-US" w:eastAsia="zh-CN" w:bidi="ar-SA"/>
              </w:rPr>
              <w:t>用于发放2024年一格一警辅警工资，提高辅警满意度，保障各项公安工作正常运转。</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成本指标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经济成本指标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工资发放成本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&lt;=1000元/人/月</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辅助岗人数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&gt;=200人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heme="majorEastAsia" w:hAnsiTheme="majorEastAsia" w:eastAsiaTheme="majorEastAsia" w:cstheme="majorEastAsia"/>
                <w:color w:val="000000"/>
                <w:sz w:val="20"/>
                <w:szCs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发放人员工资资格合格率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heme="majorEastAsia" w:hAnsiTheme="majorEastAsia" w:eastAsiaTheme="majorEastAsia" w:cstheme="majorEastAsia"/>
                <w:color w:val="000000"/>
                <w:sz w:val="20"/>
                <w:szCs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工资发放及时率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效益指标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辅警生活水平</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有所提高</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满意度指标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服务对象满意度指标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辅助岗人员满意度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=100%</w:t>
            </w:r>
          </w:p>
        </w:tc>
      </w:tr>
    </w:tbl>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通榆县公安局2024年驻村工作队生活补贴</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二级项目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lang w:eastAsia="zh-CN"/>
              </w:rPr>
            </w:pPr>
            <w:r>
              <w:rPr>
                <w:rFonts w:hint="eastAsia" w:asciiTheme="majorEastAsia" w:hAnsiTheme="majorEastAsia" w:eastAsiaTheme="majorEastAsia" w:cstheme="majorEastAsia"/>
                <w:color w:val="000000"/>
                <w:sz w:val="20"/>
                <w:szCs w:val="20"/>
              </w:rPr>
              <w:t>项目资金</w:t>
            </w:r>
          </w:p>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10.80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10.80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lang w:eastAsia="zh-CN"/>
              </w:rPr>
            </w:pPr>
            <w:r>
              <w:rPr>
                <w:rFonts w:hint="eastAsia" w:asciiTheme="majorEastAsia" w:hAnsiTheme="majorEastAsia" w:eastAsiaTheme="majorEastAsia" w:cstheme="majorEastAsia"/>
                <w:color w:val="000000"/>
                <w:sz w:val="20"/>
                <w:szCs w:val="20"/>
              </w:rPr>
              <w:t>年度绩效</w:t>
            </w:r>
          </w:p>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2"/>
                <w:sz w:val="20"/>
                <w:szCs w:val="20"/>
                <w:u w:val="none"/>
                <w:lang w:val="en-US" w:eastAsia="zh-CN" w:bidi="ar-SA"/>
              </w:rPr>
              <w:t>用于发放2024年驻村工作补贴，提高驻村工作队员满意度，保障各项驻村工作顺利开展。</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color w:val="000000"/>
                <w:sz w:val="20"/>
                <w:szCs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成本指标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经济成本指标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驻村补助发放成本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=100元/人/天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产出指标</w:t>
            </w:r>
          </w:p>
        </w:tc>
        <w:tc>
          <w:tcPr>
            <w:tcW w:w="204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驻村干部人数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=3人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heme="majorEastAsia" w:hAnsiTheme="majorEastAsia" w:eastAsiaTheme="majorEastAsia" w:cstheme="majorEastAsia"/>
                <w:color w:val="000000"/>
                <w:sz w:val="20"/>
                <w:szCs w:val="20"/>
              </w:rPr>
            </w:pPr>
          </w:p>
        </w:tc>
        <w:tc>
          <w:tcPr>
            <w:tcW w:w="204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heme="majorEastAsia" w:hAnsiTheme="majorEastAsia" w:eastAsiaTheme="majorEastAsia" w:cstheme="majorEastAsia"/>
                <w:color w:val="000000"/>
                <w:sz w:val="20"/>
                <w:szCs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补贴发放天数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&gt;=1080天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heme="majorEastAsia" w:hAnsiTheme="majorEastAsia" w:eastAsiaTheme="majorEastAsia" w:cstheme="majorEastAsia"/>
                <w:color w:val="000000"/>
                <w:sz w:val="20"/>
                <w:szCs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乡村振兴工作内容完成率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color w:val="000000"/>
                <w:sz w:val="20"/>
                <w:szCs w:val="20"/>
              </w:rPr>
            </w:pPr>
            <w:r>
              <w:rPr>
                <w:rFonts w:hint="eastAsia" w:asciiTheme="majorEastAsia" w:hAnsiTheme="majorEastAsia" w:eastAsiaTheme="majorEastAsia" w:cstheme="majorEastAsia"/>
                <w:i w:val="0"/>
                <w:iCs w:val="0"/>
                <w:color w:val="000000"/>
                <w:kern w:val="0"/>
                <w:sz w:val="20"/>
                <w:szCs w:val="20"/>
                <w:u w:val="none"/>
                <w:lang w:val="en-US" w:eastAsia="zh-CN" w:bidi="ar"/>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heme="majorEastAsia" w:hAnsiTheme="majorEastAsia" w:eastAsiaTheme="majorEastAsia" w:cstheme="majorEastAsia"/>
                <w:i w:val="0"/>
                <w:iCs w:val="0"/>
                <w:color w:val="000000"/>
                <w:kern w:val="2"/>
                <w:sz w:val="20"/>
                <w:szCs w:val="20"/>
                <w:u w:val="none"/>
                <w:lang w:val="en-US" w:eastAsia="zh-CN" w:bidi="ar-SA"/>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驻村干部补助发放及时率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ajorEastAsia" w:hAnsiTheme="majorEastAsia" w:eastAsiaTheme="majorEastAsia" w:cstheme="majorEastAsia"/>
                <w:color w:val="000000"/>
                <w:sz w:val="20"/>
                <w:szCs w:val="20"/>
              </w:rPr>
            </w:pP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效益指标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百姓生活水平</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000000"/>
                <w:kern w:val="2"/>
                <w:sz w:val="20"/>
                <w:szCs w:val="20"/>
                <w:u w:val="none"/>
                <w:lang w:val="en-US" w:eastAsia="zh-CN" w:bidi="ar-SA"/>
              </w:rPr>
            </w:pPr>
            <w:r>
              <w:rPr>
                <w:rFonts w:hint="eastAsia" w:asciiTheme="majorEastAsia" w:hAnsiTheme="majorEastAsia" w:eastAsiaTheme="majorEastAsia" w:cstheme="majorEastAsia"/>
                <w:i w:val="0"/>
                <w:iCs w:val="0"/>
                <w:color w:val="000000"/>
                <w:kern w:val="0"/>
                <w:sz w:val="20"/>
                <w:szCs w:val="20"/>
                <w:u w:val="none"/>
                <w:lang w:val="en-US" w:eastAsia="zh-CN" w:bidi="ar"/>
              </w:rPr>
              <w:t>有所提高</w:t>
            </w:r>
          </w:p>
        </w:tc>
      </w:tr>
    </w:tbl>
    <w:p>
      <w:pPr>
        <w:spacing w:line="700" w:lineRule="exact"/>
        <w:ind w:firstLine="400" w:firstLineChars="200"/>
        <w:rPr>
          <w:rFonts w:hint="eastAsia" w:asciiTheme="majorEastAsia" w:hAnsiTheme="majorEastAsia" w:eastAsiaTheme="majorEastAsia" w:cstheme="majorEastAsia"/>
          <w:kern w:val="0"/>
          <w:sz w:val="20"/>
          <w:szCs w:val="20"/>
        </w:rPr>
      </w:pPr>
    </w:p>
    <w:p>
      <w:pPr>
        <w:spacing w:line="700" w:lineRule="exact"/>
        <w:ind w:firstLine="400" w:firstLineChars="200"/>
        <w:rPr>
          <w:rFonts w:hint="eastAsia" w:asciiTheme="majorEastAsia" w:hAnsiTheme="majorEastAsia" w:eastAsiaTheme="majorEastAsia" w:cstheme="majorEastAsia"/>
          <w:kern w:val="0"/>
          <w:sz w:val="20"/>
          <w:szCs w:val="20"/>
        </w:rPr>
      </w:pPr>
    </w:p>
    <w:p>
      <w:pPr>
        <w:spacing w:line="700" w:lineRule="exact"/>
        <w:ind w:firstLine="400" w:firstLineChars="200"/>
        <w:rPr>
          <w:rFonts w:hint="eastAsia" w:asciiTheme="majorEastAsia" w:hAnsiTheme="majorEastAsia" w:eastAsiaTheme="majorEastAsia" w:cstheme="majorEastAsia"/>
          <w:kern w:val="0"/>
          <w:sz w:val="20"/>
          <w:szCs w:val="20"/>
        </w:rPr>
      </w:pPr>
    </w:p>
    <w:p>
      <w:pPr>
        <w:spacing w:line="700" w:lineRule="exact"/>
        <w:ind w:firstLine="400" w:firstLineChars="200"/>
        <w:rPr>
          <w:rFonts w:hint="eastAsia" w:asciiTheme="majorEastAsia" w:hAnsiTheme="majorEastAsia" w:eastAsiaTheme="majorEastAsia" w:cstheme="majorEastAsia"/>
          <w:kern w:val="0"/>
          <w:sz w:val="20"/>
          <w:szCs w:val="20"/>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eastAsia="仿宋_GB2312" w:cs="仿宋_GB2312"/>
          <w:szCs w:val="32"/>
          <w:u w:val="single"/>
        </w:rPr>
        <w:t>_7068.17__</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u w:val="single"/>
        </w:rPr>
        <w:t>7068.17</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年预算减少</w:t>
      </w:r>
      <w:r>
        <w:rPr>
          <w:rFonts w:hint="eastAsia" w:ascii="仿宋_GB2312" w:hAnsi="仿宋_GB2312" w:cs="仿宋_GB2312"/>
          <w:szCs w:val="32"/>
          <w:u w:val="single"/>
          <w:lang w:val="en-US" w:eastAsia="zh-CN"/>
        </w:rPr>
        <w:t>1298.94</w:t>
      </w:r>
      <w:r>
        <w:rPr>
          <w:rFonts w:hint="eastAsia" w:ascii="仿宋_GB2312" w:hAnsi="仿宋_GB2312" w:eastAsia="仿宋_GB2312" w:cs="仿宋_GB2312"/>
          <w:szCs w:val="32"/>
        </w:rPr>
        <w:t>万元，主要原因是</w:t>
      </w:r>
      <w:r>
        <w:rPr>
          <w:rFonts w:hint="eastAsia" w:ascii="仿宋_GB2312" w:hAnsi="仿宋_GB2312" w:eastAsia="仿宋_GB2312" w:cs="仿宋_GB2312"/>
          <w:szCs w:val="32"/>
          <w:u w:val="single"/>
        </w:rPr>
        <w:softHyphen/>
      </w:r>
      <w:r>
        <w:rPr>
          <w:rFonts w:hint="eastAsia" w:ascii="仿宋_GB2312" w:hAnsi="仿宋_GB2312" w:eastAsia="仿宋_GB2312" w:cs="仿宋_GB2312"/>
          <w:szCs w:val="32"/>
          <w:u w:val="single"/>
        </w:rPr>
        <w:softHyphen/>
      </w:r>
      <w:r>
        <w:rPr>
          <w:rFonts w:hint="eastAsia" w:ascii="仿宋_GB2312" w:hAnsi="仿宋_GB2312" w:eastAsia="仿宋_GB2312" w:cs="仿宋_GB2312"/>
          <w:szCs w:val="32"/>
          <w:u w:val="single"/>
        </w:rPr>
        <w:softHyphen/>
      </w:r>
      <w:r>
        <w:rPr>
          <w:rFonts w:hint="eastAsia" w:ascii="仿宋_GB2312" w:hAnsi="仿宋_GB2312" w:cs="仿宋_GB2312"/>
          <w:szCs w:val="32"/>
          <w:u w:val="single"/>
          <w:lang w:val="en-US" w:eastAsia="zh-CN"/>
        </w:rPr>
        <w:t>按照上级文件要求压缩开支</w:t>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eastAsia="仿宋_GB2312" w:cs="仿宋_GB2312"/>
          <w:szCs w:val="32"/>
          <w:u w:val="single"/>
        </w:rPr>
        <w:t>7068.17</w:t>
      </w:r>
      <w:r>
        <w:rPr>
          <w:rFonts w:hint="eastAsia" w:ascii="仿宋_GB2312" w:hAnsi="仿宋_GB2312" w:eastAsia="仿宋_GB2312" w:cs="仿宋_GB2312"/>
          <w:szCs w:val="32"/>
        </w:rPr>
        <w:t>万元，其中：本年收入</w:t>
      </w:r>
      <w:r>
        <w:rPr>
          <w:rFonts w:hint="eastAsia" w:ascii="仿宋_GB2312" w:hAnsi="仿宋_GB2312" w:eastAsia="仿宋_GB2312" w:cs="仿宋_GB2312"/>
          <w:szCs w:val="32"/>
          <w:u w:val="single"/>
        </w:rPr>
        <w:t>7068.17</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none"/>
        </w:rPr>
        <w:t>%</w:t>
      </w:r>
      <w:r>
        <w:rPr>
          <w:rFonts w:hint="eastAsia" w:ascii="仿宋_GB2312" w:hAnsi="仿宋_GB2312" w:eastAsia="仿宋_GB2312" w:cs="仿宋_GB2312"/>
          <w:szCs w:val="32"/>
        </w:rPr>
        <w:t>。本年收入中，一般公共预算拨款收入</w:t>
      </w:r>
      <w:r>
        <w:rPr>
          <w:rFonts w:hint="eastAsia" w:ascii="仿宋_GB2312" w:hAnsi="仿宋_GB2312" w:eastAsia="仿宋_GB2312" w:cs="仿宋_GB2312"/>
          <w:szCs w:val="32"/>
          <w:u w:val="single"/>
        </w:rPr>
        <w:t>7068.17</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100 </w:t>
      </w:r>
      <w:r>
        <w:rPr>
          <w:rFonts w:hint="eastAsia" w:ascii="仿宋_GB2312" w:hAnsi="仿宋_GB2312" w:eastAsia="仿宋_GB2312" w:cs="仿宋_GB2312"/>
          <w:szCs w:val="32"/>
        </w:rPr>
        <w:t>%；政府性基金预算拨款收入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_万元，占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_%；事业收入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_万元，占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eastAsia="仿宋_GB2312" w:cs="仿宋_GB2312"/>
          <w:szCs w:val="32"/>
          <w:u w:val="single"/>
        </w:rPr>
        <w:t>7068.17</w:t>
      </w:r>
      <w:r>
        <w:rPr>
          <w:rFonts w:hint="eastAsia" w:ascii="仿宋_GB2312" w:hAnsi="仿宋_GB2312" w:eastAsia="仿宋_GB2312" w:cs="仿宋_GB2312"/>
          <w:szCs w:val="32"/>
        </w:rPr>
        <w:t>万元，其中：基本支出</w:t>
      </w:r>
      <w:r>
        <w:rPr>
          <w:rFonts w:hint="eastAsia" w:ascii="仿宋_GB2312" w:hAnsi="仿宋_GB2312" w:eastAsia="仿宋_GB2312" w:cs="仿宋_GB2312"/>
          <w:szCs w:val="32"/>
          <w:u w:val="single"/>
        </w:rPr>
        <w:t>4828.2</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68.31</w:t>
      </w:r>
      <w:r>
        <w:rPr>
          <w:rFonts w:hint="eastAsia" w:ascii="仿宋_GB2312" w:hAnsi="仿宋_GB2312" w:eastAsia="仿宋_GB2312" w:cs="仿宋_GB2312"/>
          <w:szCs w:val="32"/>
        </w:rPr>
        <w:t>%；项目支出</w:t>
      </w:r>
      <w:r>
        <w:rPr>
          <w:rFonts w:hint="eastAsia" w:ascii="仿宋_GB2312" w:hAnsi="仿宋_GB2312" w:eastAsia="仿宋_GB2312" w:cs="仿宋_GB2312"/>
          <w:szCs w:val="32"/>
          <w:u w:val="single"/>
        </w:rPr>
        <w:t>2239.97</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31.69</w:t>
      </w:r>
      <w:r>
        <w:rPr>
          <w:rFonts w:hint="eastAsia" w:ascii="仿宋_GB2312" w:hAnsi="仿宋_GB2312" w:eastAsia="仿宋_GB2312" w:cs="仿宋_GB2312"/>
          <w:szCs w:val="32"/>
        </w:rPr>
        <w:t>%；事业单位经营支出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w:t>
      </w:r>
    </w:p>
    <w:p>
      <w:pPr>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40" w:firstLineChars="200"/>
        <w:rPr>
          <w:rFonts w:hint="eastAsia" w:ascii="黑体" w:hAnsi="黑体" w:eastAsia="黑体" w:cs="黑体"/>
          <w:szCs w:val="32"/>
        </w:rPr>
      </w:pP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eastAsia="仿宋_GB2312" w:cs="仿宋_GB2312"/>
          <w:szCs w:val="32"/>
          <w:u w:val="single"/>
        </w:rPr>
        <w:t>7068.17</w:t>
      </w:r>
      <w:r>
        <w:rPr>
          <w:rFonts w:hint="eastAsia" w:ascii="仿宋_GB2312" w:hAnsi="仿宋_GB2312" w:eastAsia="仿宋_GB2312" w:cs="仿宋_GB2312"/>
          <w:szCs w:val="32"/>
        </w:rPr>
        <w:t>万元，其中：本年收入</w:t>
      </w:r>
      <w:r>
        <w:rPr>
          <w:rFonts w:hint="eastAsia" w:ascii="仿宋_GB2312" w:hAnsi="仿宋_GB2312" w:eastAsia="仿宋_GB2312" w:cs="仿宋_GB2312"/>
          <w:szCs w:val="32"/>
          <w:u w:val="single"/>
        </w:rPr>
        <w:t>7068.17</w:t>
      </w:r>
      <w:r>
        <w:rPr>
          <w:rFonts w:hint="eastAsia" w:ascii="仿宋_GB2312" w:hAnsi="仿宋_GB2312" w:eastAsia="仿宋_GB2312" w:cs="仿宋_GB2312"/>
          <w:szCs w:val="32"/>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eastAsia="仿宋_GB2312" w:cs="仿宋_GB2312"/>
          <w:szCs w:val="32"/>
          <w:u w:val="single"/>
        </w:rPr>
        <w:t>6070.13</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u w:val="single"/>
          <w:lang w:val="en-US" w:eastAsia="zh-CN"/>
        </w:rPr>
        <w:t>502.4</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u w:val="single"/>
          <w:lang w:val="en-US" w:eastAsia="zh-CN"/>
        </w:rPr>
        <w:t>195.8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u w:val="single"/>
          <w:lang w:val="en-US" w:eastAsia="zh-CN"/>
        </w:rPr>
        <w:t>299.84</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40" w:firstLineChars="200"/>
        <w:rPr>
          <w:rFonts w:eastAsia="黑体"/>
          <w:szCs w:val="30"/>
        </w:rPr>
      </w:pPr>
      <w:bookmarkStart w:id="0" w:name="_GoBack"/>
      <w:bookmarkEnd w:id="0"/>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cs="仿宋_GB2312"/>
          <w:szCs w:val="32"/>
          <w:lang w:eastAsia="zh-CN"/>
        </w:rPr>
      </w:pPr>
      <w:r>
        <w:rPr>
          <w:rFonts w:hint="eastAsia" w:ascii="仿宋_GB2312" w:hAnsi="仿宋_GB2312" w:cs="仿宋_GB2312"/>
          <w:szCs w:val="32"/>
          <w:lang w:eastAsia="zh-CN"/>
        </w:rPr>
        <w:t>2024年一般公共预算拨款</w:t>
      </w:r>
      <w:r>
        <w:rPr>
          <w:rFonts w:hint="eastAsia" w:ascii="仿宋_GB2312" w:hAnsi="仿宋_GB2312" w:eastAsia="仿宋_GB2312" w:cs="仿宋_GB2312"/>
          <w:szCs w:val="32"/>
          <w:u w:val="single"/>
        </w:rPr>
        <w:t>7068.17</w:t>
      </w:r>
      <w:r>
        <w:rPr>
          <w:rFonts w:hint="eastAsia" w:ascii="仿宋_GB2312" w:hAnsi="仿宋_GB2312" w:cs="仿宋_GB2312"/>
          <w:szCs w:val="32"/>
          <w:lang w:eastAsia="zh-CN"/>
        </w:rPr>
        <w:t>万元，其中：基本支出</w:t>
      </w:r>
      <w:r>
        <w:rPr>
          <w:rFonts w:hint="eastAsia" w:ascii="仿宋_GB2312" w:hAnsi="仿宋_GB2312" w:cs="仿宋_GB2312"/>
          <w:szCs w:val="32"/>
          <w:u w:val="single"/>
          <w:lang w:eastAsia="zh-CN"/>
        </w:rPr>
        <w:t>4828.2</w:t>
      </w:r>
      <w:r>
        <w:rPr>
          <w:rFonts w:hint="eastAsia" w:ascii="仿宋_GB2312" w:hAnsi="仿宋_GB2312" w:cs="仿宋_GB2312"/>
          <w:szCs w:val="32"/>
          <w:lang w:eastAsia="zh-CN"/>
        </w:rPr>
        <w:t>万元，占</w:t>
      </w:r>
      <w:r>
        <w:rPr>
          <w:rFonts w:hint="eastAsia" w:ascii="仿宋_GB2312" w:hAnsi="仿宋_GB2312" w:cs="仿宋_GB2312"/>
          <w:szCs w:val="32"/>
          <w:u w:val="single"/>
          <w:lang w:val="en-US" w:eastAsia="zh-CN"/>
        </w:rPr>
        <w:t>68.31</w:t>
      </w:r>
      <w:r>
        <w:rPr>
          <w:rFonts w:hint="eastAsia" w:ascii="仿宋_GB2312" w:hAnsi="仿宋_GB2312" w:cs="仿宋_GB2312"/>
          <w:szCs w:val="32"/>
          <w:lang w:eastAsia="zh-CN"/>
        </w:rPr>
        <w:t>%；</w:t>
      </w:r>
      <w:r>
        <w:rPr>
          <w:rFonts w:hint="eastAsia" w:ascii="仿宋_GB2312" w:hAnsi="仿宋_GB2312" w:eastAsia="仿宋_GB2312" w:cs="仿宋_GB2312"/>
          <w:szCs w:val="32"/>
        </w:rPr>
        <w:t>项目支出</w:t>
      </w:r>
      <w:r>
        <w:rPr>
          <w:rFonts w:hint="eastAsia" w:ascii="仿宋_GB2312" w:hAnsi="仿宋_GB2312" w:eastAsia="仿宋_GB2312" w:cs="仿宋_GB2312"/>
          <w:szCs w:val="32"/>
          <w:u w:val="single"/>
        </w:rPr>
        <w:t>2239.97</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31.69</w:t>
      </w:r>
      <w:r>
        <w:rPr>
          <w:rFonts w:hint="eastAsia" w:ascii="仿宋_GB2312" w:hAnsi="仿宋_GB2312" w:eastAsia="仿宋_GB2312" w:cs="仿宋_GB2312"/>
          <w:szCs w:val="32"/>
        </w:rPr>
        <w:t>%</w:t>
      </w:r>
      <w:r>
        <w:rPr>
          <w:rFonts w:hint="eastAsia" w:ascii="仿宋_GB2312" w:hAnsi="仿宋_GB2312" w:cs="仿宋_GB2312"/>
          <w:szCs w:val="32"/>
          <w:lang w:eastAsia="zh-CN"/>
        </w:rPr>
        <w:t>。基本支出中，人员经费</w:t>
      </w:r>
      <w:r>
        <w:rPr>
          <w:rFonts w:hint="eastAsia" w:ascii="仿宋_GB2312" w:hAnsi="仿宋_GB2312" w:cs="仿宋_GB2312"/>
          <w:szCs w:val="32"/>
          <w:u w:val="single"/>
          <w:lang w:val="en-US" w:eastAsia="zh-CN"/>
        </w:rPr>
        <w:t>4022.04</w:t>
      </w:r>
      <w:r>
        <w:rPr>
          <w:rFonts w:hint="eastAsia" w:ascii="仿宋_GB2312" w:hAnsi="仿宋_GB2312" w:cs="仿宋_GB2312"/>
          <w:szCs w:val="32"/>
          <w:lang w:eastAsia="zh-CN"/>
        </w:rPr>
        <w:t>万元，占</w:t>
      </w:r>
      <w:r>
        <w:rPr>
          <w:rFonts w:hint="eastAsia" w:ascii="仿宋_GB2312" w:hAnsi="仿宋_GB2312" w:cs="仿宋_GB2312"/>
          <w:szCs w:val="32"/>
          <w:u w:val="single"/>
          <w:lang w:val="en-US" w:eastAsia="zh-CN"/>
        </w:rPr>
        <w:t>56.90</w:t>
      </w:r>
      <w:r>
        <w:rPr>
          <w:rFonts w:hint="eastAsia" w:ascii="仿宋_GB2312" w:hAnsi="仿宋_GB2312" w:cs="仿宋_GB2312"/>
          <w:szCs w:val="32"/>
          <w:lang w:eastAsia="zh-CN"/>
        </w:rPr>
        <w:t>%；公用经费</w:t>
      </w:r>
      <w:r>
        <w:rPr>
          <w:rFonts w:hint="eastAsia" w:ascii="仿宋_GB2312" w:hAnsi="仿宋_GB2312" w:cs="仿宋_GB2312"/>
          <w:szCs w:val="32"/>
          <w:u w:val="single"/>
          <w:lang w:val="en-US" w:eastAsia="zh-CN"/>
        </w:rPr>
        <w:t>806.16</w:t>
      </w:r>
      <w:r>
        <w:rPr>
          <w:rFonts w:hint="eastAsia" w:ascii="仿宋_GB2312" w:hAnsi="仿宋_GB2312" w:cs="仿宋_GB2312"/>
          <w:szCs w:val="32"/>
          <w:lang w:eastAsia="zh-CN"/>
        </w:rPr>
        <w:t>万元，占</w:t>
      </w:r>
      <w:r>
        <w:rPr>
          <w:rFonts w:hint="eastAsia" w:ascii="仿宋_GB2312" w:hAnsi="仿宋_GB2312" w:cs="仿宋_GB2312"/>
          <w:szCs w:val="32"/>
          <w:u w:val="single"/>
          <w:lang w:val="en-US" w:eastAsia="zh-CN"/>
        </w:rPr>
        <w:t>11.41</w:t>
      </w:r>
      <w:r>
        <w:rPr>
          <w:rFonts w:hint="eastAsia" w:ascii="仿宋_GB2312" w:hAnsi="仿宋_GB2312" w:cs="仿宋_GB2312"/>
          <w:szCs w:val="32"/>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cs="仿宋_GB2312"/>
          <w:szCs w:val="32"/>
          <w:lang w:eastAsia="zh-CN"/>
        </w:rPr>
      </w:pP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eastAsia="zh-CN"/>
        </w:rPr>
        <w:t>（类）支出</w:t>
      </w:r>
      <w:r>
        <w:rPr>
          <w:rFonts w:hint="eastAsia" w:ascii="仿宋_GB2312" w:hAnsi="仿宋_GB2312" w:cs="仿宋_GB2312"/>
          <w:szCs w:val="32"/>
          <w:u w:val="single"/>
          <w:lang w:val="en-US" w:eastAsia="zh-CN"/>
        </w:rPr>
        <w:t>0</w:t>
      </w:r>
      <w:r>
        <w:rPr>
          <w:rFonts w:hint="eastAsia" w:ascii="仿宋_GB2312" w:hAnsi="仿宋_GB2312" w:cs="仿宋_GB2312"/>
          <w:szCs w:val="32"/>
          <w:lang w:eastAsia="zh-CN"/>
        </w:rPr>
        <w:t>万元，占</w:t>
      </w:r>
      <w:r>
        <w:rPr>
          <w:rFonts w:hint="eastAsia" w:ascii="仿宋_GB2312" w:hAnsi="仿宋_GB2312" w:cs="仿宋_GB2312"/>
          <w:szCs w:val="32"/>
          <w:lang w:val="en-US" w:eastAsia="zh-CN"/>
        </w:rPr>
        <w:t>0</w:t>
      </w:r>
      <w:r>
        <w:rPr>
          <w:rFonts w:hint="eastAsia" w:ascii="仿宋_GB2312" w:hAnsi="仿宋_GB2312" w:cs="仿宋_GB2312"/>
          <w:szCs w:val="32"/>
          <w:lang w:eastAsia="zh-CN"/>
        </w:rPr>
        <w:t>%，主要用于_____________________。</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cs="仿宋_GB2312"/>
          <w:szCs w:val="32"/>
          <w:lang w:eastAsia="zh-CN"/>
        </w:rPr>
      </w:pPr>
      <w:r>
        <w:rPr>
          <w:rFonts w:hint="eastAsia" w:ascii="仿宋_GB2312" w:hAnsi="仿宋_GB2312" w:cs="仿宋_GB2312"/>
          <w:szCs w:val="32"/>
          <w:lang w:eastAsia="zh-CN"/>
        </w:rPr>
        <w:t>国防（类）支出0万元，占0%，主要用于_____________________。</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cs="仿宋_GB2312"/>
          <w:szCs w:val="32"/>
          <w:u w:val="single"/>
          <w:lang w:eastAsia="zh-CN"/>
        </w:rPr>
      </w:pPr>
      <w:r>
        <w:rPr>
          <w:rFonts w:hint="eastAsia" w:ascii="仿宋_GB2312" w:hAnsi="仿宋_GB2312" w:cs="仿宋_GB2312"/>
          <w:szCs w:val="32"/>
          <w:lang w:eastAsia="zh-CN"/>
        </w:rPr>
        <w:t>公共安全（类）支出</w:t>
      </w:r>
      <w:r>
        <w:rPr>
          <w:rFonts w:hint="eastAsia" w:ascii="仿宋_GB2312" w:hAnsi="仿宋_GB2312" w:cs="仿宋_GB2312"/>
          <w:szCs w:val="32"/>
          <w:u w:val="single"/>
          <w:lang w:eastAsia="zh-CN"/>
        </w:rPr>
        <w:t>6070.13</w:t>
      </w:r>
      <w:r>
        <w:rPr>
          <w:rFonts w:hint="eastAsia" w:ascii="仿宋_GB2312" w:hAnsi="仿宋_GB2312" w:cs="仿宋_GB2312"/>
          <w:szCs w:val="32"/>
          <w:lang w:eastAsia="zh-CN"/>
        </w:rPr>
        <w:t>万元，占</w:t>
      </w:r>
      <w:r>
        <w:rPr>
          <w:rFonts w:hint="eastAsia" w:ascii="仿宋_GB2312" w:hAnsi="仿宋_GB2312" w:cs="仿宋_GB2312"/>
          <w:szCs w:val="32"/>
          <w:u w:val="single"/>
          <w:lang w:val="en-US" w:eastAsia="zh-CN"/>
        </w:rPr>
        <w:t>85.88</w:t>
      </w:r>
      <w:r>
        <w:rPr>
          <w:rFonts w:hint="eastAsia" w:ascii="仿宋_GB2312" w:hAnsi="仿宋_GB2312" w:cs="仿宋_GB2312"/>
          <w:szCs w:val="32"/>
          <w:lang w:eastAsia="zh-CN"/>
        </w:rPr>
        <w:t>%，主要用于</w:t>
      </w:r>
      <w:r>
        <w:rPr>
          <w:rFonts w:hint="eastAsia" w:ascii="仿宋_GB2312" w:hAnsi="仿宋_GB2312" w:cs="仿宋_GB2312"/>
          <w:szCs w:val="32"/>
          <w:u w:val="single"/>
          <w:lang w:val="en-US" w:eastAsia="zh-CN"/>
        </w:rPr>
        <w:t>单位人员经费及公用经费</w:t>
      </w:r>
      <w:r>
        <w:rPr>
          <w:rFonts w:hint="eastAsia" w:ascii="仿宋_GB2312" w:hAnsi="仿宋_GB2312" w:cs="仿宋_GB2312"/>
          <w:szCs w:val="32"/>
          <w:u w:val="singl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cs="仿宋_GB2312"/>
          <w:szCs w:val="32"/>
          <w:lang w:eastAsia="zh-CN"/>
        </w:rPr>
      </w:pPr>
      <w:r>
        <w:rPr>
          <w:rFonts w:hint="eastAsia" w:ascii="仿宋_GB2312" w:hAnsi="仿宋_GB2312" w:cs="仿宋_GB2312"/>
          <w:szCs w:val="32"/>
          <w:lang w:eastAsia="zh-CN"/>
        </w:rPr>
        <w:t>教育（类）支出0万元，占0%，主要用于_____________________。</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cs="仿宋_GB2312"/>
          <w:szCs w:val="32"/>
          <w:lang w:eastAsia="zh-CN"/>
        </w:rPr>
      </w:pPr>
      <w:r>
        <w:rPr>
          <w:rFonts w:hint="eastAsia" w:ascii="仿宋_GB2312" w:hAnsi="仿宋_GB2312" w:cs="仿宋_GB2312"/>
          <w:szCs w:val="32"/>
          <w:lang w:eastAsia="zh-CN"/>
        </w:rPr>
        <w:t>科学技术（类）支出0万元，占0%，主要用于_____________________。</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cs="仿宋_GB2312"/>
          <w:szCs w:val="32"/>
          <w:lang w:eastAsia="zh-CN"/>
        </w:rPr>
      </w:pPr>
      <w:r>
        <w:rPr>
          <w:rFonts w:hint="eastAsia" w:ascii="仿宋_GB2312" w:hAnsi="仿宋_GB2312" w:cs="仿宋_GB2312"/>
          <w:szCs w:val="32"/>
          <w:lang w:eastAsia="zh-CN"/>
        </w:rPr>
        <w:t>文化旅游体育与传媒（类）支出0万元，占0%，主要用于_____________________。</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cs="仿宋_GB2312"/>
          <w:szCs w:val="32"/>
          <w:u w:val="single"/>
          <w:lang w:eastAsia="zh-CN"/>
        </w:rPr>
      </w:pPr>
      <w:r>
        <w:rPr>
          <w:rFonts w:hint="eastAsia" w:ascii="仿宋_GB2312" w:hAnsi="仿宋_GB2312" w:cs="仿宋_GB2312"/>
          <w:szCs w:val="32"/>
          <w:lang w:eastAsia="zh-CN"/>
        </w:rPr>
        <w:t>社会保障和就业（类）支出</w:t>
      </w:r>
      <w:r>
        <w:rPr>
          <w:rFonts w:hint="eastAsia" w:ascii="仿宋_GB2312" w:hAnsi="仿宋_GB2312" w:cs="仿宋_GB2312"/>
          <w:szCs w:val="32"/>
          <w:u w:val="single"/>
          <w:lang w:val="en-US" w:eastAsia="zh-CN"/>
        </w:rPr>
        <w:t>502.4</w:t>
      </w:r>
      <w:r>
        <w:rPr>
          <w:rFonts w:hint="eastAsia" w:ascii="仿宋_GB2312" w:hAnsi="仿宋_GB2312" w:cs="仿宋_GB2312"/>
          <w:szCs w:val="32"/>
          <w:lang w:eastAsia="zh-CN"/>
        </w:rPr>
        <w:t>万元，占</w:t>
      </w:r>
      <w:r>
        <w:rPr>
          <w:rFonts w:hint="eastAsia" w:ascii="仿宋_GB2312" w:hAnsi="仿宋_GB2312" w:cs="仿宋_GB2312"/>
          <w:szCs w:val="32"/>
          <w:u w:val="single"/>
          <w:lang w:val="en-US" w:eastAsia="zh-CN"/>
        </w:rPr>
        <w:t>7.11</w:t>
      </w:r>
      <w:r>
        <w:rPr>
          <w:rFonts w:hint="eastAsia" w:ascii="仿宋_GB2312" w:hAnsi="仿宋_GB2312" w:cs="仿宋_GB2312"/>
          <w:szCs w:val="32"/>
          <w:lang w:eastAsia="zh-CN"/>
        </w:rPr>
        <w:t>%，主要用于</w:t>
      </w:r>
      <w:r>
        <w:rPr>
          <w:rFonts w:hint="eastAsia" w:ascii="仿宋_GB2312" w:hAnsi="仿宋_GB2312" w:cs="仿宋_GB2312"/>
          <w:szCs w:val="32"/>
          <w:u w:val="single"/>
          <w:lang w:eastAsia="zh-CN"/>
        </w:rPr>
        <w:t>社保及</w:t>
      </w:r>
      <w:r>
        <w:rPr>
          <w:rFonts w:hint="eastAsia" w:ascii="仿宋_GB2312" w:hAnsi="仿宋_GB2312" w:cs="仿宋_GB2312"/>
          <w:szCs w:val="32"/>
          <w:u w:val="single"/>
          <w:lang w:val="en-US" w:eastAsia="zh-CN"/>
        </w:rPr>
        <w:t>职业年金</w:t>
      </w:r>
      <w:r>
        <w:rPr>
          <w:rFonts w:hint="eastAsia" w:ascii="仿宋_GB2312" w:hAnsi="仿宋_GB2312" w:cs="仿宋_GB2312"/>
          <w:szCs w:val="32"/>
          <w:u w:val="single"/>
          <w:lang w:eastAsia="zh-CN"/>
        </w:rPr>
        <w:t>支出。</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Cs w:val="32"/>
          <w:u w:val="single"/>
        </w:rPr>
      </w:pPr>
      <w:r>
        <w:rPr>
          <w:rFonts w:hint="eastAsia" w:ascii="仿宋_GB2312" w:hAnsi="仿宋_GB2312" w:eastAsia="仿宋_GB2312" w:cs="仿宋_GB2312"/>
          <w:kern w:val="0"/>
          <w:szCs w:val="32"/>
        </w:rPr>
        <w:t>卫生健康</w:t>
      </w:r>
      <w:r>
        <w:rPr>
          <w:rFonts w:hint="eastAsia" w:ascii="仿宋_GB2312" w:hAnsi="仿宋_GB2312" w:eastAsia="仿宋_GB2312" w:cs="仿宋_GB2312"/>
          <w:szCs w:val="32"/>
        </w:rPr>
        <w:t>（类）支出</w:t>
      </w:r>
      <w:r>
        <w:rPr>
          <w:rFonts w:hint="eastAsia" w:ascii="仿宋_GB2312" w:hAnsi="仿宋_GB2312" w:cs="仿宋_GB2312"/>
          <w:szCs w:val="32"/>
          <w:u w:val="single"/>
          <w:lang w:val="en-US" w:eastAsia="zh-CN"/>
        </w:rPr>
        <w:t>195.8</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2.77</w:t>
      </w:r>
      <w:r>
        <w:rPr>
          <w:rFonts w:hint="eastAsia" w:ascii="仿宋_GB2312" w:hAnsi="仿宋_GB2312" w:eastAsia="仿宋_GB2312" w:cs="仿宋_GB2312"/>
          <w:szCs w:val="32"/>
        </w:rPr>
        <w:t>%，主要用于</w:t>
      </w:r>
      <w:r>
        <w:rPr>
          <w:rFonts w:hint="eastAsia" w:ascii="仿宋_GB2312" w:hAnsi="仿宋_GB2312" w:cs="仿宋_GB2312"/>
          <w:szCs w:val="32"/>
          <w:u w:val="single"/>
          <w:lang w:val="en-US" w:eastAsia="zh-CN"/>
        </w:rPr>
        <w:t>本单位人员医疗保险及工伤保险的缴纳。</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cs="仿宋_GB2312"/>
          <w:szCs w:val="32"/>
          <w:lang w:eastAsia="zh-CN"/>
        </w:rPr>
      </w:pPr>
      <w:r>
        <w:rPr>
          <w:rFonts w:hint="eastAsia" w:ascii="仿宋_GB2312" w:hAnsi="仿宋_GB2312" w:cs="仿宋_GB2312"/>
          <w:szCs w:val="32"/>
          <w:lang w:eastAsia="zh-CN"/>
        </w:rPr>
        <w:t>农林水支出（类）支出0万元，占0%，主要用于_____________________。</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cs="仿宋_GB2312"/>
          <w:szCs w:val="32"/>
          <w:lang w:eastAsia="zh-CN"/>
        </w:rPr>
      </w:pPr>
      <w:r>
        <w:rPr>
          <w:rFonts w:hint="eastAsia" w:ascii="仿宋_GB2312" w:hAnsi="仿宋_GB2312" w:cs="仿宋_GB2312"/>
          <w:szCs w:val="32"/>
          <w:lang w:eastAsia="zh-CN"/>
        </w:rPr>
        <w:t>住房保障（类）支出</w:t>
      </w:r>
      <w:r>
        <w:rPr>
          <w:rFonts w:hint="eastAsia" w:ascii="仿宋_GB2312" w:hAnsi="仿宋_GB2312" w:cs="仿宋_GB2312"/>
          <w:szCs w:val="32"/>
          <w:u w:val="single"/>
          <w:lang w:val="en-US" w:eastAsia="zh-CN"/>
        </w:rPr>
        <w:t>299.84</w:t>
      </w:r>
      <w:r>
        <w:rPr>
          <w:rFonts w:hint="eastAsia" w:ascii="仿宋_GB2312" w:hAnsi="仿宋_GB2312" w:cs="仿宋_GB2312"/>
          <w:szCs w:val="32"/>
          <w:lang w:eastAsia="zh-CN"/>
        </w:rPr>
        <w:t>万元，占</w:t>
      </w:r>
      <w:r>
        <w:rPr>
          <w:rFonts w:hint="eastAsia" w:ascii="仿宋_GB2312" w:hAnsi="仿宋_GB2312" w:cs="仿宋_GB2312"/>
          <w:szCs w:val="32"/>
          <w:u w:val="single"/>
          <w:lang w:val="en-US" w:eastAsia="zh-CN"/>
        </w:rPr>
        <w:t>4.24</w:t>
      </w:r>
      <w:r>
        <w:rPr>
          <w:rFonts w:hint="eastAsia" w:ascii="仿宋_GB2312" w:hAnsi="仿宋_GB2312" w:cs="仿宋_GB2312"/>
          <w:szCs w:val="32"/>
          <w:lang w:eastAsia="zh-CN"/>
        </w:rPr>
        <w:t>%，主要用于住房公积金的支出。</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u w:val="single"/>
          <w:lang w:val="en-US" w:eastAsia="zh-CN"/>
        </w:rPr>
        <w:t>4828.20</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u w:val="single"/>
          <w:lang w:val="en-US" w:eastAsia="zh-CN"/>
        </w:rPr>
        <w:t>4022.04</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u w:val="single"/>
          <w:lang w:val="en-US" w:eastAsia="zh-CN"/>
        </w:rPr>
        <w:t>806.16</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年“三公”经费预算数为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2024年年初上级转移支付资金未纳入年初预算，由于公安部门是特殊行业，公务用车购置及运行费均由转移支付资金支付</w:t>
      </w:r>
      <w:r>
        <w:rPr>
          <w:rFonts w:hint="eastAsia" w:ascii="仿宋_GB2312" w:hAnsi="仿宋_GB2312" w:eastAsia="仿宋_GB2312" w:cs="仿宋_GB2312"/>
          <w:szCs w:val="32"/>
        </w:rPr>
        <w:t>。</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cs="仿宋_GB2312"/>
          <w:szCs w:val="32"/>
          <w:lang w:eastAsia="zh-CN"/>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cs="仿宋_GB2312"/>
          <w:szCs w:val="32"/>
          <w:lang w:eastAsia="zh-CN"/>
        </w:rPr>
        <w:t>年本部门无政府性基金预算拨款</w:t>
      </w: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cs="仿宋_GB2312"/>
          <w:szCs w:val="32"/>
          <w:highlight w:val="none"/>
          <w:lang w:eastAsia="zh-CN"/>
        </w:rPr>
      </w:pPr>
      <w:r>
        <w:rPr>
          <w:rFonts w:hint="eastAsia" w:ascii="仿宋_GB2312" w:hAnsi="仿宋_GB2312" w:cs="仿宋_GB2312"/>
          <w:szCs w:val="32"/>
          <w:highlight w:val="none"/>
          <w:lang w:eastAsia="zh-CN"/>
        </w:rPr>
        <w:t>202</w:t>
      </w:r>
      <w:r>
        <w:rPr>
          <w:rFonts w:hint="eastAsia" w:ascii="仿宋_GB2312" w:hAnsi="仿宋_GB2312" w:cs="仿宋_GB2312"/>
          <w:szCs w:val="32"/>
          <w:highlight w:val="none"/>
          <w:lang w:val="en-US" w:eastAsia="zh-CN"/>
        </w:rPr>
        <w:t>4</w:t>
      </w:r>
      <w:r>
        <w:rPr>
          <w:rFonts w:hint="eastAsia" w:ascii="仿宋_GB2312" w:hAnsi="仿宋_GB2312" w:cs="仿宋_GB2312"/>
          <w:szCs w:val="32"/>
          <w:highlight w:val="none"/>
          <w:lang w:eastAsia="zh-CN"/>
        </w:rPr>
        <w:t>年部门无国有资本经营预算拨款。</w:t>
      </w:r>
    </w:p>
    <w:p>
      <w:pPr>
        <w:ind w:firstLine="640" w:firstLineChars="20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年部门本级行政单位机关运行经费财政拨款预算</w:t>
      </w:r>
      <w:r>
        <w:rPr>
          <w:rFonts w:hint="eastAsia" w:ascii="仿宋_GB2312" w:hAnsi="仿宋_GB2312" w:cs="仿宋_GB2312"/>
          <w:szCs w:val="32"/>
          <w:u w:val="single"/>
          <w:lang w:val="en-US" w:eastAsia="zh-CN"/>
        </w:rPr>
        <w:t>806.16</w:t>
      </w:r>
      <w:r>
        <w:rPr>
          <w:rFonts w:hint="eastAsia" w:ascii="仿宋_GB2312" w:hAnsi="仿宋_GB2312" w:eastAsia="仿宋_GB2312" w:cs="仿宋_GB2312"/>
          <w:szCs w:val="32"/>
        </w:rPr>
        <w:t>万元，比</w:t>
      </w:r>
      <w:r>
        <w:rPr>
          <w:rFonts w:hint="eastAsia" w:ascii="仿宋_GB2312" w:hAnsi="仿宋_GB2312" w:cs="仿宋_GB2312"/>
          <w:szCs w:val="32"/>
          <w:lang w:val="en-US" w:eastAsia="zh-CN"/>
        </w:rPr>
        <w:t>2023</w:t>
      </w:r>
      <w:r>
        <w:rPr>
          <w:rFonts w:hint="eastAsia" w:ascii="仿宋_GB2312" w:hAnsi="仿宋_GB2312" w:eastAsia="仿宋_GB2312" w:cs="仿宋_GB2312"/>
          <w:szCs w:val="32"/>
        </w:rPr>
        <w:t>年预算增加</w:t>
      </w:r>
      <w:r>
        <w:rPr>
          <w:rFonts w:hint="eastAsia" w:ascii="仿宋_GB2312" w:hAnsi="仿宋_GB2312" w:eastAsia="仿宋_GB2312" w:cs="仿宋_GB2312"/>
          <w:szCs w:val="32"/>
          <w:u w:val="single"/>
        </w:rPr>
        <w:t>_</w:t>
      </w:r>
      <w:r>
        <w:rPr>
          <w:rFonts w:hint="eastAsia" w:ascii="仿宋_GB2312" w:hAnsi="仿宋_GB2312" w:cs="仿宋_GB2312"/>
          <w:szCs w:val="32"/>
          <w:u w:val="single"/>
          <w:lang w:val="en-US" w:eastAsia="zh-CN"/>
        </w:rPr>
        <w:t>184.56</w:t>
      </w:r>
      <w:r>
        <w:rPr>
          <w:rFonts w:hint="eastAsia" w:ascii="仿宋_GB2312" w:hAnsi="仿宋_GB2312" w:eastAsia="仿宋_GB2312" w:cs="仿宋_GB2312"/>
          <w:szCs w:val="32"/>
        </w:rPr>
        <w:t>万元，增长</w:t>
      </w:r>
      <w:r>
        <w:rPr>
          <w:rFonts w:hint="eastAsia" w:ascii="仿宋_GB2312" w:hAnsi="仿宋_GB2312" w:cs="仿宋_GB2312"/>
          <w:szCs w:val="32"/>
          <w:u w:val="single"/>
          <w:lang w:val="en-US" w:eastAsia="zh-CN"/>
        </w:rPr>
        <w:t>29.69</w:t>
      </w:r>
      <w:r>
        <w:rPr>
          <w:rFonts w:hint="eastAsia" w:ascii="仿宋_GB2312" w:hAnsi="仿宋_GB2312" w:eastAsia="仿宋_GB2312" w:cs="仿宋_GB2312"/>
          <w:szCs w:val="32"/>
        </w:rPr>
        <w:t>%，主要原因是</w:t>
      </w:r>
      <w:r>
        <w:rPr>
          <w:rFonts w:hint="eastAsia" w:ascii="仿宋_GB2312" w:hAnsi="仿宋_GB2312" w:cs="仿宋_GB2312"/>
          <w:szCs w:val="32"/>
          <w:u w:val="single"/>
          <w:lang w:val="en-US" w:eastAsia="zh-CN"/>
        </w:rPr>
        <w:t>公用经费按比例增加</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（二）政府采购情况</w:t>
      </w:r>
    </w:p>
    <w:p>
      <w:pPr>
        <w:spacing w:line="540" w:lineRule="exact"/>
        <w:ind w:firstLine="640" w:firstLineChars="20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年政府采购预算总额</w:t>
      </w:r>
      <w:r>
        <w:rPr>
          <w:rFonts w:hint="eastAsia" w:ascii="仿宋_GB2312" w:hAnsi="仿宋_GB2312" w:eastAsia="仿宋_GB2312" w:cs="仿宋_GB2312"/>
          <w:szCs w:val="32"/>
          <w:highlight w:val="none"/>
          <w:u w:val="single"/>
        </w:rPr>
        <w:t>0</w:t>
      </w:r>
      <w:r>
        <w:rPr>
          <w:rFonts w:hint="eastAsia" w:ascii="仿宋_GB2312" w:hAnsi="仿宋_GB2312" w:eastAsia="仿宋_GB2312" w:cs="仿宋_GB2312"/>
          <w:szCs w:val="32"/>
          <w:highlight w:val="none"/>
        </w:rPr>
        <w:t>万元，其中：政府采购货物预算</w:t>
      </w:r>
      <w:r>
        <w:rPr>
          <w:rFonts w:hint="eastAsia" w:ascii="仿宋_GB2312" w:hAnsi="仿宋_GB2312" w:eastAsia="仿宋_GB2312" w:cs="仿宋_GB2312"/>
          <w:szCs w:val="32"/>
          <w:highlight w:val="none"/>
          <w:u w:val="single"/>
        </w:rPr>
        <w:t>0</w:t>
      </w:r>
      <w:r>
        <w:rPr>
          <w:rFonts w:hint="eastAsia" w:ascii="仿宋_GB2312" w:hAnsi="仿宋_GB2312" w:eastAsia="仿宋_GB2312" w:cs="仿宋_GB2312"/>
          <w:szCs w:val="32"/>
          <w:highlight w:val="none"/>
        </w:rPr>
        <w:t>万元、政府采购工程预算</w:t>
      </w:r>
      <w:r>
        <w:rPr>
          <w:rFonts w:hint="eastAsia" w:ascii="仿宋_GB2312" w:hAnsi="仿宋_GB2312" w:eastAsia="仿宋_GB2312" w:cs="仿宋_GB2312"/>
          <w:szCs w:val="32"/>
          <w:highlight w:val="none"/>
          <w:u w:val="single"/>
        </w:rPr>
        <w:t>0</w:t>
      </w:r>
      <w:r>
        <w:rPr>
          <w:rFonts w:hint="eastAsia" w:ascii="仿宋_GB2312" w:hAnsi="仿宋_GB2312" w:eastAsia="仿宋_GB2312" w:cs="仿宋_GB2312"/>
          <w:szCs w:val="32"/>
          <w:highlight w:val="none"/>
        </w:rPr>
        <w:t>万元、政府采购服务预算</w:t>
      </w:r>
      <w:r>
        <w:rPr>
          <w:rFonts w:hint="eastAsia" w:ascii="仿宋_GB2312" w:hAnsi="仿宋_GB2312" w:eastAsia="仿宋_GB2312" w:cs="仿宋_GB2312"/>
          <w:szCs w:val="32"/>
          <w:highlight w:val="none"/>
          <w:u w:val="single"/>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highlight w:val="none"/>
        </w:rPr>
      </w:pPr>
      <w:r>
        <w:rPr>
          <w:rFonts w:eastAsia="楷体"/>
          <w:szCs w:val="32"/>
          <w:highlight w:val="none"/>
        </w:rPr>
        <w:t>（三）国有资产占有使用情况</w:t>
      </w:r>
    </w:p>
    <w:p>
      <w:pPr>
        <w:shd w:val="clear" w:fill="FFFFFF" w:themeFill="background1"/>
        <w:spacing w:line="540" w:lineRule="exact"/>
        <w:ind w:firstLine="640" w:firstLineChars="20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截至</w:t>
      </w:r>
      <w:r>
        <w:rPr>
          <w:rFonts w:hint="eastAsia" w:ascii="仿宋_GB2312" w:hAnsi="仿宋_GB2312" w:cs="仿宋_GB2312"/>
          <w:szCs w:val="32"/>
          <w:highlight w:val="none"/>
          <w:lang w:eastAsia="zh-CN"/>
        </w:rPr>
        <w:t>202</w:t>
      </w:r>
      <w:r>
        <w:rPr>
          <w:rFonts w:hint="eastAsia" w:ascii="仿宋_GB2312" w:hAnsi="仿宋_GB2312" w:cs="仿宋_GB2312"/>
          <w:szCs w:val="32"/>
          <w:highlight w:val="none"/>
          <w:lang w:val="en-US" w:eastAsia="zh-CN"/>
        </w:rPr>
        <w:t>3</w:t>
      </w:r>
      <w:r>
        <w:rPr>
          <w:rFonts w:hint="eastAsia" w:ascii="仿宋_GB2312" w:hAnsi="仿宋_GB2312" w:eastAsia="仿宋_GB2312" w:cs="仿宋_GB2312"/>
          <w:szCs w:val="32"/>
          <w:highlight w:val="none"/>
        </w:rPr>
        <w:t>年8月底，部门本级和所属各预算单位共有车辆</w:t>
      </w:r>
      <w:r>
        <w:rPr>
          <w:rFonts w:hint="eastAsia" w:ascii="仿宋_GB2312" w:hAnsi="仿宋_GB2312" w:cs="仿宋_GB2312"/>
          <w:szCs w:val="32"/>
          <w:highlight w:val="none"/>
          <w:u w:val="single"/>
          <w:lang w:val="en-US" w:eastAsia="zh-CN"/>
        </w:rPr>
        <w:t>78</w:t>
      </w:r>
      <w:r>
        <w:rPr>
          <w:rFonts w:hint="eastAsia" w:ascii="仿宋_GB2312" w:hAnsi="仿宋_GB2312" w:eastAsia="仿宋_GB2312" w:cs="仿宋_GB2312"/>
          <w:szCs w:val="32"/>
          <w:highlight w:val="none"/>
        </w:rPr>
        <w:t>辆，土地_</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平方米，房屋</w:t>
      </w:r>
      <w:r>
        <w:rPr>
          <w:rFonts w:hint="eastAsia" w:ascii="仿宋_GB2312" w:hAnsi="仿宋_GB2312" w:cs="仿宋_GB2312"/>
          <w:szCs w:val="32"/>
          <w:highlight w:val="none"/>
          <w:u w:val="single"/>
          <w:lang w:val="en-US" w:eastAsia="zh-CN"/>
        </w:rPr>
        <w:t>11692.9</w:t>
      </w:r>
      <w:r>
        <w:rPr>
          <w:rFonts w:hint="eastAsia" w:ascii="仿宋_GB2312" w:hAnsi="仿宋_GB2312" w:eastAsia="仿宋_GB2312" w:cs="仿宋_GB2312"/>
          <w:szCs w:val="32"/>
          <w:highlight w:val="none"/>
        </w:rPr>
        <w:t>平方米，单价50万元及以上的通用设备</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台/套，单价100万元及以上的专用设备实有数</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台/套。</w:t>
      </w:r>
    </w:p>
    <w:p>
      <w:pPr>
        <w:shd w:val="clear" w:fill="FFFFFF" w:themeFill="background1"/>
        <w:spacing w:line="540" w:lineRule="exact"/>
        <w:ind w:firstLine="640" w:firstLineChars="20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w:t>
      </w:r>
      <w:r>
        <w:rPr>
          <w:rFonts w:hint="eastAsia" w:ascii="仿宋_GB2312" w:hAnsi="仿宋_GB2312" w:cs="仿宋_GB2312"/>
          <w:szCs w:val="32"/>
          <w:highlight w:val="none"/>
          <w:lang w:val="en-US" w:eastAsia="zh-CN"/>
        </w:rPr>
        <w:t>4</w:t>
      </w:r>
      <w:r>
        <w:rPr>
          <w:rFonts w:hint="eastAsia" w:ascii="仿宋_GB2312" w:hAnsi="仿宋_GB2312" w:eastAsia="仿宋_GB2312" w:cs="仿宋_GB2312"/>
          <w:szCs w:val="32"/>
          <w:highlight w:val="none"/>
        </w:rPr>
        <w:t>年部门预算安排购置车辆</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辆，安排购置土地_</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平方米，安排购置房屋</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_平方米，计划新增单价50万元及以上的通用设备</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台/套，计划新增单价100万元及以上的专用设备实有数</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w:t>
      </w:r>
      <w:r>
        <w:rPr>
          <w:rFonts w:hint="eastAsia" w:ascii="仿宋_GB2312" w:hAnsi="仿宋_GB2312" w:cs="仿宋_GB2312"/>
          <w:highlight w:val="none"/>
          <w:lang w:val="en-US" w:eastAsia="zh-CN"/>
        </w:rPr>
        <w:t>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u w:val="single"/>
          <w:lang w:val="en-US" w:eastAsia="zh-CN"/>
        </w:rPr>
        <w:t>2239.97</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u w:val="single"/>
          <w:lang w:val="en-US" w:eastAsia="zh-CN"/>
        </w:rPr>
        <w:t>7</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u w:val="single"/>
          <w:lang w:val="en-US" w:eastAsia="zh-CN"/>
        </w:rPr>
        <w:t>7</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u w:val="single"/>
          <w:lang w:val="en-US" w:eastAsia="zh-CN"/>
        </w:rPr>
        <w:t>2239.97</w:t>
      </w:r>
      <w:r>
        <w:rPr>
          <w:rFonts w:hint="eastAsia" w:ascii="仿宋_GB2312" w:hAnsi="仿宋_GB2312" w:eastAsia="仿宋_GB2312" w:cs="仿宋_GB2312"/>
          <w:szCs w:val="32"/>
          <w:highlight w:val="none"/>
        </w:rPr>
        <w:t>万元，财政拨款结转____万元。</w:t>
      </w:r>
    </w:p>
    <w:p>
      <w:pPr>
        <w:spacing w:line="540" w:lineRule="exact"/>
        <w:ind w:firstLine="640" w:firstLineChars="200"/>
        <w:rPr>
          <w:rFonts w:eastAsia="楷体"/>
          <w:szCs w:val="32"/>
          <w:highlight w:val="none"/>
        </w:rPr>
      </w:pPr>
      <w:r>
        <w:rPr>
          <w:rFonts w:hint="eastAsia" w:eastAsia="楷体"/>
          <w:szCs w:val="32"/>
          <w:highlight w:val="none"/>
        </w:rPr>
        <w:t>（五）项目支出绩效目标情况说明</w:t>
      </w:r>
    </w:p>
    <w:p>
      <w:pPr>
        <w:ind w:firstLine="645"/>
        <w:rPr>
          <w:rFonts w:hint="eastAsia" w:ascii="仿宋_GB2312" w:hAnsi="仿宋_GB2312" w:eastAsia="仿宋_GB2312" w:cs="仿宋_GB2312"/>
          <w:szCs w:val="32"/>
          <w:highlight w:val="none"/>
        </w:rPr>
      </w:pPr>
      <w:r>
        <w:rPr>
          <w:rFonts w:hint="eastAsia" w:ascii="仿宋_GB2312" w:hAnsi="仿宋_GB2312" w:eastAsia="仿宋_GB2312" w:cs="仿宋_GB2312"/>
          <w:highlight w:val="none"/>
        </w:rPr>
        <w:t>按照全面实施预算绩效管理的要求，结合本部门职能和重点工作，</w:t>
      </w: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年确定</w:t>
      </w:r>
      <w:r>
        <w:rPr>
          <w:rFonts w:hint="eastAsia" w:ascii="仿宋_GB2312" w:hAnsi="仿宋_GB2312" w:cs="仿宋_GB2312"/>
          <w:szCs w:val="32"/>
          <w:highlight w:val="none"/>
          <w:u w:val="single"/>
          <w:lang w:val="en-US" w:eastAsia="zh-CN"/>
        </w:rPr>
        <w:t>9</w:t>
      </w:r>
      <w:r>
        <w:rPr>
          <w:rFonts w:hint="eastAsia" w:ascii="仿宋_GB2312" w:hAnsi="仿宋_GB2312" w:eastAsia="仿宋_GB2312" w:cs="仿宋_GB2312"/>
          <w:highlight w:val="none"/>
        </w:rPr>
        <w:t>个一级项目支出的绩效目标和指标向社会公开，涉及金额</w:t>
      </w:r>
      <w:r>
        <w:rPr>
          <w:rFonts w:hint="eastAsia" w:ascii="仿宋_GB2312" w:hAnsi="仿宋_GB2312" w:cs="仿宋_GB2312"/>
          <w:szCs w:val="32"/>
          <w:highlight w:val="none"/>
          <w:u w:val="single"/>
          <w:lang w:val="en-US" w:eastAsia="zh-CN"/>
        </w:rPr>
        <w:t>2239.97</w:t>
      </w:r>
      <w:r>
        <w:rPr>
          <w:rFonts w:hint="eastAsia" w:ascii="仿宋_GB2312" w:hAnsi="仿宋_GB2312" w:eastAsia="仿宋_GB2312" w:cs="仿宋_GB2312"/>
          <w:highlight w:val="none"/>
        </w:rPr>
        <w:t>万元。</w:t>
      </w:r>
    </w:p>
    <w:p>
      <w:pPr>
        <w:ind w:firstLine="645"/>
        <w:rPr>
          <w:rFonts w:eastAsia="楷体"/>
          <w:szCs w:val="32"/>
          <w:highlight w:val="none"/>
        </w:rPr>
      </w:pPr>
    </w:p>
    <w:p>
      <w:pPr>
        <w:spacing w:line="540" w:lineRule="exact"/>
        <w:ind w:firstLine="640" w:firstLineChars="200"/>
        <w:rPr>
          <w:rFonts w:eastAsia="楷体"/>
          <w:szCs w:val="32"/>
          <w:highlight w:val="none"/>
        </w:rPr>
      </w:pPr>
      <w:r>
        <w:rPr>
          <w:rFonts w:eastAsia="楷体"/>
          <w:szCs w:val="32"/>
          <w:highlight w:val="none"/>
        </w:rPr>
        <w:t>注：没有需要按规定说明情况的，直接表述为“本部门无______”，不得直接删除。</w:t>
      </w:r>
    </w:p>
    <w:p>
      <w:pPr>
        <w:spacing w:line="540" w:lineRule="exact"/>
        <w:ind w:firstLine="640" w:firstLineChars="200"/>
        <w:rPr>
          <w:szCs w:val="32"/>
          <w:highlight w:val="none"/>
        </w:rPr>
      </w:pPr>
      <w:r>
        <w:rPr>
          <w:rFonts w:eastAsia="楷体"/>
          <w:szCs w:val="32"/>
          <w:highlight w:val="none"/>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9EB31D2D-42EA-441D-80FA-99D75748F411}"/>
  </w:font>
  <w:font w:name="黑体">
    <w:panose1 w:val="02010609060101010101"/>
    <w:charset w:val="86"/>
    <w:family w:val="auto"/>
    <w:pitch w:val="default"/>
    <w:sig w:usb0="800002BF" w:usb1="38CF7CFA" w:usb2="00000016" w:usb3="00000000" w:csb0="00040001" w:csb1="00000000"/>
    <w:embedRegular r:id="rId2" w:fontKey="{7E8D37E2-D95C-491F-B738-7C9190F4BA16}"/>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E53994F4-7945-4C47-B3EF-FA568F9A59BC}"/>
  </w:font>
  <w:font w:name="仿宋_GB2312">
    <w:altName w:val="仿宋"/>
    <w:panose1 w:val="02010609030101010101"/>
    <w:charset w:val="86"/>
    <w:family w:val="modern"/>
    <w:pitch w:val="default"/>
    <w:sig w:usb0="00000000" w:usb1="00000000" w:usb2="00000000" w:usb3="00000000" w:csb0="00040000" w:csb1="00000000"/>
    <w:embedRegular r:id="rId4" w:fontKey="{307FEF0F-A108-4F71-A34E-0C77260B18F9}"/>
  </w:font>
  <w:font w:name="仿宋">
    <w:panose1 w:val="02010609060101010101"/>
    <w:charset w:val="86"/>
    <w:family w:val="auto"/>
    <w:pitch w:val="default"/>
    <w:sig w:usb0="800002BF" w:usb1="38CF7CFA" w:usb2="00000016" w:usb3="00000000" w:csb0="00040001" w:csb1="00000000"/>
    <w:embedRegular r:id="rId5" w:fontKey="{9FC6FB76-8532-493B-BCBA-21C66CCA3A60}"/>
  </w:font>
  <w:font w:name="华文细黑">
    <w:altName w:val="微软雅黑"/>
    <w:panose1 w:val="02010600040101010101"/>
    <w:charset w:val="86"/>
    <w:family w:val="auto"/>
    <w:pitch w:val="default"/>
    <w:sig w:usb0="00000000" w:usb1="00000000" w:usb2="00000000" w:usb3="00000000" w:csb0="0004009F" w:csb1="DFD70000"/>
    <w:embedRegular r:id="rId6" w:fontKey="{C048D453-F344-4B25-B391-217D57FA70BE}"/>
  </w:font>
  <w:font w:name="微软雅黑">
    <w:panose1 w:val="020B0503020204020204"/>
    <w:charset w:val="86"/>
    <w:family w:val="auto"/>
    <w:pitch w:val="default"/>
    <w:sig w:usb0="80000287" w:usb1="280F3C52" w:usb2="00000016" w:usb3="00000000" w:csb0="0004001F" w:csb1="00000000"/>
  </w:font>
  <w:font w:name="方正小标宋简体">
    <w:panose1 w:val="02000000000000000000"/>
    <w:charset w:val="86"/>
    <w:family w:val="auto"/>
    <w:pitch w:val="default"/>
    <w:sig w:usb0="00000001" w:usb1="08000000" w:usb2="00000000" w:usb3="00000000" w:csb0="00040000" w:csb1="00000000"/>
    <w:embedRegular r:id="rId7" w:fontKey="{6B041E77-743B-4A74-A501-E8143EE9FFA9}"/>
  </w:font>
  <w:font w:name="楷体_GB2312">
    <w:altName w:val="楷体"/>
    <w:panose1 w:val="02010609030101010101"/>
    <w:charset w:val="86"/>
    <w:family w:val="modern"/>
    <w:pitch w:val="default"/>
    <w:sig w:usb0="00000000" w:usb1="00000000" w:usb2="00000000" w:usb3="00000000" w:csb0="00040000" w:csb1="00000000"/>
    <w:embedRegular r:id="rId8" w:fontKey="{3BBE4548-BBDD-444D-BF04-E0CE9224DFD9}"/>
  </w:font>
  <w:font w:name="楷体">
    <w:panose1 w:val="02010609060101010101"/>
    <w:charset w:val="86"/>
    <w:family w:val="auto"/>
    <w:pitch w:val="default"/>
    <w:sig w:usb0="800002BF" w:usb1="38CF7CFA" w:usb2="00000016" w:usb3="00000000" w:csb0="00040001" w:csb1="00000000"/>
    <w:embedRegular r:id="rId9" w:fontKey="{E69A562F-7646-4783-9149-44A68353ABC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mNmQwNGI3ZjgzMTY2YTE4OTlhMDRhMzliNDdjMz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A001B0"/>
    <w:rsid w:val="0DB6446C"/>
    <w:rsid w:val="0DEB170B"/>
    <w:rsid w:val="0E4C7841"/>
    <w:rsid w:val="0F3E0406"/>
    <w:rsid w:val="0F79260C"/>
    <w:rsid w:val="0F8B592F"/>
    <w:rsid w:val="0FD62F63"/>
    <w:rsid w:val="107728C7"/>
    <w:rsid w:val="10AE7F82"/>
    <w:rsid w:val="10C93B35"/>
    <w:rsid w:val="11177619"/>
    <w:rsid w:val="112605C8"/>
    <w:rsid w:val="12E711B7"/>
    <w:rsid w:val="13122ABD"/>
    <w:rsid w:val="136D62BD"/>
    <w:rsid w:val="138E2FF9"/>
    <w:rsid w:val="13F21722"/>
    <w:rsid w:val="1441443C"/>
    <w:rsid w:val="14C12787"/>
    <w:rsid w:val="15593E10"/>
    <w:rsid w:val="159F7E2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B55C07"/>
    <w:rsid w:val="1F351A10"/>
    <w:rsid w:val="1FED47E9"/>
    <w:rsid w:val="206816AC"/>
    <w:rsid w:val="22A4003E"/>
    <w:rsid w:val="22E5297B"/>
    <w:rsid w:val="23984063"/>
    <w:rsid w:val="23CE11F0"/>
    <w:rsid w:val="23EC61F6"/>
    <w:rsid w:val="244C543C"/>
    <w:rsid w:val="24624768"/>
    <w:rsid w:val="251D0C04"/>
    <w:rsid w:val="2539376C"/>
    <w:rsid w:val="254C6FAD"/>
    <w:rsid w:val="259B5BC5"/>
    <w:rsid w:val="25C7462E"/>
    <w:rsid w:val="25F62C4E"/>
    <w:rsid w:val="265718D7"/>
    <w:rsid w:val="26643D6C"/>
    <w:rsid w:val="26FE109D"/>
    <w:rsid w:val="27073E1E"/>
    <w:rsid w:val="27B04AB3"/>
    <w:rsid w:val="28A63332"/>
    <w:rsid w:val="29C45F24"/>
    <w:rsid w:val="2C611EEF"/>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3127BDE"/>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614125C2"/>
    <w:rsid w:val="624C5C52"/>
    <w:rsid w:val="63952BB5"/>
    <w:rsid w:val="63DF08E4"/>
    <w:rsid w:val="64127E15"/>
    <w:rsid w:val="64C04AFD"/>
    <w:rsid w:val="661A7B69"/>
    <w:rsid w:val="664909C1"/>
    <w:rsid w:val="66C63EB5"/>
    <w:rsid w:val="677772D0"/>
    <w:rsid w:val="679461D3"/>
    <w:rsid w:val="6858287E"/>
    <w:rsid w:val="69157114"/>
    <w:rsid w:val="691A443E"/>
    <w:rsid w:val="6A80735F"/>
    <w:rsid w:val="6ACC5E47"/>
    <w:rsid w:val="6AD43ED1"/>
    <w:rsid w:val="6B11024D"/>
    <w:rsid w:val="6B537BCD"/>
    <w:rsid w:val="6B7D5B36"/>
    <w:rsid w:val="6CF120A8"/>
    <w:rsid w:val="714213DD"/>
    <w:rsid w:val="714B7ACC"/>
    <w:rsid w:val="717F272E"/>
    <w:rsid w:val="71C93096"/>
    <w:rsid w:val="728027C6"/>
    <w:rsid w:val="72D54D7C"/>
    <w:rsid w:val="737664E0"/>
    <w:rsid w:val="73801E66"/>
    <w:rsid w:val="73FE7ACC"/>
    <w:rsid w:val="74053F35"/>
    <w:rsid w:val="74556746"/>
    <w:rsid w:val="74AB7A24"/>
    <w:rsid w:val="76BB79B1"/>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39</Pages>
  <Words>9580</Words>
  <Characters>11670</Characters>
  <Lines>71</Lines>
  <Paragraphs>20</Paragraphs>
  <TotalTime>5</TotalTime>
  <ScaleCrop>false</ScaleCrop>
  <LinksUpToDate>false</LinksUpToDate>
  <CharactersWithSpaces>12277</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2024-01-31T05:39:04Z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commondata">
    <vt:lpwstr>eyJoZGlkIjoiZWM5MjE1YWFmYzZkMzU5ZGRkN2NlNjYxOGIzMjAyOWQifQ==</vt:lpwstr>
  </property>
  <property fmtid="{D5CDD505-2E9C-101B-9397-08002B2CF9AE}" pid="4" name="ICV">
    <vt:lpwstr>C1BF9BAD88D840298621F7E8335B6CF1_13</vt:lpwstr>
  </property>
</Properties>
</file>