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700" w:lineRule="exact"/>
        <w:rPr>
          <w:rFonts w:eastAsia="黑体"/>
        </w:rPr>
      </w:pPr>
      <w:r>
        <w:rPr>
          <w:rFonts w:eastAsia="黑体"/>
        </w:rPr>
        <w:t>附件1：</w:t>
      </w:r>
    </w:p>
    <w:p>
      <w:pPr>
        <w:spacing w:line="700" w:lineRule="exact"/>
        <w:rPr>
          <w:rFonts w:eastAsia="黑体"/>
        </w:rPr>
      </w:pPr>
    </w:p>
    <w:p>
      <w:pPr>
        <w:spacing w:line="700" w:lineRule="exact"/>
        <w:rPr>
          <w:rFonts w:eastAsia="黑体"/>
        </w:rPr>
      </w:pPr>
    </w:p>
    <w:p>
      <w:pPr>
        <w:spacing w:line="700" w:lineRule="exact"/>
        <w:rPr>
          <w:rFonts w:eastAsia="黑体"/>
        </w:rPr>
      </w:pPr>
    </w:p>
    <w:p>
      <w:pPr>
        <w:spacing w:line="700" w:lineRule="exact"/>
        <w:rPr>
          <w:rFonts w:eastAsia="黑体"/>
        </w:rPr>
      </w:pPr>
    </w:p>
    <w:p>
      <w:pPr>
        <w:jc w:val="center"/>
        <w:rPr>
          <w:rFonts w:hint="eastAsia" w:eastAsia="方正小标宋简体"/>
          <w:sz w:val="44"/>
          <w:szCs w:val="44"/>
          <w:u w:val="single"/>
          <w:lang w:eastAsia="zh-CN"/>
        </w:rPr>
      </w:pPr>
      <w:r>
        <w:rPr>
          <w:rFonts w:hint="eastAsia" w:eastAsia="方正小标宋简体"/>
          <w:sz w:val="44"/>
          <w:szCs w:val="44"/>
          <w:u w:val="single"/>
          <w:lang w:eastAsia="zh-CN"/>
        </w:rPr>
        <w:t>通榆县公安局交通巡逻警察大队</w:t>
      </w:r>
    </w:p>
    <w:p>
      <w:pPr>
        <w:jc w:val="center"/>
        <w:rPr>
          <w:rFonts w:eastAsia="方正小标宋简体"/>
          <w:sz w:val="44"/>
          <w:szCs w:val="44"/>
        </w:rPr>
      </w:pPr>
      <w:r>
        <w:rPr>
          <w:rFonts w:hint="eastAsia" w:eastAsia="方正小标宋简体"/>
          <w:sz w:val="44"/>
          <w:szCs w:val="44"/>
          <w:lang w:eastAsia="zh-CN"/>
        </w:rPr>
        <w:t>2024</w:t>
      </w:r>
      <w:r>
        <w:rPr>
          <w:rFonts w:eastAsia="方正小标宋简体"/>
          <w:sz w:val="44"/>
          <w:szCs w:val="44"/>
        </w:rPr>
        <w:t>年部门预算</w:t>
      </w:r>
    </w:p>
    <w:p>
      <w:pPr>
        <w:jc w:val="left"/>
      </w:pPr>
      <w:r>
        <w:tab/>
      </w:r>
      <w:r>
        <w:tab/>
      </w:r>
      <w:r>
        <w:tab/>
      </w:r>
      <w:r>
        <w:tab/>
      </w:r>
      <w:r>
        <w:tab/>
      </w:r>
      <w:r>
        <w:tab/>
      </w:r>
    </w:p>
    <w:p>
      <w:pPr>
        <w:jc w:val="left"/>
      </w:pPr>
    </w:p>
    <w:p>
      <w:pPr>
        <w:jc w:val="left"/>
      </w:pPr>
    </w:p>
    <w:p>
      <w:pPr>
        <w:jc w:val="left"/>
      </w:pPr>
    </w:p>
    <w:p>
      <w:pPr>
        <w:jc w:val="left"/>
      </w:pPr>
    </w:p>
    <w:p>
      <w:pPr>
        <w:jc w:val="center"/>
      </w:pPr>
      <w:r>
        <w:rPr>
          <w:rFonts w:hint="eastAsia" w:ascii="黑体" w:hAnsi="黑体" w:eastAsia="黑体" w:cs="黑体"/>
          <w:lang w:val="en-US" w:eastAsia="zh-CN"/>
        </w:rPr>
        <w:t>2024年1月30日</w:t>
      </w:r>
    </w:p>
    <w:p>
      <w:pPr>
        <w:jc w:val="left"/>
      </w:pPr>
    </w:p>
    <w:p>
      <w:pPr>
        <w:jc w:val="left"/>
      </w:pPr>
    </w:p>
    <w:p>
      <w:pPr>
        <w:jc w:val="left"/>
      </w:pPr>
    </w:p>
    <w:p>
      <w:pPr>
        <w:rPr>
          <w:rFonts w:eastAsia="黑体"/>
        </w:rPr>
      </w:pPr>
    </w:p>
    <w:p>
      <w:pPr>
        <w:ind w:firstLine="640" w:firstLineChars="200"/>
        <w:rPr>
          <w:rFonts w:eastAsia="黑体"/>
        </w:rPr>
      </w:pPr>
    </w:p>
    <w:p>
      <w:pPr>
        <w:ind w:firstLine="640" w:firstLineChars="200"/>
        <w:rPr>
          <w:rFonts w:eastAsia="黑体"/>
        </w:rPr>
      </w:pPr>
      <w:r>
        <w:rPr>
          <w:rFonts w:eastAsia="黑体"/>
        </w:rPr>
        <w:br w:type="page"/>
      </w:r>
    </w:p>
    <w:p>
      <w:pPr>
        <w:ind w:firstLine="640" w:firstLineChars="200"/>
        <w:rPr>
          <w:rFonts w:eastAsia="黑体"/>
        </w:rPr>
      </w:pPr>
    </w:p>
    <w:p>
      <w:pPr>
        <w:jc w:val="center"/>
        <w:rPr>
          <w:rFonts w:eastAsia="方正小标宋简体"/>
          <w:sz w:val="44"/>
          <w:szCs w:val="44"/>
        </w:rPr>
      </w:pPr>
      <w:r>
        <w:rPr>
          <w:rFonts w:eastAsia="方正小标宋简体"/>
          <w:sz w:val="44"/>
          <w:szCs w:val="44"/>
        </w:rPr>
        <w:t>目  录</w:t>
      </w:r>
    </w:p>
    <w:p>
      <w:pPr>
        <w:rPr>
          <w:rFonts w:eastAsia="黑体"/>
        </w:rPr>
      </w:pPr>
      <w:r>
        <w:rPr>
          <w:rFonts w:eastAsia="黑体"/>
        </w:rPr>
        <w:tab/>
      </w:r>
      <w:r>
        <w:rPr>
          <w:rFonts w:eastAsia="黑体"/>
        </w:rPr>
        <w:tab/>
      </w:r>
      <w:r>
        <w:rPr>
          <w:rFonts w:eastAsia="黑体"/>
        </w:rPr>
        <w:tab/>
      </w:r>
      <w:r>
        <w:rPr>
          <w:rFonts w:eastAsia="黑体"/>
        </w:rPr>
        <w:tab/>
      </w:r>
      <w:r>
        <w:rPr>
          <w:rFonts w:eastAsia="黑体"/>
        </w:rPr>
        <w:tab/>
      </w:r>
    </w:p>
    <w:p>
      <w:pPr>
        <w:rPr>
          <w:rFonts w:eastAsia="黑体"/>
        </w:rPr>
      </w:pPr>
      <w:r>
        <w:rPr>
          <w:rFonts w:eastAsia="黑体"/>
        </w:rPr>
        <w:t>第一部分  部门概况</w:t>
      </w:r>
      <w:r>
        <w:rPr>
          <w:rFonts w:eastAsia="黑体"/>
        </w:rPr>
        <w:tab/>
      </w:r>
      <w:r>
        <w:rPr>
          <w:rFonts w:eastAsia="黑体"/>
        </w:rPr>
        <w:tab/>
      </w:r>
      <w:r>
        <w:rPr>
          <w:rFonts w:eastAsia="黑体"/>
        </w:rPr>
        <w:tab/>
      </w:r>
      <w:r>
        <w:rPr>
          <w:rFonts w:eastAsia="黑体"/>
        </w:rPr>
        <w:tab/>
      </w:r>
      <w:r>
        <w:rPr>
          <w:rFonts w:eastAsia="黑体"/>
        </w:rPr>
        <w:tab/>
      </w:r>
    </w:p>
    <w:p>
      <w:pPr>
        <w:ind w:left="320" w:leftChars="100" w:firstLine="320" w:firstLineChars="100"/>
      </w:pPr>
      <w:r>
        <w:t>一、主要职能</w:t>
      </w:r>
    </w:p>
    <w:p>
      <w:pPr>
        <w:ind w:left="320" w:leftChars="100" w:firstLine="320" w:firstLineChars="100"/>
      </w:pPr>
      <w:r>
        <w:t>二、机构设置</w:t>
      </w:r>
    </w:p>
    <w:p>
      <w:pPr>
        <w:rPr>
          <w:rFonts w:eastAsia="黑体"/>
        </w:rPr>
      </w:pPr>
      <w:r>
        <w:rPr>
          <w:rFonts w:eastAsia="黑体"/>
        </w:rPr>
        <w:t>第二部分  预算表格</w:t>
      </w:r>
    </w:p>
    <w:p>
      <w:pPr>
        <w:ind w:left="320" w:leftChars="100" w:firstLine="320" w:firstLineChars="100"/>
      </w:pPr>
      <w:r>
        <w:t>一、收支</w:t>
      </w:r>
      <w:r>
        <w:rPr>
          <w:rFonts w:hint="eastAsia"/>
        </w:rPr>
        <w:t>总</w:t>
      </w:r>
      <w:r>
        <w:t>表</w:t>
      </w:r>
    </w:p>
    <w:p>
      <w:pPr>
        <w:ind w:left="320" w:leftChars="100" w:firstLine="320" w:firstLineChars="100"/>
      </w:pPr>
      <w:r>
        <w:t>二、收入</w:t>
      </w:r>
      <w:r>
        <w:rPr>
          <w:rFonts w:hint="eastAsia"/>
        </w:rPr>
        <w:t>总</w:t>
      </w:r>
      <w:r>
        <w:t>表</w:t>
      </w:r>
    </w:p>
    <w:p>
      <w:pPr>
        <w:ind w:left="320" w:leftChars="100" w:firstLine="320" w:firstLineChars="100"/>
      </w:pPr>
      <w:r>
        <w:t>三、支出</w:t>
      </w:r>
      <w:r>
        <w:rPr>
          <w:rFonts w:hint="eastAsia"/>
        </w:rPr>
        <w:t>总</w:t>
      </w:r>
      <w:r>
        <w:t>表</w:t>
      </w:r>
    </w:p>
    <w:p>
      <w:pPr>
        <w:ind w:left="320" w:leftChars="100" w:firstLine="320" w:firstLineChars="100"/>
      </w:pPr>
      <w:r>
        <w:t>四、财政拨款收支</w:t>
      </w:r>
      <w:r>
        <w:rPr>
          <w:rFonts w:hint="eastAsia"/>
        </w:rPr>
        <w:t>总</w:t>
      </w:r>
      <w:r>
        <w:t>表</w:t>
      </w:r>
    </w:p>
    <w:p>
      <w:pPr>
        <w:ind w:left="320" w:leftChars="100" w:firstLine="320" w:firstLineChars="100"/>
        <w:rPr>
          <w:rFonts w:hint="eastAsia"/>
        </w:rPr>
      </w:pPr>
      <w:r>
        <w:t>五、</w:t>
      </w:r>
      <w:r>
        <w:rPr>
          <w:rFonts w:hint="eastAsia"/>
        </w:rPr>
        <w:t>一般公共预算支出表</w:t>
      </w:r>
    </w:p>
    <w:p>
      <w:pPr>
        <w:ind w:left="320" w:leftChars="100" w:firstLine="320" w:firstLineChars="100"/>
        <w:rPr>
          <w:rFonts w:hint="eastAsia"/>
        </w:rPr>
      </w:pPr>
      <w:r>
        <w:t>六、</w:t>
      </w:r>
      <w:r>
        <w:rPr>
          <w:rFonts w:hint="eastAsia"/>
        </w:rPr>
        <w:t>一般公共预算基本支出表</w:t>
      </w:r>
    </w:p>
    <w:p>
      <w:pPr>
        <w:ind w:left="320" w:leftChars="100" w:firstLine="320" w:firstLineChars="100"/>
      </w:pPr>
      <w:r>
        <w:t>七、一般公共预算“三公”经费支出表</w:t>
      </w:r>
    </w:p>
    <w:p>
      <w:pPr>
        <w:ind w:left="320" w:leftChars="100" w:firstLine="320" w:firstLineChars="100"/>
      </w:pPr>
      <w:r>
        <w:t>八、政府性基金预算支出表</w:t>
      </w:r>
    </w:p>
    <w:p>
      <w:pPr>
        <w:ind w:left="320" w:leftChars="100" w:firstLine="320" w:firstLineChars="100"/>
        <w:rPr>
          <w:rFonts w:hint="eastAsia"/>
        </w:rPr>
      </w:pPr>
      <w:r>
        <w:rPr>
          <w:rFonts w:hint="eastAsia"/>
        </w:rPr>
        <w:t>九、国有资本经营</w:t>
      </w:r>
      <w:r>
        <w:t>预算支出表</w:t>
      </w:r>
    </w:p>
    <w:p>
      <w:pPr>
        <w:ind w:left="320" w:leftChars="100" w:firstLine="320" w:firstLineChars="100"/>
        <w:rPr>
          <w:rFonts w:hint="eastAsia"/>
        </w:rPr>
      </w:pPr>
      <w:r>
        <w:rPr>
          <w:rFonts w:hint="eastAsia"/>
        </w:rPr>
        <w:t>十、项目支出表</w:t>
      </w:r>
    </w:p>
    <w:p>
      <w:pPr>
        <w:ind w:left="320" w:leftChars="100" w:firstLine="320" w:firstLineChars="100"/>
        <w:rPr>
          <w:rFonts w:hint="eastAsia"/>
        </w:rPr>
      </w:pPr>
      <w:r>
        <w:rPr>
          <w:rFonts w:hint="eastAsia"/>
        </w:rPr>
        <w:t>十一、项目支出绩效目标表</w:t>
      </w:r>
    </w:p>
    <w:p>
      <w:pPr>
        <w:rPr>
          <w:rFonts w:eastAsia="黑体"/>
        </w:rPr>
      </w:pPr>
      <w:r>
        <w:rPr>
          <w:rFonts w:eastAsia="黑体"/>
        </w:rPr>
        <w:t>第三部分  情况说明</w:t>
      </w:r>
    </w:p>
    <w:p>
      <w:pPr>
        <w:rPr>
          <w:rFonts w:eastAsia="黑体"/>
        </w:rPr>
      </w:pPr>
      <w:r>
        <w:rPr>
          <w:rFonts w:eastAsia="黑体"/>
        </w:rPr>
        <w:t>第四部分  名词解释</w:t>
      </w:r>
    </w:p>
    <w:p>
      <w:pPr>
        <w:rPr>
          <w:rFonts w:eastAsia="黑体"/>
        </w:rPr>
      </w:pPr>
      <w:r>
        <w:rPr>
          <w:rFonts w:eastAsia="黑体"/>
        </w:rPr>
        <w:br w:type="page"/>
      </w:r>
    </w:p>
    <w:p>
      <w:pPr>
        <w:ind w:firstLine="720" w:firstLineChars="200"/>
        <w:jc w:val="center"/>
        <w:rPr>
          <w:rFonts w:eastAsia="黑体"/>
          <w:sz w:val="36"/>
          <w:szCs w:val="36"/>
        </w:rPr>
      </w:pPr>
      <w:r>
        <w:rPr>
          <w:rFonts w:eastAsia="黑体"/>
          <w:sz w:val="36"/>
          <w:szCs w:val="36"/>
        </w:rPr>
        <w:t>第一部分 部门概况</w:t>
      </w:r>
    </w:p>
    <w:p>
      <w:pPr>
        <w:ind w:firstLine="640" w:firstLineChars="200"/>
        <w:rPr>
          <w:rFonts w:eastAsia="楷体_GB2312"/>
        </w:rPr>
      </w:pPr>
    </w:p>
    <w:p>
      <w:pPr>
        <w:ind w:firstLine="640" w:firstLineChars="200"/>
        <w:rPr>
          <w:rFonts w:eastAsia="楷体_GB2312"/>
        </w:rPr>
      </w:pPr>
      <w:r>
        <w:rPr>
          <w:rFonts w:eastAsia="楷体_GB2312"/>
        </w:rPr>
        <w:t>一、主要职能</w:t>
      </w:r>
    </w:p>
    <w:p>
      <w:pPr>
        <w:spacing w:line="600" w:lineRule="atLeast"/>
        <w:ind w:firstLine="640" w:firstLineChars="200"/>
        <w:rPr>
          <w:rFonts w:hint="eastAsia" w:ascii="仿宋" w:hAnsi="仿宋" w:eastAsia="仿宋" w:cs="仿宋"/>
          <w:i w:val="0"/>
          <w:iCs w:val="0"/>
          <w:caps w:val="0"/>
          <w:color w:val="333333"/>
          <w:spacing w:val="0"/>
          <w:sz w:val="32"/>
          <w:szCs w:val="32"/>
          <w:shd w:val="clear" w:color="auto" w:fill="FFFFFF"/>
          <w:lang w:val="en-US" w:eastAsia="zh-CN"/>
        </w:rPr>
      </w:pPr>
      <w:r>
        <w:rPr>
          <w:rFonts w:hint="eastAsia" w:ascii="仿宋" w:hAnsi="仿宋" w:eastAsia="仿宋" w:cs="仿宋"/>
          <w:i w:val="0"/>
          <w:iCs w:val="0"/>
          <w:caps w:val="0"/>
          <w:color w:val="333333"/>
          <w:spacing w:val="0"/>
          <w:sz w:val="32"/>
          <w:szCs w:val="32"/>
          <w:shd w:val="clear" w:color="auto" w:fill="FFFFFF"/>
        </w:rPr>
        <w:t>1、负责对道路交通管理工作进行指导和规划，对道路交通事故责任重新认定，对伤残程度进行重新评定和对车辆损失的程度进行重新鉴定；</w:t>
      </w:r>
      <w:r>
        <w:rPr>
          <w:rFonts w:hint="eastAsia" w:ascii="仿宋" w:hAnsi="仿宋" w:eastAsia="仿宋" w:cs="仿宋"/>
          <w:i w:val="0"/>
          <w:iCs w:val="0"/>
          <w:caps w:val="0"/>
          <w:color w:val="333333"/>
          <w:spacing w:val="0"/>
          <w:sz w:val="32"/>
          <w:szCs w:val="32"/>
          <w:shd w:val="clear" w:color="auto" w:fill="FFFFFF"/>
        </w:rPr>
        <w:br w:type="textWrapping"/>
      </w:r>
      <w:r>
        <w:rPr>
          <w:rFonts w:hint="eastAsia" w:ascii="仿宋" w:hAnsi="仿宋" w:eastAsia="仿宋" w:cs="仿宋"/>
          <w:i w:val="0"/>
          <w:iCs w:val="0"/>
          <w:caps w:val="0"/>
          <w:color w:val="333333"/>
          <w:spacing w:val="0"/>
          <w:sz w:val="32"/>
          <w:szCs w:val="32"/>
          <w:shd w:val="clear" w:color="auto" w:fill="FFFFFF"/>
          <w:lang w:val="en-US" w:eastAsia="zh-CN"/>
        </w:rPr>
        <w:t xml:space="preserve">    </w:t>
      </w:r>
      <w:r>
        <w:rPr>
          <w:rFonts w:hint="eastAsia" w:ascii="仿宋" w:hAnsi="仿宋" w:eastAsia="仿宋" w:cs="仿宋"/>
          <w:i w:val="0"/>
          <w:iCs w:val="0"/>
          <w:caps w:val="0"/>
          <w:color w:val="333333"/>
          <w:spacing w:val="0"/>
          <w:sz w:val="32"/>
          <w:szCs w:val="32"/>
          <w:shd w:val="clear" w:color="auto" w:fill="FFFFFF"/>
        </w:rPr>
        <w:t>2、负责机动车安全技术检验、注册登记与核发牌证、转籍、过户和转出及转入；</w:t>
      </w:r>
      <w:r>
        <w:rPr>
          <w:rFonts w:hint="eastAsia" w:ascii="仿宋" w:hAnsi="仿宋" w:eastAsia="仿宋" w:cs="仿宋"/>
          <w:i w:val="0"/>
          <w:iCs w:val="0"/>
          <w:caps w:val="0"/>
          <w:color w:val="333333"/>
          <w:spacing w:val="0"/>
          <w:sz w:val="32"/>
          <w:szCs w:val="32"/>
          <w:shd w:val="clear" w:color="auto" w:fill="FFFFFF"/>
        </w:rPr>
        <w:br w:type="textWrapping"/>
      </w:r>
      <w:r>
        <w:rPr>
          <w:rFonts w:hint="eastAsia" w:ascii="仿宋" w:hAnsi="仿宋" w:eastAsia="仿宋" w:cs="仿宋"/>
          <w:i w:val="0"/>
          <w:iCs w:val="0"/>
          <w:caps w:val="0"/>
          <w:color w:val="333333"/>
          <w:spacing w:val="0"/>
          <w:sz w:val="32"/>
          <w:szCs w:val="32"/>
          <w:shd w:val="clear" w:color="auto" w:fill="FFFFFF"/>
          <w:lang w:val="en-US" w:eastAsia="zh-CN"/>
        </w:rPr>
        <w:t xml:space="preserve">    </w:t>
      </w:r>
      <w:r>
        <w:rPr>
          <w:rFonts w:hint="eastAsia" w:ascii="仿宋" w:hAnsi="仿宋" w:eastAsia="仿宋" w:cs="仿宋"/>
          <w:i w:val="0"/>
          <w:iCs w:val="0"/>
          <w:caps w:val="0"/>
          <w:color w:val="333333"/>
          <w:spacing w:val="0"/>
          <w:sz w:val="32"/>
          <w:szCs w:val="32"/>
          <w:shd w:val="clear" w:color="auto" w:fill="FFFFFF"/>
        </w:rPr>
        <w:t>3、负责机动车驾驶证的核发、补发，并负责机动车驾驶员科目一、科目二和科目三的考试；</w:t>
      </w:r>
      <w:r>
        <w:rPr>
          <w:rFonts w:hint="eastAsia" w:ascii="仿宋" w:hAnsi="仿宋" w:eastAsia="仿宋" w:cs="仿宋"/>
          <w:i w:val="0"/>
          <w:iCs w:val="0"/>
          <w:caps w:val="0"/>
          <w:color w:val="333333"/>
          <w:spacing w:val="0"/>
          <w:sz w:val="32"/>
          <w:szCs w:val="32"/>
          <w:shd w:val="clear" w:color="auto" w:fill="FFFFFF"/>
        </w:rPr>
        <w:br w:type="textWrapping"/>
      </w:r>
      <w:r>
        <w:rPr>
          <w:rFonts w:hint="eastAsia" w:ascii="仿宋" w:hAnsi="仿宋" w:eastAsia="仿宋" w:cs="仿宋"/>
          <w:i w:val="0"/>
          <w:iCs w:val="0"/>
          <w:caps w:val="0"/>
          <w:color w:val="333333"/>
          <w:spacing w:val="0"/>
          <w:sz w:val="32"/>
          <w:szCs w:val="32"/>
          <w:shd w:val="clear" w:color="auto" w:fill="FFFFFF"/>
          <w:lang w:val="en-US" w:eastAsia="zh-CN"/>
        </w:rPr>
        <w:t xml:space="preserve">    </w:t>
      </w:r>
      <w:r>
        <w:rPr>
          <w:rFonts w:hint="eastAsia" w:ascii="仿宋" w:hAnsi="仿宋" w:eastAsia="仿宋" w:cs="仿宋"/>
          <w:i w:val="0"/>
          <w:iCs w:val="0"/>
          <w:caps w:val="0"/>
          <w:color w:val="333333"/>
          <w:spacing w:val="0"/>
          <w:sz w:val="32"/>
          <w:szCs w:val="32"/>
          <w:shd w:val="clear" w:color="auto" w:fill="FFFFFF"/>
        </w:rPr>
        <w:t>4、面向社会及群众开展交通法律、法规和交通安全宣传；</w:t>
      </w:r>
      <w:r>
        <w:rPr>
          <w:rFonts w:hint="eastAsia" w:ascii="仿宋" w:hAnsi="仿宋" w:eastAsia="仿宋" w:cs="仿宋"/>
          <w:i w:val="0"/>
          <w:iCs w:val="0"/>
          <w:caps w:val="0"/>
          <w:color w:val="333333"/>
          <w:spacing w:val="0"/>
          <w:sz w:val="32"/>
          <w:szCs w:val="32"/>
          <w:shd w:val="clear" w:color="auto" w:fill="FFFFFF"/>
        </w:rPr>
        <w:br w:type="textWrapping"/>
      </w:r>
      <w:r>
        <w:rPr>
          <w:rFonts w:hint="eastAsia" w:ascii="仿宋" w:hAnsi="仿宋" w:eastAsia="仿宋" w:cs="仿宋"/>
          <w:i w:val="0"/>
          <w:iCs w:val="0"/>
          <w:caps w:val="0"/>
          <w:color w:val="333333"/>
          <w:spacing w:val="0"/>
          <w:sz w:val="32"/>
          <w:szCs w:val="32"/>
          <w:shd w:val="clear" w:color="auto" w:fill="FFFFFF"/>
          <w:lang w:val="en-US" w:eastAsia="zh-CN"/>
        </w:rPr>
        <w:t xml:space="preserve">    </w:t>
      </w:r>
      <w:r>
        <w:rPr>
          <w:rFonts w:hint="eastAsia" w:ascii="仿宋" w:hAnsi="仿宋" w:eastAsia="仿宋" w:cs="仿宋"/>
          <w:i w:val="0"/>
          <w:iCs w:val="0"/>
          <w:caps w:val="0"/>
          <w:color w:val="333333"/>
          <w:spacing w:val="0"/>
          <w:sz w:val="32"/>
          <w:szCs w:val="32"/>
          <w:shd w:val="clear" w:color="auto" w:fill="FFFFFF"/>
        </w:rPr>
        <w:t>5、负责交警部门科技项目的开发，科技设施的管理和维护工作；</w:t>
      </w:r>
      <w:r>
        <w:rPr>
          <w:rFonts w:hint="eastAsia" w:ascii="仿宋" w:hAnsi="仿宋" w:eastAsia="仿宋" w:cs="仿宋"/>
          <w:i w:val="0"/>
          <w:iCs w:val="0"/>
          <w:caps w:val="0"/>
          <w:color w:val="333333"/>
          <w:spacing w:val="0"/>
          <w:sz w:val="32"/>
          <w:szCs w:val="32"/>
          <w:shd w:val="clear" w:color="auto" w:fill="FFFFFF"/>
        </w:rPr>
        <w:br w:type="textWrapping"/>
      </w:r>
      <w:r>
        <w:rPr>
          <w:rFonts w:hint="eastAsia" w:ascii="仿宋" w:hAnsi="仿宋" w:eastAsia="仿宋" w:cs="仿宋"/>
          <w:i w:val="0"/>
          <w:iCs w:val="0"/>
          <w:caps w:val="0"/>
          <w:color w:val="333333"/>
          <w:spacing w:val="0"/>
          <w:sz w:val="32"/>
          <w:szCs w:val="32"/>
          <w:shd w:val="clear" w:color="auto" w:fill="FFFFFF"/>
          <w:lang w:val="en-US" w:eastAsia="zh-CN"/>
        </w:rPr>
        <w:t xml:space="preserve">    </w:t>
      </w:r>
      <w:r>
        <w:rPr>
          <w:rFonts w:hint="eastAsia" w:ascii="仿宋" w:hAnsi="仿宋" w:eastAsia="仿宋" w:cs="仿宋"/>
          <w:i w:val="0"/>
          <w:iCs w:val="0"/>
          <w:caps w:val="0"/>
          <w:color w:val="333333"/>
          <w:spacing w:val="0"/>
          <w:sz w:val="32"/>
          <w:szCs w:val="32"/>
          <w:shd w:val="clear" w:color="auto" w:fill="FFFFFF"/>
        </w:rPr>
        <w:t>6、负责道路的巡逻，纠正交通违章，维护交通秩序，处理突发事件，配合开展警卫工作。</w:t>
      </w:r>
      <w:r>
        <w:rPr>
          <w:rFonts w:hint="eastAsia" w:ascii="仿宋" w:hAnsi="仿宋" w:eastAsia="仿宋" w:cs="仿宋"/>
          <w:i w:val="0"/>
          <w:iCs w:val="0"/>
          <w:caps w:val="0"/>
          <w:color w:val="333333"/>
          <w:spacing w:val="0"/>
          <w:sz w:val="32"/>
          <w:szCs w:val="32"/>
          <w:shd w:val="clear" w:color="auto" w:fill="FFFFFF"/>
        </w:rPr>
        <w:br w:type="textWrapping"/>
      </w:r>
      <w:r>
        <w:rPr>
          <w:rFonts w:hint="eastAsia" w:ascii="仿宋" w:hAnsi="仿宋" w:eastAsia="仿宋" w:cs="仿宋"/>
          <w:i w:val="0"/>
          <w:iCs w:val="0"/>
          <w:caps w:val="0"/>
          <w:color w:val="333333"/>
          <w:spacing w:val="0"/>
          <w:sz w:val="32"/>
          <w:szCs w:val="32"/>
          <w:shd w:val="clear" w:color="auto" w:fill="FFFFFF"/>
          <w:lang w:val="en-US" w:eastAsia="zh-CN"/>
        </w:rPr>
        <w:t xml:space="preserve">    7、</w:t>
      </w:r>
      <w:r>
        <w:rPr>
          <w:rFonts w:hint="eastAsia" w:ascii="仿宋" w:hAnsi="仿宋" w:eastAsia="仿宋" w:cs="仿宋"/>
          <w:i w:val="0"/>
          <w:iCs w:val="0"/>
          <w:caps w:val="0"/>
          <w:color w:val="333333"/>
          <w:spacing w:val="0"/>
          <w:sz w:val="32"/>
          <w:szCs w:val="32"/>
          <w:shd w:val="clear" w:color="auto" w:fill="FFFFFF"/>
        </w:rPr>
        <w:t>对登记后上道路行驶的机动车，应当依照法律、行政法规的规定，根据车辆用途、载客载货数量、使用年限等不同情况，定期进行安全技术检验。对提供机动车行驶证和机动车第三者责任强制保险单的，机动车安全技术检验机构应当予以检验，任何单位不得附加其他条件。对符合机动车国家安全技术标准的，公安机关交通管理部门应当发给检验合格标志。</w:t>
      </w:r>
      <w:r>
        <w:rPr>
          <w:rFonts w:hint="eastAsia" w:ascii="仿宋" w:hAnsi="仿宋" w:eastAsia="仿宋" w:cs="仿宋"/>
          <w:i w:val="0"/>
          <w:iCs w:val="0"/>
          <w:caps w:val="0"/>
          <w:color w:val="333333"/>
          <w:spacing w:val="0"/>
          <w:sz w:val="32"/>
          <w:szCs w:val="32"/>
          <w:shd w:val="clear" w:color="auto" w:fill="FFFFFF"/>
          <w:lang w:val="en-US" w:eastAsia="zh-CN"/>
        </w:rPr>
        <w:t xml:space="preserve">       </w:t>
      </w:r>
    </w:p>
    <w:p>
      <w:pPr>
        <w:spacing w:line="600" w:lineRule="atLeast"/>
        <w:ind w:firstLine="640" w:firstLineChars="200"/>
        <w:rPr>
          <w:rFonts w:hint="eastAsia" w:ascii="仿宋" w:hAnsi="仿宋" w:eastAsia="仿宋"/>
          <w:color w:val="000000"/>
          <w:sz w:val="32"/>
          <w:szCs w:val="32"/>
          <w:lang w:val="en-US" w:eastAsia="zh-CN"/>
        </w:rPr>
      </w:pPr>
      <w:r>
        <w:rPr>
          <w:rFonts w:hint="eastAsia" w:ascii="仿宋" w:hAnsi="仿宋" w:eastAsia="仿宋"/>
          <w:color w:val="000000"/>
          <w:sz w:val="32"/>
          <w:szCs w:val="32"/>
        </w:rPr>
        <w:t>根据上述职责，通榆县公安局</w:t>
      </w:r>
      <w:r>
        <w:rPr>
          <w:rFonts w:hint="eastAsia" w:ascii="仿宋" w:hAnsi="仿宋" w:eastAsia="仿宋"/>
          <w:color w:val="000000"/>
          <w:sz w:val="32"/>
          <w:szCs w:val="32"/>
          <w:lang w:eastAsia="zh-CN"/>
        </w:rPr>
        <w:t>交通巡逻警察大队</w:t>
      </w:r>
      <w:r>
        <w:rPr>
          <w:rFonts w:hint="eastAsia" w:ascii="仿宋" w:hAnsi="仿宋" w:eastAsia="仿宋"/>
          <w:color w:val="000000"/>
          <w:sz w:val="32"/>
          <w:szCs w:val="32"/>
        </w:rPr>
        <w:t>内设</w:t>
      </w:r>
      <w:r>
        <w:rPr>
          <w:rFonts w:hint="eastAsia" w:ascii="仿宋" w:hAnsi="仿宋" w:eastAsia="仿宋"/>
          <w:color w:val="000000"/>
          <w:sz w:val="32"/>
          <w:szCs w:val="32"/>
          <w:lang w:eastAsia="zh-CN"/>
        </w:rPr>
        <w:t>综合中队、车管所、法制中队、事故处理中队、开通中队、鸿兴中队、兴隆山中队、三家子中队、瞻榆中队、向海中队、</w:t>
      </w:r>
      <w:r>
        <w:rPr>
          <w:rFonts w:hint="eastAsia" w:ascii="仿宋" w:hAnsi="仿宋" w:eastAsia="仿宋"/>
          <w:color w:val="000000"/>
          <w:sz w:val="32"/>
          <w:szCs w:val="32"/>
          <w:lang w:val="en-US" w:eastAsia="zh-CN"/>
        </w:rPr>
        <w:t>公路中队</w:t>
      </w:r>
      <w:r>
        <w:rPr>
          <w:rFonts w:hint="eastAsia" w:ascii="仿宋" w:hAnsi="仿宋" w:eastAsia="仿宋"/>
          <w:color w:val="000000"/>
          <w:sz w:val="32"/>
          <w:szCs w:val="32"/>
          <w:lang w:eastAsia="zh-CN"/>
        </w:rPr>
        <w:t>等</w:t>
      </w:r>
      <w:r>
        <w:rPr>
          <w:rFonts w:hint="eastAsia" w:ascii="仿宋" w:hAnsi="仿宋" w:eastAsia="仿宋"/>
          <w:color w:val="000000"/>
          <w:sz w:val="32"/>
          <w:szCs w:val="32"/>
          <w:lang w:val="en-US" w:eastAsia="zh-CN"/>
        </w:rPr>
        <w:t>11个中队。</w:t>
      </w:r>
    </w:p>
    <w:p>
      <w:pPr>
        <w:spacing w:line="600" w:lineRule="atLeast"/>
        <w:ind w:firstLine="640" w:firstLineChars="200"/>
        <w:rPr>
          <w:rFonts w:hint="eastAsia" w:ascii="仿宋" w:hAnsi="仿宋" w:eastAsia="仿宋"/>
          <w:color w:val="000000"/>
          <w:sz w:val="32"/>
          <w:szCs w:val="32"/>
        </w:rPr>
      </w:pPr>
      <w:r>
        <w:rPr>
          <w:rFonts w:hint="eastAsia" w:ascii="仿宋" w:hAnsi="仿宋" w:eastAsia="仿宋"/>
          <w:color w:val="000000"/>
          <w:sz w:val="32"/>
          <w:szCs w:val="32"/>
        </w:rPr>
        <w:t>纳入</w:t>
      </w:r>
      <w:r>
        <w:rPr>
          <w:rFonts w:hint="eastAsia" w:ascii="仿宋" w:hAnsi="仿宋" w:eastAsia="仿宋"/>
          <w:color w:val="000000"/>
          <w:sz w:val="32"/>
          <w:szCs w:val="32"/>
          <w:lang w:eastAsia="zh-CN"/>
        </w:rPr>
        <w:t>通榆县公安局交通巡逻警察大队2023</w:t>
      </w:r>
      <w:r>
        <w:rPr>
          <w:rFonts w:ascii="仿宋" w:hAnsi="仿宋" w:eastAsia="仿宋"/>
          <w:color w:val="000000"/>
          <w:sz w:val="32"/>
          <w:szCs w:val="32"/>
        </w:rPr>
        <w:t>年</w:t>
      </w:r>
      <w:r>
        <w:rPr>
          <w:rFonts w:hint="eastAsia" w:ascii="仿宋" w:hAnsi="仿宋" w:eastAsia="仿宋"/>
          <w:color w:val="000000"/>
          <w:sz w:val="32"/>
          <w:szCs w:val="32"/>
        </w:rPr>
        <w:t>度部门</w:t>
      </w:r>
      <w:r>
        <w:rPr>
          <w:rFonts w:hint="eastAsia" w:ascii="仿宋" w:hAnsi="仿宋" w:eastAsia="仿宋"/>
          <w:color w:val="000000"/>
          <w:sz w:val="32"/>
          <w:szCs w:val="32"/>
          <w:lang w:eastAsia="zh-CN"/>
        </w:rPr>
        <w:t>初步体会</w:t>
      </w:r>
      <w:r>
        <w:rPr>
          <w:rFonts w:hint="eastAsia" w:ascii="仿宋" w:hAnsi="仿宋" w:eastAsia="仿宋"/>
          <w:color w:val="000000"/>
          <w:sz w:val="32"/>
          <w:szCs w:val="32"/>
        </w:rPr>
        <w:t>编制范围的单位包括：</w:t>
      </w:r>
    </w:p>
    <w:p>
      <w:pPr>
        <w:spacing w:line="600" w:lineRule="atLeast"/>
        <w:ind w:firstLine="640" w:firstLineChars="200"/>
        <w:rPr>
          <w:rFonts w:hint="eastAsia" w:ascii="仿宋" w:hAnsi="仿宋" w:eastAsia="仿宋"/>
          <w:color w:val="000000"/>
          <w:sz w:val="32"/>
          <w:szCs w:val="32"/>
        </w:rPr>
      </w:pPr>
      <w:r>
        <w:rPr>
          <w:rFonts w:hint="eastAsia" w:ascii="仿宋" w:hAnsi="仿宋" w:eastAsia="仿宋"/>
          <w:color w:val="000000"/>
          <w:sz w:val="32"/>
          <w:szCs w:val="32"/>
          <w:lang w:eastAsia="zh-CN"/>
        </w:rPr>
        <w:t>通榆县公安局交通巡逻警察大队</w:t>
      </w:r>
      <w:r>
        <w:rPr>
          <w:rFonts w:hint="eastAsia" w:ascii="仿宋" w:hAnsi="仿宋" w:eastAsia="仿宋"/>
          <w:color w:val="000000"/>
          <w:sz w:val="32"/>
          <w:szCs w:val="32"/>
        </w:rPr>
        <w:t xml:space="preserve">     </w:t>
      </w:r>
    </w:p>
    <w:p>
      <w:pPr>
        <w:spacing w:line="600" w:lineRule="atLeast"/>
        <w:ind w:firstLine="640" w:firstLineChars="200"/>
        <w:rPr>
          <w:rFonts w:hint="eastAsia" w:ascii="宋体" w:hAnsi="宋体" w:eastAsia="宋体"/>
          <w:color w:val="000000"/>
          <w:szCs w:val="32"/>
        </w:rPr>
      </w:pPr>
      <w:r>
        <w:rPr>
          <w:rFonts w:hint="eastAsia" w:ascii="仿宋" w:hAnsi="仿宋" w:eastAsia="仿宋"/>
          <w:color w:val="000000"/>
          <w:sz w:val="32"/>
          <w:szCs w:val="32"/>
        </w:rPr>
        <w:t>实有人员</w:t>
      </w:r>
      <w:r>
        <w:rPr>
          <w:rFonts w:hint="eastAsia" w:ascii="仿宋" w:hAnsi="仿宋" w:eastAsia="仿宋"/>
          <w:color w:val="000000"/>
          <w:sz w:val="32"/>
          <w:szCs w:val="32"/>
          <w:lang w:val="en-US" w:eastAsia="zh-CN"/>
        </w:rPr>
        <w:t>62</w:t>
      </w:r>
      <w:r>
        <w:rPr>
          <w:rFonts w:hint="eastAsia" w:ascii="仿宋" w:hAnsi="仿宋" w:eastAsia="仿宋"/>
          <w:color w:val="000000"/>
          <w:sz w:val="32"/>
          <w:szCs w:val="32"/>
        </w:rPr>
        <w:t>，其中：在职人员</w:t>
      </w:r>
      <w:r>
        <w:rPr>
          <w:rFonts w:hint="eastAsia" w:ascii="仿宋" w:hAnsi="仿宋" w:eastAsia="仿宋"/>
          <w:color w:val="000000"/>
          <w:sz w:val="32"/>
          <w:szCs w:val="32"/>
          <w:lang w:val="en-US" w:eastAsia="zh-CN"/>
        </w:rPr>
        <w:t>62</w:t>
      </w:r>
      <w:r>
        <w:rPr>
          <w:rFonts w:hint="eastAsia" w:ascii="仿宋" w:hAnsi="仿宋" w:eastAsia="仿宋"/>
          <w:color w:val="000000"/>
          <w:sz w:val="32"/>
          <w:szCs w:val="32"/>
        </w:rPr>
        <w:t>人</w:t>
      </w:r>
      <w:r>
        <w:rPr>
          <w:rFonts w:hint="eastAsia" w:ascii="仿宋" w:hAnsi="仿宋" w:eastAsia="仿宋"/>
          <w:color w:val="000000"/>
          <w:sz w:val="32"/>
          <w:szCs w:val="32"/>
          <w:lang w:eastAsia="zh-CN"/>
        </w:rPr>
        <w:t>。</w:t>
      </w:r>
      <w:r>
        <w:rPr>
          <w:rFonts w:hint="eastAsia" w:ascii="仿宋" w:hAnsi="仿宋" w:eastAsia="仿宋"/>
          <w:color w:val="000000"/>
          <w:sz w:val="32"/>
          <w:szCs w:val="32"/>
        </w:rPr>
        <w:t>退休人员</w:t>
      </w:r>
      <w:r>
        <w:rPr>
          <w:rFonts w:hint="eastAsia" w:ascii="仿宋" w:hAnsi="仿宋" w:eastAsia="仿宋"/>
          <w:color w:val="000000"/>
          <w:sz w:val="32"/>
          <w:szCs w:val="32"/>
          <w:lang w:val="en-US" w:eastAsia="zh-CN"/>
        </w:rPr>
        <w:t>25</w:t>
      </w:r>
      <w:r>
        <w:rPr>
          <w:rFonts w:hint="eastAsia" w:ascii="仿宋" w:hAnsi="仿宋" w:eastAsia="仿宋"/>
          <w:color w:val="000000"/>
          <w:sz w:val="32"/>
          <w:szCs w:val="32"/>
        </w:rPr>
        <w:t>人。</w:t>
      </w:r>
    </w:p>
    <w:p>
      <w:pPr>
        <w:ind w:firstLine="640" w:firstLineChars="200"/>
        <w:rPr>
          <w:rFonts w:hint="eastAsia" w:ascii="仿宋_GB2312" w:hAnsi="仿宋_GB2312" w:eastAsia="仿宋_GB2312" w:cs="仿宋_GB2312"/>
          <w:color w:val="000000"/>
          <w:sz w:val="21"/>
          <w:szCs w:val="21"/>
        </w:rPr>
      </w:pPr>
      <w:r>
        <w:rPr>
          <w:rFonts w:hint="eastAsia" w:ascii="仿宋_GB2312" w:hAnsi="仿宋_GB2312" w:eastAsia="仿宋_GB2312" w:cs="仿宋_GB2312"/>
          <w:color w:val="000000"/>
          <w:szCs w:val="32"/>
        </w:rPr>
        <w:t>（按照部门“三定”方案表述）</w:t>
      </w:r>
    </w:p>
    <w:p>
      <w:pPr>
        <w:ind w:firstLine="640" w:firstLineChars="200"/>
      </w:pPr>
      <w:r>
        <w:rPr>
          <w:rFonts w:eastAsia="楷体_GB2312"/>
        </w:rPr>
        <w:t>二、机构设置</w:t>
      </w:r>
    </w:p>
    <w:p>
      <w:pPr>
        <w:pStyle w:val="51"/>
        <w:ind w:firstLine="640" w:firstLineChars="200"/>
        <w:rPr>
          <w:rFonts w:hint="eastAsia" w:ascii="仿宋_GB2312" w:hAnsi="仿宋_GB2312" w:eastAsia="仿宋_GB2312" w:cs="仿宋_GB2312"/>
        </w:rPr>
      </w:pPr>
      <w:r>
        <w:rPr>
          <w:rFonts w:hint="eastAsia" w:ascii="仿宋_GB2312" w:hAnsi="仿宋_GB2312" w:eastAsia="仿宋_GB2312" w:cs="仿宋_GB2312"/>
        </w:rPr>
        <w:t>根据上述职责，</w:t>
      </w:r>
      <w:r>
        <w:rPr>
          <w:rFonts w:hint="eastAsia" w:ascii="仿宋_GB2312" w:hAnsi="仿宋_GB2312" w:eastAsia="仿宋_GB2312" w:cs="仿宋_GB2312"/>
          <w:u w:val="single"/>
          <w:lang w:eastAsia="zh-CN"/>
        </w:rPr>
        <w:t>通榆县公安局交通巡逻警察大队</w:t>
      </w:r>
      <w:r>
        <w:rPr>
          <w:rFonts w:hint="eastAsia" w:ascii="仿宋_GB2312" w:hAnsi="仿宋_GB2312" w:eastAsia="仿宋_GB2312" w:cs="仿宋_GB2312"/>
        </w:rPr>
        <w:t>内设</w:t>
      </w:r>
      <w:r>
        <w:rPr>
          <w:rFonts w:hint="eastAsia" w:ascii="仿宋_GB2312" w:hAnsi="仿宋_GB2312" w:eastAsia="仿宋_GB2312" w:cs="仿宋_GB2312"/>
          <w:u w:val="single"/>
          <w:lang w:eastAsia="zh-CN"/>
        </w:rPr>
        <w:t>1</w:t>
      </w:r>
      <w:r>
        <w:rPr>
          <w:rFonts w:hint="eastAsia" w:ascii="仿宋_GB2312" w:hAnsi="仿宋_GB2312" w:eastAsia="仿宋_GB2312" w:cs="仿宋_GB2312"/>
        </w:rPr>
        <w:t>个机构，分别为</w:t>
      </w:r>
      <w:r>
        <w:rPr>
          <w:rFonts w:hint="eastAsia" w:ascii="仿宋_GB2312" w:hAnsi="仿宋_GB2312" w:eastAsia="仿宋_GB2312" w:cs="仿宋_GB2312"/>
          <w:u w:val="single"/>
          <w:lang w:val="en-US" w:eastAsia="zh-CN"/>
        </w:rPr>
        <w:t>通榆县公安局交通巡逻警察大队本级</w:t>
      </w:r>
      <w:r>
        <w:rPr>
          <w:rFonts w:hint="eastAsia" w:ascii="仿宋_GB2312" w:hAnsi="仿宋_GB2312" w:eastAsia="仿宋_GB2312" w:cs="仿宋_GB2312"/>
        </w:rPr>
        <w:t>。</w:t>
      </w:r>
    </w:p>
    <w:p>
      <w:pPr>
        <w:pStyle w:val="51"/>
        <w:ind w:firstLine="640" w:firstLineChars="200"/>
        <w:rPr>
          <w:rFonts w:eastAsia="楷体"/>
        </w:rPr>
      </w:pPr>
    </w:p>
    <w:p>
      <w:pPr>
        <w:pStyle w:val="51"/>
        <w:ind w:firstLine="640" w:firstLineChars="200"/>
        <w:rPr>
          <w:rFonts w:hAnsi="楷体" w:eastAsia="楷体"/>
        </w:rPr>
      </w:pPr>
    </w:p>
    <w:p>
      <w:pPr>
        <w:pStyle w:val="51"/>
        <w:ind w:firstLine="640" w:firstLineChars="200"/>
        <w:rPr>
          <w:rFonts w:hAnsi="楷体" w:eastAsia="楷体"/>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2520" w:firstLineChars="700"/>
        <w:jc w:val="both"/>
        <w:rPr>
          <w:rFonts w:eastAsia="黑体"/>
          <w:sz w:val="36"/>
          <w:szCs w:val="36"/>
        </w:rPr>
      </w:pPr>
      <w:r>
        <w:rPr>
          <w:rFonts w:eastAsia="黑体"/>
          <w:sz w:val="36"/>
          <w:szCs w:val="36"/>
        </w:rPr>
        <w:t>第二部分 预算表格</w:t>
      </w:r>
    </w:p>
    <w:tbl>
      <w:tblPr>
        <w:tblStyle w:val="9"/>
        <w:tblpPr w:leftFromText="180" w:rightFromText="180" w:vertAnchor="text" w:horzAnchor="page" w:tblpX="1126" w:tblpY="698"/>
        <w:tblOverlap w:val="never"/>
        <w:tblW w:w="9908" w:type="dxa"/>
        <w:tblInd w:w="0" w:type="dxa"/>
        <w:tblLayout w:type="fixed"/>
        <w:tblCellMar>
          <w:top w:w="0" w:type="dxa"/>
          <w:left w:w="108" w:type="dxa"/>
          <w:bottom w:w="0" w:type="dxa"/>
          <w:right w:w="108" w:type="dxa"/>
        </w:tblCellMar>
      </w:tblPr>
      <w:tblGrid>
        <w:gridCol w:w="1753"/>
        <w:gridCol w:w="1044"/>
        <w:gridCol w:w="1073"/>
        <w:gridCol w:w="1200"/>
        <w:gridCol w:w="1342"/>
        <w:gridCol w:w="1156"/>
        <w:gridCol w:w="9"/>
        <w:gridCol w:w="1173"/>
        <w:gridCol w:w="1158"/>
      </w:tblGrid>
      <w:tr>
        <w:tblPrEx>
          <w:tblCellMar>
            <w:top w:w="0" w:type="dxa"/>
            <w:left w:w="108" w:type="dxa"/>
            <w:bottom w:w="0" w:type="dxa"/>
            <w:right w:w="108" w:type="dxa"/>
          </w:tblCellMar>
        </w:tblPrEx>
        <w:trPr>
          <w:trHeight w:val="525" w:hRule="atLeast"/>
        </w:trPr>
        <w:tc>
          <w:tcPr>
            <w:tcW w:w="9908" w:type="dxa"/>
            <w:gridSpan w:val="9"/>
            <w:tcBorders>
              <w:top w:val="nil"/>
              <w:left w:val="nil"/>
              <w:bottom w:val="nil"/>
              <w:right w:val="nil"/>
            </w:tcBorders>
            <w:noWrap w:val="0"/>
            <w:vAlign w:val="center"/>
          </w:tcPr>
          <w:p>
            <w:pPr>
              <w:widowControl/>
              <w:jc w:val="center"/>
              <w:rPr>
                <w:rFonts w:eastAsia="方正小标宋简体"/>
                <w:kern w:val="0"/>
                <w:sz w:val="44"/>
                <w:szCs w:val="44"/>
              </w:rPr>
            </w:pPr>
            <w:r>
              <w:rPr>
                <w:rFonts w:eastAsia="方正小标宋简体"/>
                <w:kern w:val="0"/>
                <w:sz w:val="36"/>
                <w:szCs w:val="36"/>
              </w:rPr>
              <w:t>收支</w:t>
            </w:r>
            <w:r>
              <w:rPr>
                <w:rFonts w:hint="eastAsia" w:eastAsia="方正小标宋简体"/>
                <w:kern w:val="0"/>
                <w:sz w:val="36"/>
                <w:szCs w:val="36"/>
              </w:rPr>
              <w:t>总</w:t>
            </w:r>
            <w:r>
              <w:rPr>
                <w:rFonts w:eastAsia="方正小标宋简体"/>
                <w:kern w:val="0"/>
                <w:sz w:val="36"/>
                <w:szCs w:val="36"/>
              </w:rPr>
              <w:t>表</w:t>
            </w:r>
          </w:p>
        </w:tc>
      </w:tr>
      <w:tr>
        <w:tblPrEx>
          <w:tblCellMar>
            <w:top w:w="0" w:type="dxa"/>
            <w:left w:w="108" w:type="dxa"/>
            <w:bottom w:w="0" w:type="dxa"/>
            <w:right w:w="108" w:type="dxa"/>
          </w:tblCellMar>
        </w:tblPrEx>
        <w:trPr>
          <w:trHeight w:val="315" w:hRule="atLeast"/>
        </w:trPr>
        <w:tc>
          <w:tcPr>
            <w:tcW w:w="3870" w:type="dxa"/>
            <w:gridSpan w:val="3"/>
            <w:tcBorders>
              <w:top w:val="nil"/>
              <w:left w:val="nil"/>
              <w:bottom w:val="nil"/>
              <w:right w:val="nil"/>
            </w:tcBorders>
            <w:noWrap w:val="0"/>
            <w:vAlign w:val="center"/>
          </w:tcPr>
          <w:p>
            <w:pPr>
              <w:widowControl/>
              <w:jc w:val="center"/>
              <w:rPr>
                <w:rFonts w:eastAsia="宋体"/>
                <w:kern w:val="0"/>
                <w:sz w:val="20"/>
              </w:rPr>
            </w:pPr>
          </w:p>
        </w:tc>
        <w:tc>
          <w:tcPr>
            <w:tcW w:w="1200" w:type="dxa"/>
            <w:tcBorders>
              <w:top w:val="nil"/>
              <w:left w:val="nil"/>
              <w:bottom w:val="nil"/>
              <w:right w:val="nil"/>
            </w:tcBorders>
            <w:noWrap w:val="0"/>
            <w:vAlign w:val="center"/>
          </w:tcPr>
          <w:p>
            <w:pPr>
              <w:widowControl/>
              <w:jc w:val="center"/>
              <w:rPr>
                <w:rFonts w:eastAsia="宋体"/>
                <w:kern w:val="0"/>
                <w:sz w:val="20"/>
              </w:rPr>
            </w:pPr>
          </w:p>
        </w:tc>
        <w:tc>
          <w:tcPr>
            <w:tcW w:w="2498" w:type="dxa"/>
            <w:gridSpan w:val="2"/>
            <w:tcBorders>
              <w:top w:val="nil"/>
              <w:left w:val="nil"/>
              <w:bottom w:val="nil"/>
              <w:right w:val="nil"/>
            </w:tcBorders>
            <w:noWrap w:val="0"/>
            <w:vAlign w:val="center"/>
          </w:tcPr>
          <w:p>
            <w:pPr>
              <w:widowControl/>
              <w:jc w:val="center"/>
              <w:rPr>
                <w:rFonts w:eastAsia="宋体"/>
                <w:kern w:val="0"/>
                <w:sz w:val="20"/>
              </w:rPr>
            </w:pPr>
          </w:p>
        </w:tc>
        <w:tc>
          <w:tcPr>
            <w:tcW w:w="2340" w:type="dxa"/>
            <w:gridSpan w:val="3"/>
            <w:tcBorders>
              <w:top w:val="nil"/>
              <w:left w:val="nil"/>
              <w:bottom w:val="nil"/>
              <w:right w:val="nil"/>
            </w:tcBorders>
            <w:noWrap w:val="0"/>
            <w:vAlign w:val="center"/>
          </w:tcPr>
          <w:p>
            <w:pPr>
              <w:widowControl/>
              <w:jc w:val="center"/>
              <w:rPr>
                <w:rFonts w:eastAsia="宋体"/>
                <w:kern w:val="0"/>
                <w:sz w:val="20"/>
              </w:rPr>
            </w:pPr>
            <w:r>
              <w:rPr>
                <w:rFonts w:eastAsia="宋体"/>
                <w:kern w:val="0"/>
                <w:sz w:val="20"/>
              </w:rPr>
              <w:t>单位：万元</w:t>
            </w:r>
          </w:p>
        </w:tc>
      </w:tr>
      <w:tr>
        <w:tblPrEx>
          <w:tblCellMar>
            <w:top w:w="0" w:type="dxa"/>
            <w:left w:w="108" w:type="dxa"/>
            <w:bottom w:w="0" w:type="dxa"/>
            <w:right w:w="108" w:type="dxa"/>
          </w:tblCellMar>
        </w:tblPrEx>
        <w:trPr>
          <w:trHeight w:val="435" w:hRule="atLeast"/>
        </w:trPr>
        <w:tc>
          <w:tcPr>
            <w:tcW w:w="5070" w:type="dxa"/>
            <w:gridSpan w:val="4"/>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eastAsia="宋体"/>
                <w:kern w:val="0"/>
                <w:sz w:val="20"/>
              </w:rPr>
              <w:t>收       入</w:t>
            </w:r>
          </w:p>
        </w:tc>
        <w:tc>
          <w:tcPr>
            <w:tcW w:w="4838" w:type="dxa"/>
            <w:gridSpan w:val="5"/>
            <w:tcBorders>
              <w:top w:val="single" w:color="auto" w:sz="4" w:space="0"/>
              <w:left w:val="nil"/>
              <w:bottom w:val="single" w:color="auto" w:sz="4" w:space="0"/>
              <w:right w:val="single" w:color="auto" w:sz="4" w:space="0"/>
            </w:tcBorders>
            <w:noWrap w:val="0"/>
            <w:vAlign w:val="center"/>
          </w:tcPr>
          <w:p>
            <w:pPr>
              <w:widowControl/>
              <w:jc w:val="center"/>
              <w:rPr>
                <w:rFonts w:hint="eastAsia" w:eastAsia="宋体"/>
                <w:kern w:val="0"/>
                <w:sz w:val="20"/>
              </w:rPr>
            </w:pPr>
            <w:r>
              <w:rPr>
                <w:rFonts w:hint="eastAsia" w:eastAsia="宋体"/>
                <w:kern w:val="0"/>
                <w:sz w:val="20"/>
              </w:rPr>
              <w:t xml:space="preserve">支 </w:t>
            </w:r>
            <w:r>
              <w:rPr>
                <w:rFonts w:eastAsia="宋体"/>
                <w:kern w:val="0"/>
                <w:sz w:val="20"/>
              </w:rPr>
              <w:t xml:space="preserve">       </w:t>
            </w:r>
            <w:r>
              <w:rPr>
                <w:rFonts w:hint="eastAsia" w:eastAsia="宋体"/>
                <w:kern w:val="0"/>
                <w:sz w:val="20"/>
              </w:rPr>
              <w:t>出</w:t>
            </w:r>
          </w:p>
        </w:tc>
      </w:tr>
      <w:tr>
        <w:tblPrEx>
          <w:tblCellMar>
            <w:top w:w="0" w:type="dxa"/>
            <w:left w:w="108" w:type="dxa"/>
            <w:bottom w:w="0" w:type="dxa"/>
            <w:right w:w="108" w:type="dxa"/>
          </w:tblCellMar>
        </w:tblPrEx>
        <w:trPr>
          <w:trHeight w:val="435" w:hRule="atLeast"/>
        </w:trPr>
        <w:tc>
          <w:tcPr>
            <w:tcW w:w="1753"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eastAsia="宋体"/>
                <w:kern w:val="0"/>
                <w:sz w:val="20"/>
              </w:rPr>
              <w:t>项  目</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lang w:eastAsia="zh-CN"/>
              </w:rPr>
              <w:t>2024</w:t>
            </w:r>
            <w:r>
              <w:rPr>
                <w:rFonts w:hint="eastAsia" w:eastAsia="宋体"/>
                <w:kern w:val="0"/>
                <w:sz w:val="20"/>
              </w:rPr>
              <w:t>年</w:t>
            </w:r>
            <w:r>
              <w:rPr>
                <w:rFonts w:eastAsia="宋体"/>
                <w:kern w:val="0"/>
                <w:sz w:val="20"/>
              </w:rPr>
              <w:t>预算数</w:t>
            </w: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rPr>
              <w:t>当年预算</w:t>
            </w:r>
          </w:p>
        </w:tc>
        <w:tc>
          <w:tcPr>
            <w:tcW w:w="1200"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rPr>
              <w:t>上年结转</w:t>
            </w:r>
          </w:p>
        </w:tc>
        <w:tc>
          <w:tcPr>
            <w:tcW w:w="1342"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eastAsia="宋体"/>
                <w:kern w:val="0"/>
                <w:sz w:val="20"/>
              </w:rPr>
              <w:t>项  目</w:t>
            </w:r>
          </w:p>
        </w:tc>
        <w:tc>
          <w:tcPr>
            <w:tcW w:w="1165"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lang w:eastAsia="zh-CN"/>
              </w:rPr>
              <w:t>2024</w:t>
            </w:r>
            <w:r>
              <w:rPr>
                <w:rFonts w:hint="eastAsia" w:eastAsia="宋体"/>
                <w:kern w:val="0"/>
                <w:sz w:val="20"/>
              </w:rPr>
              <w:t>年预算数</w:t>
            </w:r>
          </w:p>
        </w:tc>
        <w:tc>
          <w:tcPr>
            <w:tcW w:w="1173" w:type="dxa"/>
            <w:tcBorders>
              <w:top w:val="nil"/>
              <w:left w:val="nil"/>
              <w:bottom w:val="single" w:color="auto" w:sz="4" w:space="0"/>
              <w:right w:val="single" w:color="auto" w:sz="4" w:space="0"/>
            </w:tcBorders>
            <w:noWrap w:val="0"/>
            <w:vAlign w:val="center"/>
          </w:tcPr>
          <w:p>
            <w:pPr>
              <w:widowControl/>
              <w:jc w:val="center"/>
              <w:rPr>
                <w:rFonts w:hint="eastAsia" w:eastAsia="宋体"/>
                <w:kern w:val="0"/>
                <w:sz w:val="20"/>
              </w:rPr>
            </w:pPr>
            <w:r>
              <w:rPr>
                <w:rFonts w:hint="eastAsia" w:eastAsia="宋体"/>
                <w:kern w:val="0"/>
                <w:sz w:val="20"/>
              </w:rPr>
              <w:t>当年</w:t>
            </w:r>
            <w:r>
              <w:rPr>
                <w:rFonts w:eastAsia="宋体"/>
                <w:kern w:val="0"/>
                <w:sz w:val="20"/>
              </w:rPr>
              <w:t>预算</w:t>
            </w: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rPr>
              <w:t>上年结转</w:t>
            </w: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一、财政拨款收入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rPr>
              <w:t>1790.87</w:t>
            </w: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left"/>
              <w:rPr>
                <w:rFonts w:eastAsia="宋体"/>
                <w:b w:val="0"/>
                <w:bCs/>
                <w:color w:val="000000"/>
                <w:kern w:val="0"/>
                <w:sz w:val="20"/>
              </w:rPr>
            </w:pPr>
            <w:r>
              <w:rPr>
                <w:rFonts w:hint="eastAsia" w:ascii="仿宋_GB2312"/>
                <w:b w:val="0"/>
                <w:bCs/>
                <w:color w:val="000000"/>
                <w:kern w:val="0"/>
                <w:sz w:val="20"/>
              </w:rPr>
              <w:t>一、一般公共服务</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一般公共预算拨款收入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rPr>
              <w:t>1790.87</w:t>
            </w: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b w:val="0"/>
                <w:bCs/>
                <w:color w:val="000000"/>
                <w:kern w:val="0"/>
                <w:sz w:val="20"/>
              </w:rPr>
            </w:pPr>
            <w:r>
              <w:rPr>
                <w:rFonts w:hint="eastAsia" w:ascii="仿宋_GB2312"/>
                <w:b w:val="0"/>
                <w:bCs/>
                <w:color w:val="000000"/>
                <w:sz w:val="20"/>
              </w:rPr>
              <w:t>二、公共安全支出</w:t>
            </w:r>
          </w:p>
        </w:tc>
        <w:tc>
          <w:tcPr>
            <w:tcW w:w="1156"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1,524.58</w:t>
            </w:r>
          </w:p>
        </w:tc>
        <w:tc>
          <w:tcPr>
            <w:tcW w:w="1182" w:type="dxa"/>
            <w:gridSpan w:val="2"/>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政府性基金预算拨款收入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b w:val="0"/>
                <w:bCs/>
                <w:color w:val="000000"/>
                <w:kern w:val="0"/>
                <w:sz w:val="20"/>
              </w:rPr>
            </w:pPr>
            <w:r>
              <w:rPr>
                <w:rFonts w:hint="eastAsia" w:ascii="仿宋_GB2312"/>
                <w:b w:val="0"/>
                <w:bCs/>
                <w:color w:val="000000"/>
                <w:kern w:val="0"/>
                <w:sz w:val="20"/>
              </w:rPr>
              <w:t>三、城乡社区支出</w:t>
            </w:r>
          </w:p>
        </w:tc>
        <w:tc>
          <w:tcPr>
            <w:tcW w:w="1156"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国有资本经营预算拨款收入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b w:val="0"/>
                <w:bCs/>
                <w:color w:val="000000"/>
                <w:kern w:val="0"/>
                <w:sz w:val="20"/>
              </w:rPr>
            </w:pPr>
            <w:r>
              <w:rPr>
                <w:rFonts w:hint="eastAsia" w:ascii="仿宋_GB2312"/>
                <w:b w:val="0"/>
                <w:bCs/>
                <w:color w:val="000000"/>
                <w:kern w:val="0"/>
                <w:sz w:val="20"/>
              </w:rPr>
              <w:t>四、教育支出</w:t>
            </w:r>
          </w:p>
        </w:tc>
        <w:tc>
          <w:tcPr>
            <w:tcW w:w="1156"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shd w:val="solid" w:color="FFFFFF" w:fill="auto"/>
            <w:noWrap w:val="0"/>
            <w:vAlign w:val="center"/>
          </w:tcPr>
          <w:p>
            <w:pPr>
              <w:jc w:val="center"/>
              <w:rPr>
                <w:rFonts w:hint="eastAsia" w:eastAsia="宋体"/>
                <w:sz w:val="20"/>
              </w:rPr>
            </w:pPr>
            <w:r>
              <w:rPr>
                <w:rFonts w:hint="eastAsia" w:eastAsia="宋体"/>
                <w:sz w:val="20"/>
              </w:rPr>
              <w:t>二、财政专户管理资金收入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五、科学技术支出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shd w:val="clear" w:color="auto" w:fill="FFFFFF"/>
            <w:noWrap w:val="0"/>
            <w:vAlign w:val="center"/>
          </w:tcPr>
          <w:p>
            <w:pPr>
              <w:jc w:val="center"/>
              <w:rPr>
                <w:rFonts w:hint="eastAsia" w:eastAsia="宋体"/>
                <w:sz w:val="20"/>
              </w:rPr>
            </w:pPr>
            <w:r>
              <w:rPr>
                <w:rFonts w:hint="eastAsia" w:eastAsia="宋体"/>
                <w:sz w:val="20"/>
              </w:rPr>
              <w:t>三、单位资金收入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六、文化体育与传媒支出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事业收入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七、社会保障和就业支出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事业单位经营收入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八、农林水支出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上级补助收入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九、住房保障支出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r>
              <w:rPr>
                <w:rFonts w:hint="eastAsia" w:eastAsia="宋体"/>
                <w:color w:val="000000"/>
                <w:kern w:val="0"/>
                <w:sz w:val="20"/>
              </w:rPr>
              <w:t>80.63</w:t>
            </w:r>
          </w:p>
        </w:tc>
        <w:tc>
          <w:tcPr>
            <w:tcW w:w="1182" w:type="dxa"/>
            <w:gridSpan w:val="2"/>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附属单位上缴收入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十、医疗卫生和计划生育支出</w:t>
            </w:r>
          </w:p>
        </w:tc>
        <w:tc>
          <w:tcPr>
            <w:tcW w:w="1156"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52.11</w:t>
            </w:r>
          </w:p>
        </w:tc>
        <w:tc>
          <w:tcPr>
            <w:tcW w:w="1182" w:type="dxa"/>
            <w:gridSpan w:val="2"/>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其他收入</w:t>
            </w:r>
          </w:p>
        </w:tc>
        <w:tc>
          <w:tcPr>
            <w:tcW w:w="1044" w:type="dxa"/>
            <w:tcBorders>
              <w:top w:val="nil"/>
              <w:left w:val="nil"/>
              <w:bottom w:val="single" w:color="auto" w:sz="4" w:space="0"/>
              <w:right w:val="single" w:color="auto" w:sz="4" w:space="0"/>
            </w:tcBorders>
            <w:noWrap w:val="0"/>
            <w:vAlign w:val="center"/>
          </w:tcPr>
          <w:p>
            <w:pPr>
              <w:jc w:val="center"/>
              <w:rPr>
                <w:rFonts w:hint="eastAsia" w:eastAsia="宋体"/>
                <w:sz w:val="20"/>
              </w:rPr>
            </w:pPr>
          </w:p>
        </w:tc>
        <w:tc>
          <w:tcPr>
            <w:tcW w:w="1073" w:type="dxa"/>
            <w:tcBorders>
              <w:top w:val="nil"/>
              <w:left w:val="nil"/>
              <w:bottom w:val="single" w:color="auto" w:sz="4" w:space="0"/>
              <w:right w:val="single" w:color="auto" w:sz="4" w:space="0"/>
            </w:tcBorders>
            <w:noWrap w:val="0"/>
            <w:vAlign w:val="center"/>
          </w:tcPr>
          <w:p>
            <w:pPr>
              <w:jc w:val="center"/>
              <w:rPr>
                <w:rFonts w:hint="eastAsia" w:eastAsia="宋体"/>
                <w:sz w:val="20"/>
              </w:rPr>
            </w:pPr>
          </w:p>
        </w:tc>
        <w:tc>
          <w:tcPr>
            <w:tcW w:w="1200" w:type="dxa"/>
            <w:tcBorders>
              <w:top w:val="nil"/>
              <w:left w:val="single" w:color="auto" w:sz="4" w:space="0"/>
              <w:bottom w:val="single" w:color="auto" w:sz="4" w:space="0"/>
              <w:right w:val="nil"/>
            </w:tcBorders>
            <w:noWrap w:val="0"/>
            <w:vAlign w:val="center"/>
          </w:tcPr>
          <w:p>
            <w:pPr>
              <w:jc w:val="center"/>
              <w:rPr>
                <w:rFonts w:hint="eastAsia" w:eastAsia="宋体"/>
                <w:sz w:val="20"/>
              </w:rPr>
            </w:pPr>
          </w:p>
        </w:tc>
        <w:tc>
          <w:tcPr>
            <w:tcW w:w="1342" w:type="dxa"/>
            <w:tcBorders>
              <w:top w:val="nil"/>
              <w:left w:val="single" w:color="auto" w:sz="4" w:space="0"/>
              <w:bottom w:val="single" w:color="auto" w:sz="4" w:space="0"/>
              <w:right w:val="single" w:color="auto" w:sz="4" w:space="0"/>
            </w:tcBorders>
            <w:noWrap w:val="0"/>
            <w:vAlign w:val="center"/>
          </w:tcPr>
          <w:p>
            <w:pPr>
              <w:jc w:val="center"/>
              <w:rPr>
                <w:rFonts w:hint="eastAsia" w:eastAsia="宋体"/>
                <w:b w:val="0"/>
                <w:bCs/>
                <w:sz w:val="20"/>
              </w:rPr>
            </w:pPr>
            <w:r>
              <w:rPr>
                <w:rFonts w:hint="eastAsia" w:ascii="仿宋_GB2312"/>
                <w:b w:val="0"/>
                <w:bCs/>
                <w:color w:val="000000"/>
                <w:kern w:val="0"/>
                <w:sz w:val="20"/>
              </w:rPr>
              <w:t>十一、其他支出</w:t>
            </w:r>
          </w:p>
        </w:tc>
        <w:tc>
          <w:tcPr>
            <w:tcW w:w="1156"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p>
        </w:tc>
        <w:tc>
          <w:tcPr>
            <w:tcW w:w="1182" w:type="dxa"/>
            <w:gridSpan w:val="2"/>
            <w:tcBorders>
              <w:top w:val="nil"/>
              <w:left w:val="nil"/>
              <w:bottom w:val="single" w:color="auto" w:sz="4" w:space="0"/>
              <w:right w:val="single" w:color="auto" w:sz="4" w:space="0"/>
            </w:tcBorders>
            <w:noWrap w:val="0"/>
            <w:vAlign w:val="center"/>
          </w:tcPr>
          <w:p>
            <w:pPr>
              <w:jc w:val="center"/>
              <w:rPr>
                <w:rFonts w:hint="eastAsia" w:eastAsia="宋体"/>
                <w:sz w:val="20"/>
              </w:rPr>
            </w:pPr>
          </w:p>
        </w:tc>
        <w:tc>
          <w:tcPr>
            <w:tcW w:w="1158" w:type="dxa"/>
            <w:tcBorders>
              <w:top w:val="nil"/>
              <w:left w:val="nil"/>
              <w:bottom w:val="single" w:color="auto" w:sz="4" w:space="0"/>
              <w:right w:val="single" w:color="auto" w:sz="4" w:space="0"/>
            </w:tcBorders>
            <w:noWrap w:val="0"/>
            <w:vAlign w:val="center"/>
          </w:tcPr>
          <w:p>
            <w:pPr>
              <w:jc w:val="center"/>
              <w:rPr>
                <w:rFonts w:hint="eastAsia" w:eastAsia="宋体"/>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bCs/>
                <w:kern w:val="0"/>
                <w:sz w:val="20"/>
              </w:rPr>
            </w:pPr>
            <w:r>
              <w:rPr>
                <w:rFonts w:eastAsia="宋体"/>
                <w:b/>
                <w:bCs/>
                <w:kern w:val="0"/>
                <w:sz w:val="20"/>
              </w:rPr>
              <w:t>本年收入</w:t>
            </w:r>
            <w:r>
              <w:rPr>
                <w:rFonts w:hint="eastAsia" w:eastAsia="宋体"/>
                <w:b/>
                <w:bCs/>
                <w:kern w:val="0"/>
                <w:sz w:val="20"/>
                <w:lang w:val="en-US" w:eastAsia="zh-CN"/>
              </w:rPr>
              <w:t xml:space="preserve">       </w:t>
            </w:r>
            <w:r>
              <w:rPr>
                <w:rFonts w:eastAsia="宋体"/>
                <w:b/>
                <w:bCs/>
                <w:kern w:val="0"/>
                <w:sz w:val="20"/>
              </w:rPr>
              <w:t>合计</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rPr>
              <w:t>1790.87</w:t>
            </w: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bCs/>
                <w:kern w:val="0"/>
                <w:sz w:val="20"/>
              </w:rPr>
            </w:pPr>
            <w:r>
              <w:rPr>
                <w:rFonts w:eastAsia="宋体"/>
                <w:b/>
                <w:bCs/>
                <w:kern w:val="0"/>
                <w:sz w:val="20"/>
              </w:rPr>
              <w:t>本年支出</w:t>
            </w:r>
            <w:r>
              <w:rPr>
                <w:rFonts w:hint="eastAsia" w:eastAsia="宋体"/>
                <w:b/>
                <w:bCs/>
                <w:kern w:val="0"/>
                <w:sz w:val="20"/>
                <w:lang w:val="en-US" w:eastAsia="zh-CN"/>
              </w:rPr>
              <w:t xml:space="preserve">  </w:t>
            </w:r>
            <w:r>
              <w:rPr>
                <w:rFonts w:eastAsia="宋体"/>
                <w:b/>
                <w:bCs/>
                <w:kern w:val="0"/>
                <w:sz w:val="20"/>
              </w:rPr>
              <w:t>合计</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bCs/>
                <w:kern w:val="0"/>
                <w:sz w:val="20"/>
              </w:rPr>
            </w:pP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eastAsia="宋体"/>
                <w:sz w:val="20"/>
              </w:rPr>
            </w:pPr>
            <w:r>
              <w:rPr>
                <w:rFonts w:hint="eastAsia" w:eastAsia="宋体"/>
                <w:sz w:val="20"/>
              </w:rPr>
              <w:t>财政拨款结转</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eastAsia="宋体"/>
                <w:kern w:val="0"/>
                <w:sz w:val="20"/>
              </w:rPr>
              <w:t>结转下年</w:t>
            </w:r>
            <w:r>
              <w:rPr>
                <w:rFonts w:hint="eastAsia" w:eastAsia="宋体"/>
                <w:kern w:val="0"/>
                <w:sz w:val="20"/>
                <w:lang w:val="en-US" w:eastAsia="zh-CN"/>
              </w:rPr>
              <w:t xml:space="preserve">  </w:t>
            </w:r>
            <w:r>
              <w:rPr>
                <w:rFonts w:hint="eastAsia" w:eastAsia="宋体"/>
                <w:kern w:val="0"/>
                <w:sz w:val="20"/>
              </w:rPr>
              <w:t>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1182" w:type="dxa"/>
            <w:gridSpan w:val="2"/>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eastAsia="宋体"/>
                <w:sz w:val="20"/>
              </w:rPr>
            </w:pPr>
            <w:r>
              <w:rPr>
                <w:rFonts w:hint="eastAsia" w:eastAsia="宋体"/>
                <w:sz w:val="20"/>
              </w:rPr>
              <w:t>其他收入结转结余</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eastAsia="宋体"/>
                <w:sz w:val="20"/>
              </w:rPr>
            </w:pPr>
            <w:r>
              <w:rPr>
                <w:rFonts w:eastAsia="黑体"/>
                <w:b/>
                <w:bCs/>
                <w:kern w:val="0"/>
                <w:sz w:val="20"/>
              </w:rPr>
              <w:t>收入总计</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rPr>
              <w:t>1790.87</w:t>
            </w: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eastAsia="黑体"/>
                <w:b/>
                <w:bCs/>
                <w:kern w:val="0"/>
                <w:sz w:val="20"/>
              </w:rPr>
              <w:t>支出总计</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rPr>
              <w:t>1790.87</w:t>
            </w: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bl>
    <w:p>
      <w:pPr>
        <w:ind w:firstLine="640" w:firstLineChars="200"/>
        <w:rPr>
          <w:rFonts w:eastAsia="楷体_GB2312"/>
          <w:strike/>
        </w:rPr>
      </w:pPr>
    </w:p>
    <w:p>
      <w:pPr>
        <w:ind w:firstLine="645"/>
        <w:rPr>
          <w:rFonts w:hAnsi="楷体" w:eastAsia="楷体"/>
        </w:rPr>
      </w:pPr>
    </w:p>
    <w:p>
      <w:pPr>
        <w:ind w:firstLine="645"/>
        <w:rPr>
          <w:rFonts w:eastAsia="楷体"/>
        </w:rPr>
      </w:pPr>
      <w:r>
        <w:rPr>
          <w:rFonts w:hAnsi="楷体" w:eastAsia="楷体"/>
        </w:rPr>
        <w:br w:type="page"/>
      </w:r>
    </w:p>
    <w:p>
      <w:pPr>
        <w:jc w:val="center"/>
        <w:rPr>
          <w:rFonts w:eastAsia="方正小标宋简体"/>
          <w:sz w:val="36"/>
          <w:szCs w:val="36"/>
        </w:rPr>
      </w:pPr>
      <w:r>
        <w:rPr>
          <w:rFonts w:eastAsia="方正小标宋简体"/>
          <w:sz w:val="36"/>
          <w:szCs w:val="36"/>
        </w:rPr>
        <w:t>收入</w:t>
      </w:r>
      <w:r>
        <w:rPr>
          <w:rFonts w:hint="eastAsia" w:eastAsia="方正小标宋简体"/>
          <w:sz w:val="36"/>
          <w:szCs w:val="36"/>
        </w:rPr>
        <w:t>总</w:t>
      </w:r>
      <w:r>
        <w:rPr>
          <w:rFonts w:eastAsia="方正小标宋简体"/>
          <w:sz w:val="36"/>
          <w:szCs w:val="36"/>
        </w:rPr>
        <w:t>表</w:t>
      </w:r>
    </w:p>
    <w:tbl>
      <w:tblPr>
        <w:tblStyle w:val="9"/>
        <w:tblW w:w="0" w:type="auto"/>
        <w:jc w:val="center"/>
        <w:tblLayout w:type="fixed"/>
        <w:tblCellMar>
          <w:top w:w="0" w:type="dxa"/>
          <w:left w:w="108" w:type="dxa"/>
          <w:bottom w:w="0" w:type="dxa"/>
          <w:right w:w="108" w:type="dxa"/>
        </w:tblCellMar>
      </w:tblPr>
      <w:tblGrid>
        <w:gridCol w:w="428"/>
        <w:gridCol w:w="1000"/>
        <w:gridCol w:w="416"/>
        <w:gridCol w:w="416"/>
        <w:gridCol w:w="416"/>
        <w:gridCol w:w="416"/>
        <w:gridCol w:w="416"/>
        <w:gridCol w:w="416"/>
        <w:gridCol w:w="416"/>
        <w:gridCol w:w="218"/>
        <w:gridCol w:w="198"/>
        <w:gridCol w:w="416"/>
        <w:gridCol w:w="416"/>
        <w:gridCol w:w="31"/>
        <w:gridCol w:w="385"/>
        <w:gridCol w:w="146"/>
        <w:gridCol w:w="270"/>
        <w:gridCol w:w="261"/>
        <w:gridCol w:w="155"/>
        <w:gridCol w:w="376"/>
        <w:gridCol w:w="40"/>
        <w:gridCol w:w="416"/>
        <w:gridCol w:w="416"/>
        <w:gridCol w:w="416"/>
        <w:gridCol w:w="428"/>
      </w:tblGrid>
      <w:tr>
        <w:tblPrEx>
          <w:tblCellMar>
            <w:top w:w="0" w:type="dxa"/>
            <w:left w:w="108" w:type="dxa"/>
            <w:bottom w:w="0" w:type="dxa"/>
            <w:right w:w="108" w:type="dxa"/>
          </w:tblCellMar>
        </w:tblPrEx>
        <w:trPr>
          <w:trHeight w:val="441" w:hRule="atLeast"/>
          <w:jc w:val="center"/>
        </w:trPr>
        <w:tc>
          <w:tcPr>
            <w:tcW w:w="428" w:type="dxa"/>
            <w:tcBorders>
              <w:bottom w:val="single" w:color="000000" w:sz="4" w:space="0"/>
            </w:tcBorders>
            <w:noWrap w:val="0"/>
            <w:vAlign w:val="top"/>
          </w:tcPr>
          <w:p>
            <w:pPr>
              <w:autoSpaceDN w:val="0"/>
              <w:jc w:val="left"/>
              <w:textAlignment w:val="center"/>
              <w:rPr>
                <w:rFonts w:eastAsia="华文细黑"/>
                <w:color w:val="000000"/>
                <w:sz w:val="20"/>
              </w:rPr>
            </w:pPr>
          </w:p>
        </w:tc>
        <w:tc>
          <w:tcPr>
            <w:tcW w:w="4130" w:type="dxa"/>
            <w:gridSpan w:val="9"/>
            <w:tcBorders>
              <w:bottom w:val="single" w:color="000000" w:sz="4" w:space="0"/>
            </w:tcBorders>
            <w:noWrap w:val="0"/>
            <w:vAlign w:val="center"/>
          </w:tcPr>
          <w:p>
            <w:pPr>
              <w:autoSpaceDN w:val="0"/>
              <w:jc w:val="left"/>
              <w:textAlignment w:val="center"/>
              <w:rPr>
                <w:rFonts w:eastAsia="华文细黑"/>
                <w:color w:val="000000"/>
                <w:sz w:val="20"/>
              </w:rPr>
            </w:pPr>
          </w:p>
        </w:tc>
        <w:tc>
          <w:tcPr>
            <w:tcW w:w="1061" w:type="dxa"/>
            <w:gridSpan w:val="4"/>
            <w:noWrap w:val="0"/>
            <w:vAlign w:val="center"/>
          </w:tcPr>
          <w:p>
            <w:pPr>
              <w:autoSpaceDN w:val="0"/>
              <w:jc w:val="left"/>
              <w:textAlignment w:val="center"/>
              <w:rPr>
                <w:rFonts w:eastAsia="华文细黑"/>
                <w:color w:val="000000"/>
                <w:sz w:val="20"/>
              </w:rPr>
            </w:pPr>
          </w:p>
        </w:tc>
        <w:tc>
          <w:tcPr>
            <w:tcW w:w="531" w:type="dxa"/>
            <w:gridSpan w:val="2"/>
            <w:noWrap w:val="0"/>
            <w:vAlign w:val="center"/>
          </w:tcPr>
          <w:p>
            <w:pPr>
              <w:autoSpaceDN w:val="0"/>
              <w:jc w:val="left"/>
              <w:textAlignment w:val="center"/>
              <w:rPr>
                <w:rFonts w:eastAsia="华文细黑"/>
                <w:color w:val="000000"/>
                <w:sz w:val="20"/>
              </w:rPr>
            </w:pPr>
          </w:p>
        </w:tc>
        <w:tc>
          <w:tcPr>
            <w:tcW w:w="531" w:type="dxa"/>
            <w:gridSpan w:val="2"/>
            <w:noWrap w:val="0"/>
            <w:vAlign w:val="center"/>
          </w:tcPr>
          <w:p>
            <w:pPr>
              <w:autoSpaceDN w:val="0"/>
              <w:jc w:val="left"/>
              <w:textAlignment w:val="center"/>
              <w:rPr>
                <w:rFonts w:eastAsia="华文细黑"/>
                <w:color w:val="000000"/>
                <w:sz w:val="20"/>
              </w:rPr>
            </w:pPr>
          </w:p>
        </w:tc>
        <w:tc>
          <w:tcPr>
            <w:tcW w:w="531" w:type="dxa"/>
            <w:gridSpan w:val="2"/>
            <w:noWrap w:val="0"/>
            <w:vAlign w:val="bottom"/>
          </w:tcPr>
          <w:p>
            <w:pPr>
              <w:autoSpaceDN w:val="0"/>
              <w:jc w:val="left"/>
              <w:textAlignment w:val="bottom"/>
              <w:rPr>
                <w:rFonts w:eastAsia="宋体"/>
                <w:color w:val="000000"/>
                <w:sz w:val="20"/>
              </w:rPr>
            </w:pPr>
          </w:p>
        </w:tc>
        <w:tc>
          <w:tcPr>
            <w:tcW w:w="1716" w:type="dxa"/>
            <w:gridSpan w:val="5"/>
            <w:noWrap w:val="0"/>
            <w:vAlign w:val="top"/>
          </w:tcPr>
          <w:p>
            <w:pPr>
              <w:wordWrap w:val="0"/>
              <w:autoSpaceDN w:val="0"/>
              <w:jc w:val="right"/>
              <w:textAlignment w:val="center"/>
              <w:rPr>
                <w:rFonts w:eastAsia="宋体"/>
                <w:color w:val="000000"/>
                <w:sz w:val="20"/>
              </w:rPr>
            </w:pPr>
            <w:r>
              <w:rPr>
                <w:rFonts w:eastAsia="宋体"/>
                <w:color w:val="000000"/>
                <w:sz w:val="20"/>
              </w:rPr>
              <w:t xml:space="preserve">  单位：万元</w:t>
            </w:r>
          </w:p>
        </w:tc>
      </w:tr>
      <w:tr>
        <w:tblPrEx>
          <w:tblCellMar>
            <w:top w:w="0" w:type="dxa"/>
            <w:left w:w="108" w:type="dxa"/>
            <w:bottom w:w="0" w:type="dxa"/>
            <w:right w:w="108" w:type="dxa"/>
          </w:tblCellMar>
        </w:tblPrEx>
        <w:trPr>
          <w:trHeight w:val="418" w:hRule="atLeast"/>
          <w:jc w:val="center"/>
        </w:trPr>
        <w:tc>
          <w:tcPr>
            <w:tcW w:w="1428"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宋体"/>
                <w:color w:val="000000"/>
                <w:sz w:val="20"/>
              </w:rPr>
            </w:pPr>
            <w:r>
              <w:rPr>
                <w:rFonts w:hint="eastAsia" w:eastAsia="宋体"/>
                <w:color w:val="000000"/>
                <w:sz w:val="20"/>
              </w:rPr>
              <w:t>部门       （单位）</w:t>
            </w:r>
          </w:p>
        </w:tc>
        <w:tc>
          <w:tcPr>
            <w:tcW w:w="416" w:type="dxa"/>
            <w:vMerge w:val="restart"/>
            <w:tcBorders>
              <w:top w:val="single" w:color="000000" w:sz="4" w:space="0"/>
              <w:left w:val="single" w:color="000000" w:sz="4" w:space="0"/>
              <w:right w:val="single" w:color="000000" w:sz="4" w:space="0"/>
            </w:tcBorders>
            <w:noWrap w:val="0"/>
            <w:vAlign w:val="center"/>
          </w:tcPr>
          <w:p>
            <w:pPr>
              <w:shd w:val="solid" w:color="FFFFFF" w:fill="auto"/>
              <w:autoSpaceDN w:val="0"/>
              <w:jc w:val="center"/>
              <w:textAlignment w:val="center"/>
              <w:rPr>
                <w:rFonts w:hint="eastAsia" w:eastAsia="宋体"/>
                <w:color w:val="000000"/>
                <w:sz w:val="20"/>
              </w:rPr>
            </w:pPr>
            <w:r>
              <w:rPr>
                <w:rFonts w:hint="eastAsia" w:eastAsia="宋体"/>
                <w:color w:val="000000"/>
                <w:sz w:val="20"/>
              </w:rPr>
              <w:t>总计</w:t>
            </w:r>
          </w:p>
        </w:tc>
        <w:tc>
          <w:tcPr>
            <w:tcW w:w="4160" w:type="dxa"/>
            <w:gridSpan w:val="12"/>
            <w:tcBorders>
              <w:top w:val="single" w:color="000000" w:sz="4" w:space="0"/>
              <w:left w:val="single" w:color="000000" w:sz="4" w:space="0"/>
              <w:bottom w:val="single" w:color="000000" w:sz="4" w:space="0"/>
              <w:right w:val="single" w:color="000000" w:sz="4" w:space="0"/>
            </w:tcBorders>
            <w:noWrap w:val="0"/>
            <w:vAlign w:val="center"/>
          </w:tcPr>
          <w:p>
            <w:pPr>
              <w:shd w:val="solid" w:color="FFFFFF" w:fill="auto"/>
              <w:autoSpaceDN w:val="0"/>
              <w:jc w:val="center"/>
              <w:textAlignment w:val="center"/>
              <w:rPr>
                <w:rFonts w:hint="eastAsia" w:eastAsia="宋体"/>
                <w:color w:val="000000"/>
                <w:sz w:val="20"/>
                <w:lang w:eastAsia="zh-CN"/>
              </w:rPr>
            </w:pPr>
            <w:r>
              <w:rPr>
                <w:rFonts w:hint="eastAsia" w:eastAsia="宋体"/>
                <w:color w:val="000000"/>
                <w:sz w:val="20"/>
                <w:lang w:eastAsia="zh-CN"/>
              </w:rPr>
              <w:t>当年预算</w:t>
            </w:r>
          </w:p>
        </w:tc>
        <w:tc>
          <w:tcPr>
            <w:tcW w:w="2924" w:type="dxa"/>
            <w:gridSpan w:val="10"/>
            <w:tcBorders>
              <w:top w:val="single" w:color="000000" w:sz="4" w:space="0"/>
              <w:left w:val="single" w:color="000000" w:sz="4" w:space="0"/>
              <w:bottom w:val="single" w:color="000000" w:sz="4" w:space="0"/>
              <w:right w:val="single" w:color="000000" w:sz="4" w:space="0"/>
            </w:tcBorders>
            <w:noWrap w:val="0"/>
            <w:vAlign w:val="center"/>
          </w:tcPr>
          <w:p>
            <w:pPr>
              <w:shd w:val="solid" w:color="FFFFFF" w:fill="auto"/>
              <w:autoSpaceDN w:val="0"/>
              <w:jc w:val="center"/>
              <w:textAlignment w:val="center"/>
              <w:rPr>
                <w:rFonts w:hint="eastAsia" w:eastAsia="宋体"/>
                <w:color w:val="000000"/>
                <w:sz w:val="20"/>
              </w:rPr>
            </w:pPr>
            <w:r>
              <w:rPr>
                <w:rFonts w:hint="eastAsia" w:eastAsia="宋体"/>
                <w:color w:val="000000"/>
                <w:sz w:val="20"/>
              </w:rPr>
              <w:t>上年结转结余</w:t>
            </w:r>
          </w:p>
        </w:tc>
      </w:tr>
      <w:tr>
        <w:tblPrEx>
          <w:tblCellMar>
            <w:top w:w="0" w:type="dxa"/>
            <w:left w:w="108" w:type="dxa"/>
            <w:bottom w:w="0" w:type="dxa"/>
            <w:right w:w="108" w:type="dxa"/>
          </w:tblCellMar>
        </w:tblPrEx>
        <w:trPr>
          <w:trHeight w:val="1157" w:hRule="atLeast"/>
          <w:jc w:val="center"/>
        </w:trPr>
        <w:tc>
          <w:tcPr>
            <w:tcW w:w="1428"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eastAsia="宋体"/>
                <w:sz w:val="20"/>
              </w:rPr>
            </w:pPr>
          </w:p>
        </w:tc>
        <w:tc>
          <w:tcPr>
            <w:tcW w:w="416" w:type="dxa"/>
            <w:vMerge w:val="continue"/>
            <w:tcBorders>
              <w:left w:val="single" w:color="000000" w:sz="4" w:space="0"/>
              <w:bottom w:val="single" w:color="000000" w:sz="4" w:space="0"/>
              <w:right w:val="single" w:color="000000" w:sz="4" w:space="0"/>
            </w:tcBorders>
            <w:shd w:val="clear" w:color="auto" w:fill="auto"/>
            <w:noWrap w:val="0"/>
            <w:vAlign w:val="center"/>
          </w:tcPr>
          <w:p>
            <w:pPr>
              <w:autoSpaceDN w:val="0"/>
              <w:jc w:val="center"/>
              <w:rPr>
                <w:rFonts w:eastAsia="宋体"/>
                <w:sz w:val="20"/>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rPr>
            </w:pPr>
            <w:r>
              <w:rPr>
                <w:rFonts w:hint="eastAsia" w:eastAsia="宋体"/>
                <w:sz w:val="20"/>
              </w:rPr>
              <w:t>小计</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一般公</w:t>
            </w:r>
          </w:p>
          <w:p>
            <w:pPr>
              <w:autoSpaceDN w:val="0"/>
              <w:jc w:val="center"/>
              <w:rPr>
                <w:rFonts w:hint="eastAsia" w:eastAsia="宋体"/>
                <w:sz w:val="20"/>
              </w:rPr>
            </w:pPr>
            <w:r>
              <w:rPr>
                <w:rFonts w:hint="eastAsia" w:eastAsia="宋体"/>
                <w:sz w:val="20"/>
              </w:rPr>
              <w:t>共预算</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政府性基</w:t>
            </w:r>
          </w:p>
          <w:p>
            <w:pPr>
              <w:autoSpaceDN w:val="0"/>
              <w:jc w:val="center"/>
              <w:rPr>
                <w:rFonts w:hint="eastAsia" w:eastAsia="宋体"/>
                <w:sz w:val="20"/>
              </w:rPr>
            </w:pPr>
            <w:r>
              <w:rPr>
                <w:rFonts w:hint="eastAsia" w:eastAsia="宋体"/>
                <w:sz w:val="20"/>
              </w:rPr>
              <w:t>金预算</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国有资本</w:t>
            </w:r>
          </w:p>
          <w:p>
            <w:pPr>
              <w:autoSpaceDN w:val="0"/>
              <w:jc w:val="center"/>
              <w:rPr>
                <w:rFonts w:hint="eastAsia" w:eastAsia="宋体"/>
                <w:sz w:val="20"/>
              </w:rPr>
            </w:pPr>
            <w:r>
              <w:rPr>
                <w:rFonts w:hint="eastAsia" w:eastAsia="宋体"/>
                <w:sz w:val="20"/>
              </w:rPr>
              <w:t>经营预算</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财政专户</w:t>
            </w:r>
          </w:p>
          <w:p>
            <w:pPr>
              <w:autoSpaceDN w:val="0"/>
              <w:jc w:val="center"/>
              <w:rPr>
                <w:rFonts w:hint="eastAsia" w:eastAsia="宋体"/>
                <w:sz w:val="20"/>
              </w:rPr>
            </w:pPr>
            <w:r>
              <w:rPr>
                <w:rFonts w:hint="eastAsia" w:eastAsia="宋体"/>
                <w:sz w:val="20"/>
              </w:rPr>
              <w:t>管理资金</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rPr>
            </w:pPr>
            <w:r>
              <w:rPr>
                <w:rFonts w:hint="eastAsia" w:eastAsia="宋体"/>
                <w:sz w:val="20"/>
              </w:rPr>
              <w:t>事业收入</w:t>
            </w: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事业单位</w:t>
            </w:r>
          </w:p>
          <w:p>
            <w:pPr>
              <w:autoSpaceDN w:val="0"/>
              <w:jc w:val="center"/>
              <w:rPr>
                <w:rFonts w:hint="eastAsia" w:eastAsia="宋体"/>
                <w:sz w:val="20"/>
              </w:rPr>
            </w:pPr>
            <w:r>
              <w:rPr>
                <w:rFonts w:hint="eastAsia" w:eastAsia="宋体"/>
                <w:sz w:val="20"/>
              </w:rPr>
              <w:t>经营收入</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上级</w:t>
            </w:r>
          </w:p>
          <w:p>
            <w:pPr>
              <w:autoSpaceDN w:val="0"/>
              <w:jc w:val="center"/>
              <w:rPr>
                <w:rFonts w:hint="eastAsia" w:eastAsia="宋体"/>
                <w:sz w:val="20"/>
                <w:lang w:eastAsia="zh-CN"/>
              </w:rPr>
            </w:pPr>
            <w:r>
              <w:rPr>
                <w:rFonts w:hint="eastAsia" w:eastAsia="宋体"/>
                <w:sz w:val="20"/>
              </w:rPr>
              <w:t>补助</w:t>
            </w:r>
          </w:p>
          <w:p>
            <w:pPr>
              <w:autoSpaceDN w:val="0"/>
              <w:jc w:val="center"/>
              <w:rPr>
                <w:rFonts w:hint="eastAsia" w:eastAsia="宋体"/>
                <w:sz w:val="20"/>
              </w:rPr>
            </w:pPr>
            <w:r>
              <w:rPr>
                <w:rFonts w:hint="eastAsia" w:eastAsia="宋体"/>
                <w:sz w:val="20"/>
              </w:rPr>
              <w:t>收入</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附属单位</w:t>
            </w:r>
          </w:p>
          <w:p>
            <w:pPr>
              <w:autoSpaceDN w:val="0"/>
              <w:jc w:val="center"/>
              <w:rPr>
                <w:rFonts w:hint="eastAsia" w:eastAsia="宋体"/>
                <w:sz w:val="20"/>
              </w:rPr>
            </w:pPr>
            <w:r>
              <w:rPr>
                <w:rFonts w:hint="eastAsia" w:eastAsia="宋体"/>
                <w:sz w:val="20"/>
              </w:rPr>
              <w:t>上缴收入</w:t>
            </w: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其他</w:t>
            </w:r>
          </w:p>
          <w:p>
            <w:pPr>
              <w:autoSpaceDN w:val="0"/>
              <w:jc w:val="center"/>
              <w:rPr>
                <w:rFonts w:hint="eastAsia" w:eastAsia="宋体"/>
                <w:sz w:val="20"/>
              </w:rPr>
            </w:pPr>
            <w:r>
              <w:rPr>
                <w:rFonts w:hint="eastAsia" w:eastAsia="宋体"/>
                <w:sz w:val="20"/>
              </w:rPr>
              <w:t>收入</w:t>
            </w: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widowControl/>
              <w:jc w:val="center"/>
              <w:textAlignment w:val="center"/>
              <w:rPr>
                <w:rFonts w:eastAsia="宋体"/>
                <w:sz w:val="20"/>
              </w:rPr>
            </w:pPr>
            <w:r>
              <w:rPr>
                <w:rFonts w:hint="eastAsia" w:ascii="华文细黑" w:hAnsi="华文细黑" w:eastAsia="华文细黑" w:cs="华文细黑"/>
                <w:color w:val="000000"/>
                <w:kern w:val="0"/>
                <w:sz w:val="16"/>
                <w:szCs w:val="16"/>
                <w:lang w:bidi="ar"/>
              </w:rPr>
              <w:t>小计</w:t>
            </w:r>
          </w:p>
        </w:tc>
        <w:tc>
          <w:tcPr>
            <w:tcW w:w="416" w:type="dxa"/>
            <w:gridSpan w:val="2"/>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utoSpaceDN w:val="0"/>
              <w:jc w:val="center"/>
              <w:rPr>
                <w:rFonts w:hint="eastAsia" w:eastAsia="宋体"/>
                <w:sz w:val="20"/>
              </w:rPr>
            </w:pPr>
            <w:r>
              <w:rPr>
                <w:rFonts w:hint="eastAsia" w:eastAsia="宋体"/>
                <w:sz w:val="20"/>
              </w:rPr>
              <w:t>一般公共预算拨款结转</w:t>
            </w:r>
          </w:p>
        </w:tc>
        <w:tc>
          <w:tcPr>
            <w:tcW w:w="416" w:type="dxa"/>
            <w:gridSpan w:val="2"/>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utoSpaceDN w:val="0"/>
              <w:jc w:val="center"/>
              <w:rPr>
                <w:rFonts w:hint="eastAsia" w:eastAsia="宋体"/>
                <w:sz w:val="20"/>
              </w:rPr>
            </w:pPr>
            <w:r>
              <w:rPr>
                <w:rFonts w:hint="eastAsia" w:eastAsia="宋体"/>
                <w:sz w:val="20"/>
              </w:rPr>
              <w:t>政府性基金预算拨款结转</w:t>
            </w:r>
          </w:p>
        </w:tc>
        <w:tc>
          <w:tcPr>
            <w:tcW w:w="416" w:type="dxa"/>
            <w:tcBorders>
              <w:top w:val="single" w:color="000000" w:sz="4" w:space="0"/>
              <w:left w:val="single" w:color="000000" w:sz="4" w:space="0"/>
              <w:bottom w:val="single" w:color="000000" w:sz="4" w:space="0"/>
              <w:right w:val="single" w:color="auto" w:sz="4" w:space="0"/>
            </w:tcBorders>
            <w:shd w:val="clear" w:color="auto" w:fill="FFFFFF"/>
            <w:noWrap w:val="0"/>
            <w:vAlign w:val="center"/>
          </w:tcPr>
          <w:p>
            <w:pPr>
              <w:autoSpaceDN w:val="0"/>
              <w:jc w:val="center"/>
              <w:rPr>
                <w:rFonts w:hint="eastAsia" w:eastAsia="宋体"/>
                <w:sz w:val="20"/>
              </w:rPr>
            </w:pPr>
            <w:r>
              <w:rPr>
                <w:rFonts w:hint="eastAsia" w:eastAsia="宋体"/>
                <w:sz w:val="20"/>
              </w:rPr>
              <w:t>国有资本经营预算拨款结转</w:t>
            </w:r>
          </w:p>
        </w:tc>
        <w:tc>
          <w:tcPr>
            <w:tcW w:w="416" w:type="dxa"/>
            <w:tcBorders>
              <w:top w:val="single" w:color="000000" w:sz="4" w:space="0"/>
              <w:left w:val="single" w:color="000000" w:sz="4" w:space="0"/>
              <w:bottom w:val="single" w:color="000000" w:sz="4" w:space="0"/>
              <w:right w:val="single" w:color="auto" w:sz="4" w:space="0"/>
            </w:tcBorders>
            <w:shd w:val="clear" w:color="auto" w:fill="FFFFFF"/>
            <w:noWrap w:val="0"/>
            <w:vAlign w:val="center"/>
          </w:tcPr>
          <w:p>
            <w:pPr>
              <w:autoSpaceDN w:val="0"/>
              <w:jc w:val="center"/>
              <w:rPr>
                <w:rFonts w:hint="eastAsia" w:eastAsia="宋体"/>
                <w:sz w:val="20"/>
              </w:rPr>
            </w:pPr>
            <w:r>
              <w:rPr>
                <w:rFonts w:hint="eastAsia" w:eastAsia="宋体"/>
                <w:sz w:val="20"/>
              </w:rPr>
              <w:t>财政专户管理资金结转结余</w:t>
            </w:r>
          </w:p>
        </w:tc>
        <w:tc>
          <w:tcPr>
            <w:tcW w:w="416"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utoSpaceDN w:val="0"/>
              <w:jc w:val="center"/>
              <w:rPr>
                <w:rFonts w:hint="eastAsia" w:eastAsia="宋体"/>
                <w:sz w:val="20"/>
              </w:rPr>
            </w:pPr>
            <w:r>
              <w:rPr>
                <w:rFonts w:hint="eastAsia" w:eastAsia="宋体"/>
                <w:sz w:val="20"/>
              </w:rPr>
              <w:t>单位资金结转结余</w:t>
            </w:r>
          </w:p>
        </w:tc>
        <w:tc>
          <w:tcPr>
            <w:tcW w:w="428"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rPr>
                <w:rFonts w:hint="eastAsia" w:eastAsia="宋体"/>
                <w:sz w:val="20"/>
                <w:lang w:eastAsia="zh-CN"/>
              </w:rPr>
            </w:pPr>
            <w:r>
              <w:rPr>
                <w:rFonts w:hint="eastAsia" w:eastAsia="宋体"/>
                <w:sz w:val="20"/>
              </w:rPr>
              <w:t>用事业基</w:t>
            </w:r>
          </w:p>
          <w:p>
            <w:pPr>
              <w:autoSpaceDN w:val="0"/>
              <w:jc w:val="center"/>
              <w:rPr>
                <w:rFonts w:hint="eastAsia" w:eastAsia="宋体"/>
                <w:sz w:val="20"/>
                <w:lang w:eastAsia="zh-CN"/>
              </w:rPr>
            </w:pPr>
            <w:r>
              <w:rPr>
                <w:rFonts w:hint="eastAsia" w:eastAsia="宋体"/>
                <w:sz w:val="20"/>
              </w:rPr>
              <w:t>金弥补收</w:t>
            </w:r>
          </w:p>
          <w:p>
            <w:pPr>
              <w:autoSpaceDN w:val="0"/>
              <w:jc w:val="center"/>
              <w:rPr>
                <w:rFonts w:hint="eastAsia" w:eastAsia="宋体"/>
                <w:sz w:val="20"/>
              </w:rPr>
            </w:pPr>
            <w:r>
              <w:rPr>
                <w:rFonts w:hint="eastAsia" w:eastAsia="宋体"/>
                <w:sz w:val="20"/>
              </w:rPr>
              <w:t>支差额</w:t>
            </w:r>
          </w:p>
        </w:tc>
      </w:tr>
      <w:tr>
        <w:tblPrEx>
          <w:tblCellMar>
            <w:top w:w="0" w:type="dxa"/>
            <w:left w:w="108" w:type="dxa"/>
            <w:bottom w:w="0" w:type="dxa"/>
            <w:right w:w="108" w:type="dxa"/>
          </w:tblCellMar>
        </w:tblPrEx>
        <w:trPr>
          <w:trHeight w:val="523" w:hRule="atLeast"/>
          <w:jc w:val="center"/>
        </w:trPr>
        <w:tc>
          <w:tcPr>
            <w:tcW w:w="1428" w:type="dxa"/>
            <w:gridSpan w:val="2"/>
            <w:tcBorders>
              <w:left w:val="single" w:color="000000" w:sz="4" w:space="0"/>
              <w:right w:val="single" w:color="000000" w:sz="4" w:space="0"/>
            </w:tcBorders>
            <w:noWrap w:val="0"/>
            <w:vAlign w:val="center"/>
          </w:tcPr>
          <w:p>
            <w:pPr>
              <w:widowControl/>
              <w:jc w:val="left"/>
              <w:rPr>
                <w:rFonts w:eastAsia="宋体"/>
                <w:color w:val="000000"/>
                <w:sz w:val="20"/>
              </w:rPr>
            </w:pPr>
            <w:r>
              <w:rPr>
                <w:rFonts w:hint="eastAsia" w:eastAsia="宋体"/>
                <w:color w:val="000000"/>
                <w:sz w:val="20"/>
              </w:rPr>
              <w:t>通榆县公安局交通巡逻警察大队</w:t>
            </w: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r>
              <w:rPr>
                <w:rFonts w:hint="eastAsia" w:eastAsia="宋体"/>
                <w:color w:val="000000"/>
                <w:sz w:val="20"/>
              </w:rPr>
              <w:t>1790.87</w:t>
            </w: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r>
              <w:rPr>
                <w:rFonts w:hint="eastAsia" w:eastAsia="宋体"/>
                <w:color w:val="000000"/>
                <w:sz w:val="20"/>
              </w:rPr>
              <w:t>1790.87</w:t>
            </w: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r>
              <w:rPr>
                <w:rFonts w:hint="eastAsia" w:eastAsia="宋体"/>
                <w:color w:val="000000"/>
                <w:sz w:val="20"/>
              </w:rPr>
              <w:t>1790.87</w:t>
            </w:r>
          </w:p>
        </w:tc>
        <w:tc>
          <w:tcPr>
            <w:tcW w:w="416" w:type="dxa"/>
            <w:tcBorders>
              <w:top w:val="single" w:color="000000" w:sz="4" w:space="0"/>
              <w:left w:val="single" w:color="000000" w:sz="4" w:space="0"/>
              <w:right w:val="single" w:color="000000" w:sz="4" w:space="0"/>
            </w:tcBorders>
            <w:noWrap w:val="0"/>
            <w:vAlign w:val="center"/>
          </w:tcPr>
          <w:p>
            <w:pPr>
              <w:shd w:val="solid" w:color="FFFFFF" w:fill="auto"/>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tcBorders>
              <w:top w:val="single" w:color="000000" w:sz="4" w:space="0"/>
              <w:left w:val="single" w:color="000000" w:sz="4" w:space="0"/>
              <w:bottom w:val="single" w:color="000000" w:sz="4" w:space="0"/>
              <w:right w:val="single" w:color="000000" w:sz="4" w:space="0"/>
            </w:tcBorders>
            <w:noWrap w:val="0"/>
            <w:vAlign w:val="top"/>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noWrap w:val="0"/>
            <w:vAlign w:val="top"/>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28"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r>
      <w:tr>
        <w:tblPrEx>
          <w:tblCellMar>
            <w:top w:w="0" w:type="dxa"/>
            <w:left w:w="108" w:type="dxa"/>
            <w:bottom w:w="0" w:type="dxa"/>
            <w:right w:w="108" w:type="dxa"/>
          </w:tblCellMar>
        </w:tblPrEx>
        <w:trPr>
          <w:trHeight w:val="481"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56"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80"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71"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61"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85"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60"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left"/>
              <w:textAlignment w:val="center"/>
              <w:rPr>
                <w:rFonts w:eastAsia="华文细黑"/>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r>
      <w:tr>
        <w:tblPrEx>
          <w:tblCellMar>
            <w:top w:w="0" w:type="dxa"/>
            <w:left w:w="108" w:type="dxa"/>
            <w:bottom w:w="0" w:type="dxa"/>
            <w:right w:w="108" w:type="dxa"/>
          </w:tblCellMar>
        </w:tblPrEx>
        <w:trPr>
          <w:trHeight w:val="438"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center"/>
              <w:textAlignment w:val="center"/>
              <w:rPr>
                <w:rFonts w:eastAsia="华文细黑"/>
                <w:color w:val="000000"/>
                <w:sz w:val="20"/>
                <w:shd w:val="clear" w:color="auto" w:fill="FFFFFF"/>
              </w:rPr>
            </w:pPr>
            <w:r>
              <w:rPr>
                <w:rFonts w:eastAsia="宋体"/>
                <w:kern w:val="0"/>
                <w:sz w:val="20"/>
              </w:rPr>
              <w:t>合计</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r>
              <w:rPr>
                <w:rFonts w:hint="eastAsia"/>
                <w:color w:val="000000"/>
                <w:sz w:val="20"/>
                <w:shd w:val="clear" w:color="auto" w:fill="FFFFFF"/>
              </w:rPr>
              <w:t>1790.87</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r>
              <w:rPr>
                <w:rFonts w:hint="eastAsia"/>
                <w:color w:val="000000"/>
                <w:sz w:val="20"/>
                <w:shd w:val="clear" w:color="auto" w:fill="FFFFFF"/>
              </w:rPr>
              <w:t>1790.87</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r>
              <w:rPr>
                <w:rFonts w:hint="eastAsia"/>
                <w:color w:val="000000"/>
                <w:sz w:val="20"/>
                <w:shd w:val="clear" w:color="auto" w:fill="FFFFFF"/>
              </w:rPr>
              <w:t>1790.87</w:t>
            </w: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r>
    </w:tbl>
    <w:p>
      <w:pPr>
        <w:ind w:firstLine="640" w:firstLineChars="200"/>
        <w:rPr>
          <w:rFonts w:eastAsia="楷体"/>
        </w:rPr>
      </w:pPr>
      <w:r>
        <w:rPr>
          <w:rFonts w:hAnsi="楷体" w:eastAsia="楷体"/>
        </w:rPr>
        <w:br w:type="page"/>
      </w:r>
    </w:p>
    <w:tbl>
      <w:tblPr>
        <w:tblStyle w:val="9"/>
        <w:tblW w:w="0" w:type="auto"/>
        <w:jc w:val="center"/>
        <w:tblLayout w:type="fixed"/>
        <w:tblCellMar>
          <w:top w:w="0" w:type="dxa"/>
          <w:left w:w="108" w:type="dxa"/>
          <w:bottom w:w="0" w:type="dxa"/>
          <w:right w:w="108" w:type="dxa"/>
        </w:tblCellMar>
      </w:tblPr>
      <w:tblGrid>
        <w:gridCol w:w="10405"/>
      </w:tblGrid>
      <w:tr>
        <w:tblPrEx>
          <w:tblCellMar>
            <w:top w:w="0" w:type="dxa"/>
            <w:left w:w="108" w:type="dxa"/>
            <w:bottom w:w="0" w:type="dxa"/>
            <w:right w:w="108" w:type="dxa"/>
          </w:tblCellMar>
        </w:tblPrEx>
        <w:trPr>
          <w:trHeight w:val="615" w:hRule="atLeast"/>
          <w:jc w:val="center"/>
        </w:trPr>
        <w:tc>
          <w:tcPr>
            <w:tcW w:w="10405" w:type="dxa"/>
            <w:tcBorders>
              <w:top w:val="nil"/>
              <w:left w:val="nil"/>
              <w:bottom w:val="nil"/>
              <w:right w:val="nil"/>
            </w:tcBorders>
            <w:noWrap w:val="0"/>
            <w:vAlign w:val="bottom"/>
          </w:tcPr>
          <w:p>
            <w:pPr>
              <w:widowControl/>
              <w:jc w:val="center"/>
              <w:rPr>
                <w:rFonts w:eastAsia="方正小标宋简体"/>
                <w:kern w:val="0"/>
                <w:sz w:val="36"/>
                <w:szCs w:val="36"/>
              </w:rPr>
            </w:pPr>
            <w:r>
              <w:rPr>
                <w:rFonts w:eastAsia="方正小标宋简体"/>
                <w:kern w:val="0"/>
                <w:sz w:val="36"/>
                <w:szCs w:val="36"/>
              </w:rPr>
              <w:t>支出</w:t>
            </w:r>
            <w:r>
              <w:rPr>
                <w:rFonts w:hint="eastAsia" w:eastAsia="方正小标宋简体"/>
                <w:kern w:val="0"/>
                <w:sz w:val="36"/>
                <w:szCs w:val="36"/>
              </w:rPr>
              <w:t>总</w:t>
            </w:r>
            <w:r>
              <w:rPr>
                <w:rFonts w:eastAsia="方正小标宋简体"/>
                <w:kern w:val="0"/>
                <w:sz w:val="36"/>
                <w:szCs w:val="36"/>
              </w:rPr>
              <w:t>表</w:t>
            </w:r>
          </w:p>
          <w:tbl>
            <w:tblPr>
              <w:tblStyle w:val="9"/>
              <w:tblW w:w="9843" w:type="dxa"/>
              <w:tblInd w:w="445" w:type="dxa"/>
              <w:tblLayout w:type="fixed"/>
              <w:tblCellMar>
                <w:top w:w="15" w:type="dxa"/>
                <w:left w:w="15" w:type="dxa"/>
                <w:bottom w:w="15" w:type="dxa"/>
                <w:right w:w="15" w:type="dxa"/>
              </w:tblCellMar>
            </w:tblPr>
            <w:tblGrid>
              <w:gridCol w:w="2150"/>
              <w:gridCol w:w="1267"/>
              <w:gridCol w:w="1306"/>
              <w:gridCol w:w="1090"/>
              <w:gridCol w:w="1297"/>
              <w:gridCol w:w="1267"/>
              <w:gridCol w:w="30"/>
              <w:gridCol w:w="1297"/>
              <w:gridCol w:w="139"/>
            </w:tblGrid>
            <w:tr>
              <w:tblPrEx>
                <w:tblCellMar>
                  <w:top w:w="15" w:type="dxa"/>
                  <w:left w:w="15" w:type="dxa"/>
                  <w:bottom w:w="15" w:type="dxa"/>
                  <w:right w:w="15" w:type="dxa"/>
                </w:tblCellMar>
              </w:tblPrEx>
              <w:trPr>
                <w:gridAfter w:val="1"/>
                <w:wAfter w:w="139" w:type="dxa"/>
                <w:trHeight w:val="390" w:hRule="atLeast"/>
              </w:trPr>
              <w:tc>
                <w:tcPr>
                  <w:tcW w:w="5813" w:type="dxa"/>
                  <w:gridSpan w:val="4"/>
                  <w:tcBorders>
                    <w:bottom w:val="single" w:color="000000" w:sz="4" w:space="0"/>
                  </w:tcBorders>
                  <w:noWrap w:val="0"/>
                  <w:vAlign w:val="center"/>
                </w:tcPr>
                <w:p>
                  <w:pPr>
                    <w:widowControl/>
                    <w:jc w:val="left"/>
                    <w:rPr>
                      <w:rFonts w:eastAsia="华文细黑"/>
                      <w:color w:val="000000"/>
                      <w:kern w:val="0"/>
                      <w:sz w:val="20"/>
                    </w:rPr>
                  </w:pPr>
                </w:p>
              </w:tc>
              <w:tc>
                <w:tcPr>
                  <w:tcW w:w="1297" w:type="dxa"/>
                  <w:tcBorders>
                    <w:bottom w:val="single" w:color="000000" w:sz="4" w:space="0"/>
                  </w:tcBorders>
                  <w:noWrap w:val="0"/>
                  <w:vAlign w:val="center"/>
                </w:tcPr>
                <w:p>
                  <w:pPr>
                    <w:widowControl/>
                    <w:jc w:val="right"/>
                    <w:rPr>
                      <w:rFonts w:eastAsia="华文细黑"/>
                      <w:color w:val="000000"/>
                      <w:kern w:val="0"/>
                      <w:sz w:val="20"/>
                    </w:rPr>
                  </w:pPr>
                </w:p>
              </w:tc>
              <w:tc>
                <w:tcPr>
                  <w:tcW w:w="1297" w:type="dxa"/>
                  <w:gridSpan w:val="2"/>
                  <w:tcBorders>
                    <w:bottom w:val="single" w:color="000000" w:sz="4" w:space="0"/>
                  </w:tcBorders>
                  <w:noWrap w:val="0"/>
                  <w:vAlign w:val="center"/>
                </w:tcPr>
                <w:p>
                  <w:pPr>
                    <w:widowControl/>
                    <w:jc w:val="right"/>
                    <w:rPr>
                      <w:rFonts w:eastAsia="华文细黑"/>
                      <w:color w:val="000000"/>
                      <w:kern w:val="0"/>
                      <w:sz w:val="20"/>
                    </w:rPr>
                  </w:pPr>
                </w:p>
              </w:tc>
              <w:tc>
                <w:tcPr>
                  <w:tcW w:w="1297" w:type="dxa"/>
                  <w:tcBorders>
                    <w:bottom w:val="single" w:color="000000" w:sz="4" w:space="0"/>
                  </w:tcBorders>
                  <w:noWrap w:val="0"/>
                  <w:vAlign w:val="center"/>
                </w:tcPr>
                <w:p>
                  <w:pPr>
                    <w:widowControl/>
                    <w:jc w:val="right"/>
                    <w:rPr>
                      <w:rFonts w:eastAsia="华文细黑"/>
                      <w:color w:val="000000"/>
                      <w:kern w:val="0"/>
                      <w:sz w:val="20"/>
                    </w:rPr>
                  </w:pPr>
                  <w:r>
                    <w:rPr>
                      <w:rFonts w:eastAsia="华文细黑"/>
                      <w:color w:val="000000"/>
                      <w:kern w:val="0"/>
                      <w:sz w:val="20"/>
                    </w:rPr>
                    <w:t>单位：万元</w:t>
                  </w:r>
                </w:p>
              </w:tc>
            </w:tr>
            <w:tr>
              <w:tblPrEx>
                <w:tblCellMar>
                  <w:top w:w="15" w:type="dxa"/>
                  <w:left w:w="15" w:type="dxa"/>
                  <w:bottom w:w="15" w:type="dxa"/>
                  <w:right w:w="15" w:type="dxa"/>
                </w:tblCellMar>
              </w:tblPrEx>
              <w:trPr>
                <w:trHeight w:val="1420" w:hRule="atLeast"/>
              </w:trPr>
              <w:tc>
                <w:tcPr>
                  <w:tcW w:w="2150" w:type="dxa"/>
                  <w:tcBorders>
                    <w:left w:val="single" w:color="000000" w:sz="4" w:space="0"/>
                    <w:bottom w:val="single" w:color="000000" w:sz="4" w:space="0"/>
                    <w:right w:val="single" w:color="000000" w:sz="4" w:space="0"/>
                  </w:tcBorders>
                  <w:noWrap w:val="0"/>
                  <w:vAlign w:val="center"/>
                </w:tcPr>
                <w:p>
                  <w:pPr>
                    <w:autoSpaceDN w:val="0"/>
                    <w:jc w:val="center"/>
                    <w:textAlignment w:val="center"/>
                    <w:rPr>
                      <w:rFonts w:eastAsia="宋体"/>
                      <w:color w:val="000000"/>
                      <w:sz w:val="20"/>
                    </w:rPr>
                  </w:pPr>
                  <w:r>
                    <w:rPr>
                      <w:rFonts w:eastAsia="宋体"/>
                      <w:color w:val="000000"/>
                      <w:sz w:val="20"/>
                    </w:rPr>
                    <w:t>功能分类</w:t>
                  </w:r>
                </w:p>
                <w:p>
                  <w:pPr>
                    <w:widowControl/>
                    <w:jc w:val="center"/>
                    <w:rPr>
                      <w:rFonts w:eastAsia="华文细黑"/>
                      <w:color w:val="000000"/>
                      <w:kern w:val="0"/>
                      <w:sz w:val="20"/>
                    </w:rPr>
                  </w:pPr>
                  <w:r>
                    <w:rPr>
                      <w:rFonts w:eastAsia="宋体"/>
                      <w:color w:val="000000"/>
                      <w:sz w:val="20"/>
                    </w:rPr>
                    <w:t>科目名称</w:t>
                  </w:r>
                </w:p>
              </w:tc>
              <w:tc>
                <w:tcPr>
                  <w:tcW w:w="1267" w:type="dxa"/>
                  <w:tcBorders>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ascii="Times New Roman" w:hAnsi="Times New Roman" w:eastAsia="宋体" w:cs="Times New Roman"/>
                      <w:color w:val="000000"/>
                      <w:sz w:val="20"/>
                    </w:rPr>
                    <w:t>总计</w:t>
                  </w:r>
                </w:p>
              </w:tc>
              <w:tc>
                <w:tcPr>
                  <w:tcW w:w="1306"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ascii="Times New Roman" w:hAnsi="Times New Roman" w:eastAsia="宋体" w:cs="Times New Roman"/>
                      <w:color w:val="000000"/>
                      <w:sz w:val="20"/>
                    </w:rPr>
                  </w:pPr>
                </w:p>
                <w:p>
                  <w:pPr>
                    <w:widowControl/>
                    <w:jc w:val="center"/>
                    <w:rPr>
                      <w:rFonts w:ascii="Times New Roman" w:hAnsi="Times New Roman" w:eastAsia="宋体" w:cs="Times New Roman"/>
                      <w:color w:val="000000"/>
                      <w:sz w:val="20"/>
                    </w:rPr>
                  </w:pPr>
                  <w:r>
                    <w:rPr>
                      <w:rFonts w:ascii="Times New Roman" w:hAnsi="Times New Roman" w:eastAsia="宋体" w:cs="Times New Roman"/>
                      <w:color w:val="000000"/>
                      <w:sz w:val="20"/>
                    </w:rPr>
                    <w:t>基本</w:t>
                  </w:r>
                </w:p>
                <w:p>
                  <w:pPr>
                    <w:widowControl/>
                    <w:jc w:val="center"/>
                    <w:rPr>
                      <w:rFonts w:ascii="Times New Roman" w:hAnsi="Times New Roman" w:eastAsia="宋体" w:cs="Times New Roman"/>
                      <w:color w:val="000000"/>
                      <w:sz w:val="20"/>
                    </w:rPr>
                  </w:pPr>
                  <w:r>
                    <w:rPr>
                      <w:rFonts w:ascii="Times New Roman" w:hAnsi="Times New Roman" w:eastAsia="宋体" w:cs="Times New Roman"/>
                      <w:color w:val="000000"/>
                      <w:sz w:val="20"/>
                    </w:rPr>
                    <w:t>支出</w:t>
                  </w:r>
                </w:p>
                <w:p>
                  <w:pPr>
                    <w:widowControl/>
                    <w:jc w:val="center"/>
                    <w:rPr>
                      <w:rFonts w:eastAsia="华文细黑"/>
                      <w:color w:val="000000"/>
                      <w:kern w:val="0"/>
                      <w:sz w:val="20"/>
                    </w:rPr>
                  </w:pPr>
                </w:p>
              </w:tc>
              <w:tc>
                <w:tcPr>
                  <w:tcW w:w="109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ascii="Times New Roman" w:hAnsi="Times New Roman" w:eastAsia="宋体" w:cs="Times New Roman"/>
                      <w:color w:val="000000"/>
                      <w:sz w:val="20"/>
                    </w:rPr>
                    <w:t>项目                                                               支出</w:t>
                  </w:r>
                </w:p>
              </w:tc>
              <w:tc>
                <w:tcPr>
                  <w:tcW w:w="129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Times New Roman" w:hAnsi="Times New Roman" w:eastAsia="宋体" w:cs="Times New Roman"/>
                      <w:color w:val="000000"/>
                      <w:sz w:val="20"/>
                    </w:rPr>
                  </w:pPr>
                  <w:r>
                    <w:rPr>
                      <w:rFonts w:hint="eastAsia" w:ascii="Times New Roman" w:hAnsi="Times New Roman" w:eastAsia="宋体" w:cs="Times New Roman"/>
                      <w:color w:val="000000"/>
                      <w:sz w:val="20"/>
                    </w:rPr>
                    <w:t>事业单位</w:t>
                  </w:r>
                </w:p>
                <w:p>
                  <w:pPr>
                    <w:widowControl/>
                    <w:jc w:val="center"/>
                    <w:rPr>
                      <w:rFonts w:hint="eastAsia" w:eastAsia="华文细黑"/>
                      <w:color w:val="000000"/>
                      <w:kern w:val="0"/>
                      <w:sz w:val="20"/>
                    </w:rPr>
                  </w:pPr>
                  <w:r>
                    <w:rPr>
                      <w:rFonts w:hint="eastAsia" w:ascii="Times New Roman" w:hAnsi="Times New Roman" w:eastAsia="宋体" w:cs="Times New Roman"/>
                      <w:color w:val="000000"/>
                      <w:sz w:val="20"/>
                    </w:rPr>
                    <w:t>经营支出</w:t>
                  </w:r>
                </w:p>
              </w:tc>
              <w:tc>
                <w:tcPr>
                  <w:tcW w:w="126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hint="eastAsia" w:ascii="Times New Roman" w:hAnsi="Times New Roman" w:eastAsia="宋体" w:cs="Times New Roman"/>
                      <w:color w:val="000000"/>
                      <w:sz w:val="20"/>
                    </w:rPr>
                    <w:t>上缴                                            上级                                                         支出</w:t>
                  </w:r>
                </w:p>
              </w:tc>
              <w:tc>
                <w:tcPr>
                  <w:tcW w:w="1466" w:type="dxa"/>
                  <w:gridSpan w:val="3"/>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hint="eastAsia" w:ascii="Times New Roman" w:hAnsi="Times New Roman" w:eastAsia="宋体" w:cs="Times New Roman"/>
                      <w:color w:val="000000"/>
                      <w:sz w:val="20"/>
                    </w:rPr>
                    <w:t>对附属                                           单位补                                      助支出</w:t>
                  </w:r>
                </w:p>
              </w:tc>
            </w:tr>
            <w:tr>
              <w:tblPrEx>
                <w:tblCellMar>
                  <w:top w:w="15" w:type="dxa"/>
                  <w:left w:w="15" w:type="dxa"/>
                  <w:bottom w:w="15" w:type="dxa"/>
                  <w:right w:w="15" w:type="dxa"/>
                </w:tblCellMar>
              </w:tblPrEx>
              <w:trPr>
                <w:trHeight w:val="423"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华文细黑"/>
                      <w:color w:val="000000"/>
                      <w:kern w:val="0"/>
                      <w:sz w:val="20"/>
                    </w:rPr>
                  </w:pPr>
                  <w:r>
                    <w:rPr>
                      <w:rFonts w:hint="default" w:ascii="Arial" w:hAnsi="Arial" w:eastAsia="宋体" w:cs="Arial"/>
                      <w:i w:val="0"/>
                      <w:iCs w:val="0"/>
                      <w:color w:val="000000"/>
                      <w:kern w:val="0"/>
                      <w:sz w:val="20"/>
                      <w:szCs w:val="20"/>
                      <w:u w:val="none"/>
                      <w:lang w:val="en-US" w:eastAsia="zh-CN" w:bidi="ar"/>
                    </w:rPr>
                    <w:t>公共安全支出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rPr>
                    <w:t>1524.58</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rPr>
                    <w:t>977.38</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rPr>
                    <w:t>547.2</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华文细黑"/>
                      <w:color w:val="000000"/>
                      <w:kern w:val="0"/>
                      <w:sz w:val="20"/>
                    </w:rPr>
                  </w:pPr>
                  <w:r>
                    <w:rPr>
                      <w:rFonts w:hint="default" w:ascii="Arial" w:hAnsi="Arial" w:eastAsia="宋体" w:cs="Arial"/>
                      <w:i w:val="0"/>
                      <w:iCs w:val="0"/>
                      <w:color w:val="000000"/>
                      <w:kern w:val="0"/>
                      <w:sz w:val="20"/>
                      <w:szCs w:val="20"/>
                      <w:u w:val="none"/>
                      <w:lang w:val="en-US" w:eastAsia="zh-CN" w:bidi="ar"/>
                    </w:rPr>
                    <w:t>　公安</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rPr>
                    <w:t>1524.58</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rPr>
                    <w:t>977.38</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rPr>
                    <w:t>547.2</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　　行政运行</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rPr>
                    <w:t>1524.58</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rPr>
                    <w:t>977.38</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rPr>
                    <w:t>547.2</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社会保障和就业支出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center"/>
                    <w:textAlignment w:val="center"/>
                    <w:rPr>
                      <w:rFonts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133.56</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center"/>
                    <w:textAlignment w:val="center"/>
                    <w:rPr>
                      <w:rFonts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133.56</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　行政事业单位养老支出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center"/>
                    <w:textAlignment w:val="center"/>
                    <w:rPr>
                      <w:rFonts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133.56</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center"/>
                    <w:textAlignment w:val="center"/>
                    <w:rPr>
                      <w:rFonts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133.56</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　　机关事业单位基本养老保险缴费支出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center"/>
                    <w:textAlignment w:val="center"/>
                    <w:rPr>
                      <w:rFonts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107.58</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center"/>
                    <w:textAlignment w:val="center"/>
                    <w:rPr>
                      <w:rFonts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107.58</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　　机关事业单位职业年金缴费支出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center"/>
                    <w:textAlignment w:val="center"/>
                    <w:rPr>
                      <w:rFonts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25.98</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center"/>
                    <w:textAlignment w:val="center"/>
                    <w:rPr>
                      <w:rFonts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25.98</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卫生健康支出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center"/>
                    <w:textAlignment w:val="center"/>
                    <w:rPr>
                      <w:rFonts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52.11</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center"/>
                    <w:textAlignment w:val="center"/>
                    <w:rPr>
                      <w:rFonts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52.11</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　行政事业单位医疗</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center"/>
                    <w:textAlignment w:val="center"/>
                    <w:rPr>
                      <w:rFonts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52.11</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center"/>
                    <w:textAlignment w:val="center"/>
                    <w:rPr>
                      <w:rFonts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52.11</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　　行政单位医疗</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center"/>
                    <w:textAlignment w:val="center"/>
                    <w:rPr>
                      <w:rFonts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50.09</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center"/>
                    <w:textAlignment w:val="center"/>
                    <w:rPr>
                      <w:rFonts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50.09</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　　其他行政事业单位医疗支出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center"/>
                    <w:textAlignment w:val="center"/>
                    <w:rPr>
                      <w:rFonts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2.02</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center"/>
                    <w:textAlignment w:val="center"/>
                    <w:rPr>
                      <w:rFonts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2.02</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住房保障支出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center"/>
                    <w:textAlignment w:val="center"/>
                    <w:rPr>
                      <w:rFonts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80.63</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center"/>
                    <w:textAlignment w:val="center"/>
                    <w:rPr>
                      <w:rFonts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80.63</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　住房改革支出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center"/>
                    <w:textAlignment w:val="center"/>
                    <w:rPr>
                      <w:rFonts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80.63</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center"/>
                    <w:textAlignment w:val="center"/>
                    <w:rPr>
                      <w:rFonts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80.63</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　　住房公积金</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center"/>
                    <w:textAlignment w:val="center"/>
                    <w:rPr>
                      <w:rFonts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80.63</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center"/>
                    <w:textAlignment w:val="center"/>
                    <w:rPr>
                      <w:rFonts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80.63</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eastAsia="宋体"/>
                      <w:color w:val="000000"/>
                      <w:kern w:val="0"/>
                      <w:sz w:val="20"/>
                    </w:rPr>
                  </w:pPr>
                  <w:r>
                    <w:rPr>
                      <w:rFonts w:eastAsia="华文细黑"/>
                      <w:color w:val="000000"/>
                      <w:kern w:val="0"/>
                      <w:sz w:val="20"/>
                    </w:rPr>
                    <w:t>合计</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center"/>
                    <w:textAlignment w:val="center"/>
                    <w:rPr>
                      <w:rFonts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1,790.87</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center"/>
                    <w:textAlignment w:val="center"/>
                    <w:rPr>
                      <w:rFonts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1,790.87</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center"/>
                    <w:textAlignment w:val="center"/>
                    <w:rPr>
                      <w:rFonts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547.20</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bl>
          <w:p>
            <w:pPr>
              <w:widowControl/>
              <w:jc w:val="center"/>
              <w:rPr>
                <w:rFonts w:eastAsia="方正小标宋简体"/>
                <w:kern w:val="0"/>
                <w:sz w:val="44"/>
                <w:szCs w:val="44"/>
              </w:rPr>
            </w:pPr>
          </w:p>
        </w:tc>
      </w:tr>
    </w:tbl>
    <w:p>
      <w:pPr>
        <w:rPr>
          <w:rFonts w:hAnsi="楷体" w:eastAsia="楷体"/>
          <w:sz w:val="24"/>
          <w:szCs w:val="24"/>
        </w:rPr>
      </w:pPr>
      <w:r>
        <w:rPr>
          <w:rFonts w:hint="eastAsia" w:hAnsi="楷体" w:eastAsia="楷体"/>
          <w:sz w:val="24"/>
          <w:szCs w:val="24"/>
          <w:lang w:val="en-US" w:eastAsia="zh-CN"/>
        </w:rPr>
        <w:t>注：</w:t>
      </w:r>
      <w:r>
        <w:rPr>
          <w:rFonts w:hAnsi="楷体" w:eastAsia="楷体"/>
          <w:sz w:val="24"/>
          <w:szCs w:val="24"/>
        </w:rPr>
        <w:t>功能科目填列至项级。</w:t>
      </w:r>
    </w:p>
    <w:p>
      <w:pPr>
        <w:ind w:firstLine="640" w:firstLineChars="200"/>
        <w:rPr>
          <w:rFonts w:hAnsi="楷体" w:eastAsia="楷体"/>
        </w:rPr>
      </w:pPr>
    </w:p>
    <w:p>
      <w:pPr>
        <w:ind w:firstLine="640" w:firstLineChars="200"/>
        <w:rPr>
          <w:rFonts w:hAnsi="楷体" w:eastAsia="楷体"/>
        </w:rPr>
      </w:pPr>
    </w:p>
    <w:p>
      <w:pPr>
        <w:ind w:firstLine="640" w:firstLineChars="200"/>
        <w:rPr>
          <w:rFonts w:hAnsi="楷体" w:eastAsia="楷体"/>
        </w:rPr>
      </w:pPr>
    </w:p>
    <w:p>
      <w:pPr>
        <w:ind w:firstLine="640" w:firstLineChars="200"/>
        <w:rPr>
          <w:rFonts w:hAnsi="楷体" w:eastAsia="楷体"/>
        </w:rPr>
      </w:pPr>
    </w:p>
    <w:p>
      <w:pPr>
        <w:ind w:firstLine="640" w:firstLineChars="200"/>
        <w:rPr>
          <w:rFonts w:hAnsi="楷体" w:eastAsia="楷体"/>
        </w:rPr>
      </w:pPr>
    </w:p>
    <w:p>
      <w:pPr>
        <w:ind w:firstLine="640" w:firstLineChars="200"/>
        <w:rPr>
          <w:rFonts w:hAnsi="楷体" w:eastAsia="楷体"/>
        </w:rPr>
      </w:pPr>
    </w:p>
    <w:p>
      <w:pPr>
        <w:ind w:firstLine="640" w:firstLineChars="200"/>
        <w:rPr>
          <w:rFonts w:hAnsi="楷体" w:eastAsia="楷体"/>
        </w:rPr>
      </w:pPr>
    </w:p>
    <w:p>
      <w:pPr>
        <w:ind w:firstLine="640" w:firstLineChars="200"/>
        <w:rPr>
          <w:rFonts w:hAnsi="楷体" w:eastAsia="楷体"/>
        </w:rPr>
      </w:pPr>
    </w:p>
    <w:p>
      <w:pPr>
        <w:ind w:firstLine="640" w:firstLineChars="200"/>
        <w:rPr>
          <w:rFonts w:hAnsi="楷体" w:eastAsia="楷体"/>
        </w:rPr>
      </w:pPr>
    </w:p>
    <w:p>
      <w:pPr>
        <w:ind w:firstLine="640" w:firstLineChars="200"/>
        <w:rPr>
          <w:rFonts w:hAnsi="楷体" w:eastAsia="楷体"/>
        </w:rPr>
      </w:pPr>
    </w:p>
    <w:p>
      <w:pPr>
        <w:rPr>
          <w:rFonts w:hAnsi="楷体" w:eastAsia="楷体"/>
        </w:rPr>
      </w:pPr>
    </w:p>
    <w:tbl>
      <w:tblPr>
        <w:tblStyle w:val="9"/>
        <w:tblW w:w="0" w:type="auto"/>
        <w:jc w:val="center"/>
        <w:tblLayout w:type="fixed"/>
        <w:tblCellMar>
          <w:top w:w="0" w:type="dxa"/>
          <w:left w:w="108" w:type="dxa"/>
          <w:bottom w:w="0" w:type="dxa"/>
          <w:right w:w="108" w:type="dxa"/>
        </w:tblCellMar>
      </w:tblPr>
      <w:tblGrid>
        <w:gridCol w:w="10123"/>
      </w:tblGrid>
      <w:tr>
        <w:tblPrEx>
          <w:tblCellMar>
            <w:top w:w="0" w:type="dxa"/>
            <w:left w:w="108" w:type="dxa"/>
            <w:bottom w:w="0" w:type="dxa"/>
            <w:right w:w="108" w:type="dxa"/>
          </w:tblCellMar>
        </w:tblPrEx>
        <w:trPr>
          <w:trHeight w:val="873" w:hRule="atLeast"/>
          <w:jc w:val="center"/>
        </w:trPr>
        <w:tc>
          <w:tcPr>
            <w:tcW w:w="10123" w:type="dxa"/>
            <w:tcBorders>
              <w:top w:val="nil"/>
              <w:left w:val="nil"/>
              <w:bottom w:val="nil"/>
              <w:right w:val="nil"/>
            </w:tcBorders>
            <w:noWrap w:val="0"/>
            <w:vAlign w:val="bottom"/>
          </w:tcPr>
          <w:tbl>
            <w:tblPr>
              <w:tblStyle w:val="9"/>
              <w:tblpPr w:leftFromText="180" w:rightFromText="180" w:vertAnchor="page" w:horzAnchor="page" w:tblpX="114" w:tblpY="657"/>
              <w:tblOverlap w:val="never"/>
              <w:tblW w:w="0" w:type="auto"/>
              <w:tblInd w:w="0" w:type="dxa"/>
              <w:tblLayout w:type="fixed"/>
              <w:tblCellMar>
                <w:top w:w="0" w:type="dxa"/>
                <w:left w:w="108" w:type="dxa"/>
                <w:bottom w:w="0" w:type="dxa"/>
                <w:right w:w="108" w:type="dxa"/>
              </w:tblCellMar>
            </w:tblPr>
            <w:tblGrid>
              <w:gridCol w:w="1892"/>
              <w:gridCol w:w="963"/>
              <w:gridCol w:w="688"/>
              <w:gridCol w:w="688"/>
              <w:gridCol w:w="1721"/>
              <w:gridCol w:w="864"/>
              <w:gridCol w:w="744"/>
              <w:gridCol w:w="744"/>
              <w:gridCol w:w="804"/>
              <w:gridCol w:w="772"/>
            </w:tblGrid>
            <w:tr>
              <w:tblPrEx>
                <w:tblCellMar>
                  <w:top w:w="0" w:type="dxa"/>
                  <w:left w:w="108" w:type="dxa"/>
                  <w:bottom w:w="0" w:type="dxa"/>
                  <w:right w:w="108" w:type="dxa"/>
                </w:tblCellMar>
              </w:tblPrEx>
              <w:trPr>
                <w:trHeight w:val="663" w:hRule="atLeast"/>
              </w:trPr>
              <w:tc>
                <w:tcPr>
                  <w:tcW w:w="9880" w:type="dxa"/>
                  <w:gridSpan w:val="10"/>
                  <w:tcBorders>
                    <w:top w:val="nil"/>
                    <w:left w:val="nil"/>
                    <w:bottom w:val="nil"/>
                    <w:right w:val="nil"/>
                  </w:tcBorders>
                  <w:noWrap w:val="0"/>
                  <w:vAlign w:val="center"/>
                </w:tcPr>
                <w:p>
                  <w:pPr>
                    <w:jc w:val="center"/>
                    <w:rPr>
                      <w:rFonts w:eastAsia="方正小标宋简体"/>
                      <w:kern w:val="0"/>
                      <w:sz w:val="44"/>
                      <w:szCs w:val="44"/>
                    </w:rPr>
                  </w:pPr>
                  <w:r>
                    <w:rPr>
                      <w:rFonts w:eastAsia="方正小标宋简体"/>
                      <w:kern w:val="0"/>
                      <w:sz w:val="36"/>
                      <w:szCs w:val="36"/>
                    </w:rPr>
                    <w:t>财政拨款收支预算表</w:t>
                  </w:r>
                </w:p>
              </w:tc>
            </w:tr>
            <w:tr>
              <w:tblPrEx>
                <w:tblCellMar>
                  <w:top w:w="0" w:type="dxa"/>
                  <w:left w:w="108" w:type="dxa"/>
                  <w:bottom w:w="0" w:type="dxa"/>
                  <w:right w:w="108" w:type="dxa"/>
                </w:tblCellMar>
              </w:tblPrEx>
              <w:trPr>
                <w:trHeight w:val="583" w:hRule="atLeast"/>
              </w:trPr>
              <w:tc>
                <w:tcPr>
                  <w:tcW w:w="9880" w:type="dxa"/>
                  <w:gridSpan w:val="10"/>
                  <w:tcBorders>
                    <w:top w:val="nil"/>
                    <w:left w:val="nil"/>
                    <w:bottom w:val="nil"/>
                    <w:right w:val="nil"/>
                  </w:tcBorders>
                  <w:noWrap w:val="0"/>
                  <w:vAlign w:val="bottom"/>
                </w:tcPr>
                <w:p>
                  <w:pPr>
                    <w:widowControl/>
                    <w:jc w:val="right"/>
                    <w:rPr>
                      <w:rFonts w:eastAsia="华文细黑"/>
                      <w:color w:val="000000"/>
                      <w:kern w:val="0"/>
                      <w:sz w:val="20"/>
                    </w:rPr>
                  </w:pPr>
                  <w:r>
                    <w:rPr>
                      <w:rFonts w:hint="eastAsia" w:eastAsia="华文细黑"/>
                      <w:color w:val="000000"/>
                      <w:kern w:val="0"/>
                      <w:sz w:val="20"/>
                    </w:rPr>
                    <w:t xml:space="preserve"> </w:t>
                  </w:r>
                  <w:r>
                    <w:rPr>
                      <w:rFonts w:eastAsia="华文细黑"/>
                      <w:color w:val="000000"/>
                      <w:kern w:val="0"/>
                      <w:sz w:val="20"/>
                    </w:rPr>
                    <w:t>单位：万元</w:t>
                  </w:r>
                </w:p>
              </w:tc>
            </w:tr>
            <w:tr>
              <w:tblPrEx>
                <w:tblCellMar>
                  <w:top w:w="0" w:type="dxa"/>
                  <w:left w:w="108" w:type="dxa"/>
                  <w:bottom w:w="0" w:type="dxa"/>
                  <w:right w:w="108" w:type="dxa"/>
                </w:tblCellMar>
              </w:tblPrEx>
              <w:trPr>
                <w:trHeight w:val="521" w:hRule="atLeast"/>
              </w:trPr>
              <w:tc>
                <w:tcPr>
                  <w:tcW w:w="4231" w:type="dxa"/>
                  <w:gridSpan w:val="4"/>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收      入</w:t>
                  </w:r>
                </w:p>
              </w:tc>
              <w:tc>
                <w:tcPr>
                  <w:tcW w:w="5649" w:type="dxa"/>
                  <w:gridSpan w:val="6"/>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支      出</w:t>
                  </w:r>
                </w:p>
              </w:tc>
            </w:tr>
            <w:tr>
              <w:tblPrEx>
                <w:tblCellMar>
                  <w:top w:w="0" w:type="dxa"/>
                  <w:left w:w="108" w:type="dxa"/>
                  <w:bottom w:w="0" w:type="dxa"/>
                  <w:right w:w="108" w:type="dxa"/>
                </w:tblCellMar>
              </w:tblPrEx>
              <w:trPr>
                <w:trHeight w:val="528" w:hRule="atLeast"/>
              </w:trPr>
              <w:tc>
                <w:tcPr>
                  <w:tcW w:w="1892"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项  目</w:t>
                  </w:r>
                </w:p>
              </w:tc>
              <w:tc>
                <w:tcPr>
                  <w:tcW w:w="963"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lang w:val="en-US" w:eastAsia="zh-CN"/>
                    </w:rPr>
                  </w:pPr>
                  <w:r>
                    <w:rPr>
                      <w:rFonts w:hint="eastAsia" w:ascii="宋体" w:hAnsi="宋体" w:eastAsia="宋体" w:cs="宋体"/>
                      <w:kern w:val="0"/>
                      <w:sz w:val="20"/>
                      <w:lang w:eastAsia="zh-CN"/>
                    </w:rPr>
                    <w:t>2024</w:t>
                  </w:r>
                  <w:r>
                    <w:rPr>
                      <w:rFonts w:hint="eastAsia" w:ascii="宋体" w:hAnsi="宋体" w:eastAsia="宋体" w:cs="宋体"/>
                      <w:kern w:val="0"/>
                      <w:sz w:val="20"/>
                    </w:rPr>
                    <w:t>年预算</w:t>
                  </w:r>
                  <w:r>
                    <w:rPr>
                      <w:rFonts w:hint="eastAsia" w:ascii="宋体" w:hAnsi="宋体" w:eastAsia="宋体" w:cs="宋体"/>
                      <w:kern w:val="0"/>
                      <w:sz w:val="20"/>
                      <w:lang w:eastAsia="zh-CN"/>
                    </w:rPr>
                    <w:t>数</w:t>
                  </w:r>
                </w:p>
              </w:tc>
              <w:tc>
                <w:tcPr>
                  <w:tcW w:w="688"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当年预算</w:t>
                  </w:r>
                </w:p>
              </w:tc>
              <w:tc>
                <w:tcPr>
                  <w:tcW w:w="688"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上年结转</w:t>
                  </w:r>
                </w:p>
              </w:tc>
              <w:tc>
                <w:tcPr>
                  <w:tcW w:w="1721"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项  目</w:t>
                  </w:r>
                </w:p>
              </w:tc>
              <w:tc>
                <w:tcPr>
                  <w:tcW w:w="864"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lang w:eastAsia="zh-CN"/>
                    </w:rPr>
                  </w:pPr>
                  <w:r>
                    <w:rPr>
                      <w:rFonts w:hint="eastAsia" w:ascii="宋体" w:hAnsi="宋体" w:eastAsia="宋体" w:cs="宋体"/>
                      <w:kern w:val="0"/>
                      <w:sz w:val="20"/>
                      <w:lang w:eastAsia="zh-CN"/>
                    </w:rPr>
                    <w:t>2024</w:t>
                  </w:r>
                  <w:r>
                    <w:rPr>
                      <w:rFonts w:hint="eastAsia" w:ascii="宋体" w:hAnsi="宋体" w:eastAsia="宋体" w:cs="宋体"/>
                      <w:kern w:val="0"/>
                      <w:sz w:val="20"/>
                    </w:rPr>
                    <w:t>年预算</w:t>
                  </w:r>
                  <w:r>
                    <w:rPr>
                      <w:rFonts w:hint="eastAsia" w:ascii="宋体" w:hAnsi="宋体" w:eastAsia="宋体" w:cs="宋体"/>
                      <w:kern w:val="0"/>
                      <w:sz w:val="20"/>
                      <w:lang w:eastAsia="zh-CN"/>
                    </w:rPr>
                    <w:t>数</w:t>
                  </w:r>
                </w:p>
              </w:tc>
              <w:tc>
                <w:tcPr>
                  <w:tcW w:w="1488" w:type="dxa"/>
                  <w:gridSpan w:val="2"/>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一般公共预算</w:t>
                  </w:r>
                </w:p>
              </w:tc>
              <w:tc>
                <w:tcPr>
                  <w:tcW w:w="1576" w:type="dxa"/>
                  <w:gridSpan w:val="2"/>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政府性基金预算</w:t>
                  </w:r>
                </w:p>
              </w:tc>
            </w:tr>
            <w:tr>
              <w:tblPrEx>
                <w:tblCellMar>
                  <w:top w:w="0" w:type="dxa"/>
                  <w:left w:w="108" w:type="dxa"/>
                  <w:bottom w:w="0" w:type="dxa"/>
                  <w:right w:w="108" w:type="dxa"/>
                </w:tblCellMar>
              </w:tblPrEx>
              <w:trPr>
                <w:trHeight w:val="955" w:hRule="atLeast"/>
              </w:trPr>
              <w:tc>
                <w:tcPr>
                  <w:tcW w:w="1892"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963"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688"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688"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1721"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864"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当年预算</w:t>
                  </w: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上年结转</w:t>
                  </w:r>
                </w:p>
              </w:tc>
              <w:tc>
                <w:tcPr>
                  <w:tcW w:w="80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当年预算</w:t>
                  </w:r>
                </w:p>
              </w:tc>
              <w:tc>
                <w:tcPr>
                  <w:tcW w:w="772"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上年</w:t>
                  </w:r>
                  <w:r>
                    <w:rPr>
                      <w:rFonts w:hint="eastAsia" w:ascii="宋体" w:hAnsi="宋体" w:eastAsia="宋体" w:cs="宋体"/>
                      <w:kern w:val="0"/>
                      <w:sz w:val="20"/>
                      <w:lang w:val="en-US" w:eastAsia="zh-CN"/>
                    </w:rPr>
                    <w:t xml:space="preserve">  </w:t>
                  </w:r>
                  <w:r>
                    <w:rPr>
                      <w:rFonts w:hint="eastAsia" w:ascii="宋体" w:hAnsi="宋体" w:eastAsia="宋体" w:cs="宋体"/>
                      <w:kern w:val="0"/>
                      <w:sz w:val="20"/>
                    </w:rPr>
                    <w:t>结转</w:t>
                  </w:r>
                </w:p>
              </w:tc>
            </w:tr>
            <w:tr>
              <w:tblPrEx>
                <w:tblCellMar>
                  <w:top w:w="0" w:type="dxa"/>
                  <w:left w:w="108" w:type="dxa"/>
                  <w:bottom w:w="0" w:type="dxa"/>
                  <w:right w:w="108" w:type="dxa"/>
                </w:tblCellMar>
              </w:tblPrEx>
              <w:trPr>
                <w:trHeight w:val="521"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hint="eastAsia" w:eastAsia="宋体"/>
                      <w:color w:val="000000"/>
                      <w:kern w:val="0"/>
                      <w:sz w:val="20"/>
                    </w:rPr>
                    <w:t>一、本年收入</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hint="eastAsia" w:eastAsia="宋体"/>
                      <w:kern w:val="0"/>
                      <w:sz w:val="20"/>
                    </w:rPr>
                    <w:t>1790.87</w:t>
                  </w: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一、一般公共服务支出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hint="eastAsia" w:eastAsia="宋体"/>
                      <w:color w:val="000000"/>
                      <w:kern w:val="0"/>
                      <w:sz w:val="20"/>
                    </w:rPr>
                    <w:t>　　一般公共预算拨款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二、公共安全支出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hint="eastAsia" w:eastAsia="宋体"/>
                      <w:kern w:val="0"/>
                      <w:sz w:val="20"/>
                    </w:rPr>
                    <w:t>1524.58</w:t>
                  </w: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hint="eastAsia" w:eastAsia="宋体"/>
                      <w:color w:val="000000"/>
                      <w:kern w:val="0"/>
                      <w:sz w:val="20"/>
                    </w:rPr>
                    <w:t>　　政府性基金预算拨款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三、教育支出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hint="eastAsia" w:eastAsia="宋体"/>
                      <w:color w:val="000000"/>
                      <w:kern w:val="0"/>
                      <w:sz w:val="20"/>
                    </w:rPr>
                    <w:t>　　国有资本经营预算拨款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四、科学技术支出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shd w:val="solid" w:color="FFFFFF" w:fill="auto"/>
                  <w:noWrap w:val="0"/>
                  <w:vAlign w:val="center"/>
                </w:tcPr>
                <w:p>
                  <w:pPr>
                    <w:rPr>
                      <w:rFonts w:hint="default" w:eastAsia="宋体"/>
                      <w:sz w:val="20"/>
                      <w:lang w:val="en-US" w:eastAsia="zh-CN"/>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五、文化体育与传媒支出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shd w:val="solid" w:color="FFFFFF" w:fill="auto"/>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六、社会保障和就业支出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hint="eastAsia" w:eastAsia="宋体"/>
                      <w:kern w:val="0"/>
                      <w:sz w:val="20"/>
                    </w:rPr>
                    <w:t>133.56</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七、医疗卫生和计划生育支出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hint="eastAsia" w:eastAsia="宋体"/>
                      <w:kern w:val="0"/>
                      <w:sz w:val="20"/>
                    </w:rPr>
                    <w:t>52.11</w:t>
                  </w: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八、节能环保支出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九、城乡社区事务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十、农林水事务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十一、交通运输</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十二、资源勘探电力信息等事务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十三、商业服务业等事务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十四、金融监管等事务支出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十五、国土资源气象等事务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十六、住房保障支出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hint="eastAsia" w:eastAsia="宋体"/>
                      <w:kern w:val="0"/>
                      <w:sz w:val="20"/>
                    </w:rPr>
                    <w:t>80.63</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十七、粮油物资管理事务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十八、储备事务支出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十九、国债还本付息支出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二十、其他支出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jc w:val="center"/>
                    <w:rPr>
                      <w:rFonts w:eastAsia="宋体"/>
                      <w:sz w:val="20"/>
                    </w:rPr>
                  </w:pPr>
                  <w:r>
                    <w:rPr>
                      <w:rFonts w:eastAsia="宋体"/>
                      <w:b/>
                      <w:bCs/>
                      <w:kern w:val="0"/>
                      <w:sz w:val="20"/>
                    </w:rPr>
                    <w:t>本年收入合计</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hint="eastAsia" w:eastAsia="宋体"/>
                      <w:kern w:val="0"/>
                      <w:sz w:val="20"/>
                    </w:rPr>
                    <w:t>1790.87</w:t>
                  </w: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r>
                    <w:rPr>
                      <w:rFonts w:eastAsia="宋体"/>
                      <w:b/>
                      <w:bCs/>
                      <w:kern w:val="0"/>
                      <w:sz w:val="20"/>
                    </w:rPr>
                    <w:t>本年支出合计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hint="eastAsia" w:eastAsia="宋体"/>
                      <w:kern w:val="0"/>
                      <w:sz w:val="20"/>
                    </w:rPr>
                    <w:t>1790.87</w:t>
                  </w: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bCs/>
                      <w:kern w:val="0"/>
                      <w:sz w:val="20"/>
                    </w:rPr>
                  </w:pPr>
                  <w:r>
                    <w:rPr>
                      <w:rFonts w:hint="eastAsia" w:eastAsia="宋体"/>
                      <w:bCs/>
                      <w:kern w:val="0"/>
                      <w:sz w:val="20"/>
                    </w:rPr>
                    <w:t>财政拨款结转</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rPr>
                      <w:rFonts w:eastAsia="宋体"/>
                      <w:b/>
                      <w:bCs/>
                      <w:kern w:val="0"/>
                      <w:sz w:val="20"/>
                    </w:rPr>
                  </w:pPr>
                  <w:r>
                    <w:rPr>
                      <w:rFonts w:eastAsia="宋体"/>
                      <w:kern w:val="0"/>
                      <w:sz w:val="20"/>
                    </w:rPr>
                    <w:t>结转下年</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r>
                    <w:rPr>
                      <w:rFonts w:eastAsia="宋体"/>
                      <w:sz w:val="20"/>
                    </w:rPr>
                    <w:t>一般公共预算拨款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hint="eastAsia" w:eastAsia="宋体"/>
                      <w:kern w:val="0"/>
                      <w:sz w:val="20"/>
                    </w:rPr>
                    <w:t>1790.87</w:t>
                  </w: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kern w:val="0"/>
                      <w:sz w:val="20"/>
                    </w:rPr>
                  </w:pP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r>
                    <w:rPr>
                      <w:rFonts w:eastAsia="宋体"/>
                      <w:sz w:val="20"/>
                    </w:rPr>
                    <w:t>政府性基金预算拨款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kern w:val="0"/>
                      <w:sz w:val="20"/>
                    </w:rPr>
                  </w:pPr>
                  <w:r>
                    <w:rPr>
                      <w:rFonts w:eastAsia="宋体"/>
                      <w:kern w:val="0"/>
                      <w:sz w:val="20"/>
                    </w:rPr>
                    <w:t>　</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r>
                    <w:rPr>
                      <w:rFonts w:hint="eastAsia" w:eastAsia="宋体"/>
                      <w:sz w:val="20"/>
                    </w:rPr>
                    <w:t>国有资本经营预算拨款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p>
              </w:tc>
              <w:tc>
                <w:tcPr>
                  <w:tcW w:w="864"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ind w:firstLine="200" w:firstLineChars="100"/>
                    <w:rPr>
                      <w:rFonts w:eastAsia="宋体"/>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ind w:firstLine="200" w:firstLineChars="100"/>
                    <w:rPr>
                      <w:rFonts w:eastAsia="宋体"/>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ind w:firstLine="200" w:firstLineChars="100"/>
                    <w:rPr>
                      <w:rFonts w:eastAsia="宋体"/>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ind w:firstLine="200" w:firstLineChars="100"/>
                    <w:rPr>
                      <w:rFonts w:eastAsia="宋体"/>
                      <w:sz w:val="20"/>
                    </w:rPr>
                  </w:pPr>
                </w:p>
              </w:tc>
            </w:tr>
            <w:tr>
              <w:tblPrEx>
                <w:tblCellMar>
                  <w:top w:w="0" w:type="dxa"/>
                  <w:left w:w="108" w:type="dxa"/>
                  <w:bottom w:w="0" w:type="dxa"/>
                  <w:right w:w="108" w:type="dxa"/>
                </w:tblCellMar>
              </w:tblPrEx>
              <w:trPr>
                <w:trHeight w:val="471"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黑体"/>
                      <w:b/>
                      <w:bCs/>
                      <w:kern w:val="0"/>
                      <w:sz w:val="20"/>
                    </w:rPr>
                  </w:pPr>
                  <w:r>
                    <w:rPr>
                      <w:rFonts w:eastAsia="黑体"/>
                      <w:b/>
                      <w:bCs/>
                      <w:kern w:val="0"/>
                      <w:sz w:val="20"/>
                    </w:rPr>
                    <w:t>收入总计</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黑体"/>
                      <w:kern w:val="0"/>
                      <w:sz w:val="20"/>
                    </w:rPr>
                  </w:pPr>
                  <w:r>
                    <w:rPr>
                      <w:rFonts w:hint="eastAsia" w:eastAsia="黑体"/>
                      <w:kern w:val="0"/>
                      <w:sz w:val="20"/>
                    </w:rPr>
                    <w:t>1790.87</w:t>
                  </w:r>
                  <w:r>
                    <w:rPr>
                      <w:rFonts w:eastAsia="黑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黑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黑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黑体"/>
                      <w:b/>
                      <w:bCs/>
                      <w:kern w:val="0"/>
                      <w:sz w:val="20"/>
                    </w:rPr>
                  </w:pPr>
                  <w:r>
                    <w:rPr>
                      <w:rFonts w:eastAsia="黑体"/>
                      <w:b/>
                      <w:bCs/>
                      <w:kern w:val="0"/>
                      <w:sz w:val="20"/>
                    </w:rPr>
                    <w:t>支出总计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hint="eastAsia" w:eastAsia="宋体"/>
                      <w:kern w:val="0"/>
                      <w:sz w:val="20"/>
                    </w:rPr>
                    <w:t>1790.87</w:t>
                  </w: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bl>
          <w:p>
            <w:pPr>
              <w:widowControl/>
              <w:rPr>
                <w:rFonts w:eastAsia="方正小标宋简体"/>
                <w:kern w:val="0"/>
                <w:sz w:val="44"/>
                <w:szCs w:val="44"/>
              </w:rPr>
            </w:pPr>
          </w:p>
        </w:tc>
      </w:tr>
    </w:tbl>
    <w:p>
      <w:pPr>
        <w:ind w:firstLine="640" w:firstLineChars="200"/>
        <w:rPr>
          <w:rFonts w:eastAsia="楷体"/>
        </w:rPr>
      </w:pPr>
      <w:r>
        <w:rPr>
          <w:rFonts w:hAnsi="楷体" w:eastAsia="楷体"/>
        </w:rPr>
        <w:br w:type="page"/>
      </w:r>
    </w:p>
    <w:tbl>
      <w:tblPr>
        <w:tblStyle w:val="9"/>
        <w:tblW w:w="0" w:type="auto"/>
        <w:jc w:val="center"/>
        <w:tblLayout w:type="fixed"/>
        <w:tblCellMar>
          <w:top w:w="0" w:type="dxa"/>
          <w:left w:w="108" w:type="dxa"/>
          <w:bottom w:w="0" w:type="dxa"/>
          <w:right w:w="108" w:type="dxa"/>
        </w:tblCellMar>
      </w:tblPr>
      <w:tblGrid>
        <w:gridCol w:w="10405"/>
      </w:tblGrid>
      <w:tr>
        <w:tblPrEx>
          <w:tblCellMar>
            <w:top w:w="0" w:type="dxa"/>
            <w:left w:w="108" w:type="dxa"/>
            <w:bottom w:w="0" w:type="dxa"/>
            <w:right w:w="108" w:type="dxa"/>
          </w:tblCellMar>
        </w:tblPrEx>
        <w:trPr>
          <w:trHeight w:val="615" w:hRule="atLeast"/>
          <w:jc w:val="center"/>
        </w:trPr>
        <w:tc>
          <w:tcPr>
            <w:tcW w:w="10405" w:type="dxa"/>
            <w:tcBorders>
              <w:top w:val="nil"/>
              <w:left w:val="nil"/>
              <w:bottom w:val="nil"/>
              <w:right w:val="nil"/>
            </w:tcBorders>
            <w:noWrap w:val="0"/>
            <w:vAlign w:val="bottom"/>
          </w:tcPr>
          <w:p>
            <w:pPr>
              <w:widowControl/>
              <w:rPr>
                <w:rFonts w:eastAsia="方正小标宋简体"/>
                <w:kern w:val="0"/>
                <w:sz w:val="44"/>
                <w:szCs w:val="44"/>
              </w:rPr>
            </w:pPr>
          </w:p>
          <w:tbl>
            <w:tblPr>
              <w:tblStyle w:val="9"/>
              <w:tblW w:w="0" w:type="auto"/>
              <w:tblInd w:w="871" w:type="dxa"/>
              <w:tblLayout w:type="fixed"/>
              <w:tblCellMar>
                <w:top w:w="15" w:type="dxa"/>
                <w:left w:w="15" w:type="dxa"/>
                <w:bottom w:w="15" w:type="dxa"/>
                <w:right w:w="15" w:type="dxa"/>
              </w:tblCellMar>
            </w:tblPr>
            <w:tblGrid>
              <w:gridCol w:w="2552"/>
              <w:gridCol w:w="1134"/>
              <w:gridCol w:w="1134"/>
              <w:gridCol w:w="1134"/>
              <w:gridCol w:w="1134"/>
              <w:gridCol w:w="1701"/>
            </w:tblGrid>
            <w:tr>
              <w:tblPrEx>
                <w:tblCellMar>
                  <w:top w:w="15" w:type="dxa"/>
                  <w:left w:w="15" w:type="dxa"/>
                  <w:bottom w:w="15" w:type="dxa"/>
                  <w:right w:w="15" w:type="dxa"/>
                </w:tblCellMar>
              </w:tblPrEx>
              <w:trPr>
                <w:trHeight w:val="390" w:hRule="atLeast"/>
              </w:trPr>
              <w:tc>
                <w:tcPr>
                  <w:tcW w:w="8789" w:type="dxa"/>
                  <w:gridSpan w:val="6"/>
                  <w:tcBorders>
                    <w:bottom w:val="single" w:color="000000" w:sz="4" w:space="0"/>
                  </w:tcBorders>
                  <w:noWrap w:val="0"/>
                  <w:vAlign w:val="center"/>
                </w:tcPr>
                <w:p>
                  <w:pPr>
                    <w:widowControl/>
                    <w:jc w:val="center"/>
                    <w:rPr>
                      <w:rFonts w:eastAsia="华文细黑"/>
                      <w:color w:val="000000"/>
                      <w:kern w:val="0"/>
                      <w:sz w:val="36"/>
                      <w:szCs w:val="36"/>
                    </w:rPr>
                  </w:pPr>
                  <w:r>
                    <w:rPr>
                      <w:rFonts w:eastAsia="方正小标宋简体"/>
                      <w:kern w:val="0"/>
                      <w:sz w:val="36"/>
                      <w:szCs w:val="36"/>
                    </w:rPr>
                    <w:t>一般公共预算</w:t>
                  </w:r>
                  <w:r>
                    <w:rPr>
                      <w:rFonts w:hint="eastAsia" w:eastAsia="方正小标宋简体"/>
                      <w:kern w:val="0"/>
                      <w:sz w:val="36"/>
                      <w:szCs w:val="36"/>
                    </w:rPr>
                    <w:t>支出</w:t>
                  </w:r>
                  <w:r>
                    <w:rPr>
                      <w:rFonts w:eastAsia="方正小标宋简体"/>
                      <w:kern w:val="0"/>
                      <w:sz w:val="36"/>
                      <w:szCs w:val="36"/>
                    </w:rPr>
                    <w:t>表</w:t>
                  </w:r>
                </w:p>
                <w:p>
                  <w:pPr>
                    <w:widowControl/>
                    <w:jc w:val="right"/>
                    <w:rPr>
                      <w:rFonts w:eastAsia="华文细黑"/>
                      <w:color w:val="000000"/>
                      <w:kern w:val="0"/>
                      <w:sz w:val="20"/>
                    </w:rPr>
                  </w:pPr>
                  <w:r>
                    <w:rPr>
                      <w:rFonts w:hint="eastAsia" w:ascii="宋体" w:hAnsi="宋体" w:eastAsia="宋体" w:cs="宋体"/>
                      <w:color w:val="000000"/>
                      <w:kern w:val="0"/>
                      <w:sz w:val="20"/>
                    </w:rPr>
                    <w:t>单位：万元</w:t>
                  </w:r>
                </w:p>
              </w:tc>
            </w:tr>
            <w:tr>
              <w:tblPrEx>
                <w:tblCellMar>
                  <w:top w:w="15" w:type="dxa"/>
                  <w:left w:w="15" w:type="dxa"/>
                  <w:bottom w:w="15" w:type="dxa"/>
                  <w:right w:w="15" w:type="dxa"/>
                </w:tblCellMar>
              </w:tblPrEx>
              <w:trPr>
                <w:trHeight w:val="390" w:hRule="atLeast"/>
              </w:trPr>
              <w:tc>
                <w:tcPr>
                  <w:tcW w:w="2552" w:type="dxa"/>
                  <w:vMerge w:val="restart"/>
                  <w:tcBorders>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功能分类</w:t>
                  </w:r>
                </w:p>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科目名称</w:t>
                  </w:r>
                </w:p>
              </w:tc>
              <w:tc>
                <w:tcPr>
                  <w:tcW w:w="1134" w:type="dxa"/>
                  <w:vMerge w:val="restart"/>
                  <w:tcBorders>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总计</w:t>
                  </w:r>
                </w:p>
              </w:tc>
              <w:tc>
                <w:tcPr>
                  <w:tcW w:w="3402" w:type="dxa"/>
                  <w:gridSpan w:val="3"/>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基本支出</w:t>
                  </w:r>
                </w:p>
              </w:tc>
              <w:tc>
                <w:tcPr>
                  <w:tcW w:w="1701"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项目                                                               支出</w:t>
                  </w:r>
                </w:p>
              </w:tc>
            </w:tr>
            <w:tr>
              <w:tblPrEx>
                <w:tblCellMar>
                  <w:top w:w="15" w:type="dxa"/>
                  <w:left w:w="15" w:type="dxa"/>
                  <w:bottom w:w="15" w:type="dxa"/>
                  <w:right w:w="15" w:type="dxa"/>
                </w:tblCellMar>
              </w:tblPrEx>
              <w:trPr>
                <w:trHeight w:val="281" w:hRule="atLeast"/>
              </w:trPr>
              <w:tc>
                <w:tcPr>
                  <w:tcW w:w="2552" w:type="dxa"/>
                  <w:vMerge w:val="continue"/>
                  <w:tcBorders>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p>
              </w:tc>
              <w:tc>
                <w:tcPr>
                  <w:tcW w:w="1134" w:type="dxa"/>
                  <w:vMerge w:val="continue"/>
                  <w:tcBorders>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p>
              </w:tc>
              <w:tc>
                <w:tcPr>
                  <w:tcW w:w="3402" w:type="dxa"/>
                  <w:gridSpan w:val="3"/>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p>
              </w:tc>
              <w:tc>
                <w:tcPr>
                  <w:tcW w:w="1701"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p>
              </w:tc>
            </w:tr>
            <w:tr>
              <w:tblPrEx>
                <w:tblCellMar>
                  <w:top w:w="15" w:type="dxa"/>
                  <w:left w:w="15" w:type="dxa"/>
                  <w:bottom w:w="15" w:type="dxa"/>
                  <w:right w:w="15" w:type="dxa"/>
                </w:tblCellMar>
              </w:tblPrEx>
              <w:trPr>
                <w:trHeight w:val="630" w:hRule="atLeast"/>
              </w:trPr>
              <w:tc>
                <w:tcPr>
                  <w:tcW w:w="2552" w:type="dxa"/>
                  <w:vMerge w:val="continue"/>
                  <w:tcBorders>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p>
              </w:tc>
              <w:tc>
                <w:tcPr>
                  <w:tcW w:w="1134" w:type="dxa"/>
                  <w:vMerge w:val="continue"/>
                  <w:tcBorders>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eastAsia="华文细黑"/>
                      <w:color w:val="000000"/>
                      <w:kern w:val="0"/>
                      <w:sz w:val="20"/>
                    </w:rPr>
                    <w:t>合计</w:t>
                  </w:r>
                </w:p>
              </w:tc>
              <w:tc>
                <w:tcPr>
                  <w:tcW w:w="113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eastAsia="华文细黑"/>
                      <w:color w:val="000000"/>
                      <w:kern w:val="0"/>
                      <w:sz w:val="20"/>
                    </w:rPr>
                    <w:t>人员经费</w:t>
                  </w:r>
                </w:p>
              </w:tc>
              <w:tc>
                <w:tcPr>
                  <w:tcW w:w="113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eastAsia="华文细黑"/>
                      <w:color w:val="000000"/>
                      <w:kern w:val="0"/>
                      <w:sz w:val="20"/>
                    </w:rPr>
                    <w:t>公用经费</w:t>
                  </w:r>
                </w:p>
              </w:tc>
              <w:tc>
                <w:tcPr>
                  <w:tcW w:w="1701"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p>
              </w:tc>
            </w:tr>
            <w:tr>
              <w:tblPrEx>
                <w:tblCellMar>
                  <w:top w:w="15" w:type="dxa"/>
                  <w:left w:w="15" w:type="dxa"/>
                  <w:bottom w:w="15" w:type="dxa"/>
                  <w:right w:w="15" w:type="dxa"/>
                </w:tblCellMar>
              </w:tblPrEx>
              <w:trPr>
                <w:trHeight w:val="39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center"/>
                    <w:textAlignment w:val="center"/>
                    <w:rPr>
                      <w:rFonts w:eastAsia="华文细黑"/>
                      <w:color w:val="000000"/>
                      <w:kern w:val="0"/>
                      <w:sz w:val="20"/>
                    </w:rPr>
                  </w:pPr>
                  <w:r>
                    <w:rPr>
                      <w:rFonts w:hint="default" w:ascii="Arial" w:hAnsi="Arial" w:eastAsia="宋体" w:cs="Arial"/>
                      <w:i w:val="0"/>
                      <w:iCs w:val="0"/>
                      <w:color w:val="000000"/>
                      <w:kern w:val="0"/>
                      <w:sz w:val="20"/>
                      <w:szCs w:val="20"/>
                      <w:u w:val="none"/>
                      <w:lang w:val="en-US" w:eastAsia="zh-CN" w:bidi="ar"/>
                    </w:rPr>
                    <w:t>公共安全支出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center"/>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1,790.87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center"/>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1,243.67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center"/>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1,047.11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center"/>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196.56</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center"/>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547.20</w:t>
                  </w: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center"/>
                    <w:textAlignment w:val="center"/>
                    <w:rPr>
                      <w:rFonts w:eastAsia="华文细黑"/>
                      <w:color w:val="000000"/>
                      <w:kern w:val="0"/>
                      <w:sz w:val="20"/>
                    </w:rPr>
                  </w:pPr>
                  <w:r>
                    <w:rPr>
                      <w:rFonts w:hint="default" w:ascii="Arial" w:hAnsi="Arial" w:eastAsia="宋体" w:cs="Arial"/>
                      <w:i w:val="0"/>
                      <w:iCs w:val="0"/>
                      <w:color w:val="000000"/>
                      <w:kern w:val="0"/>
                      <w:sz w:val="20"/>
                      <w:szCs w:val="20"/>
                      <w:u w:val="none"/>
                      <w:lang w:val="en-US" w:eastAsia="zh-CN" w:bidi="ar"/>
                    </w:rPr>
                    <w:t>公安</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center"/>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1,524.58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center"/>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977.38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center"/>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780.82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center"/>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196.56</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center"/>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547.20</w:t>
                  </w: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center"/>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行政运行</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center"/>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1,524.58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center"/>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977.38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center"/>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780.82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center"/>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196.56</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center"/>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547.20</w:t>
                  </w: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center"/>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社会保障和就业支出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center"/>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1,524.58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center"/>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977.38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center"/>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780.82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center"/>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196.56</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center"/>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547.20</w:t>
                  </w: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center"/>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行政事业单位养老支出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center"/>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133.56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center"/>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133.56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center"/>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133.56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center"/>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机关事业单位基本养老保险缴费支出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center"/>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133.56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center"/>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133.56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center"/>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133.56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center"/>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机关事业单位职业年金缴费支出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center"/>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107.58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center"/>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107.58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center"/>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107.58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center"/>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卫生健康支出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center"/>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25.98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center"/>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25.98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center"/>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25.98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center"/>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行政事业单位医疗</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center"/>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52.11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center"/>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52.11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center"/>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52.11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center"/>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行政单位医疗</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center"/>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52.11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center"/>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52.11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center"/>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52.11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center"/>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其他行政事业单位医疗支出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center"/>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50.09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center"/>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50.09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center"/>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50.09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center"/>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住房保障支出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center"/>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2.02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center"/>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2.02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center"/>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2.02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center"/>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住房改革支出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center"/>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80.63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center"/>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80.63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center"/>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80.63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center"/>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住房公积金</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center"/>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80.63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center"/>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80.63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center"/>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80.63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eastAsia="宋体"/>
                      <w:color w:val="000000"/>
                      <w:kern w:val="0"/>
                      <w:sz w:val="20"/>
                    </w:rPr>
                  </w:pPr>
                  <w:r>
                    <w:rPr>
                      <w:rFonts w:eastAsia="华文细黑"/>
                      <w:color w:val="000000"/>
                      <w:kern w:val="0"/>
                      <w:sz w:val="20"/>
                    </w:rPr>
                    <w:t>合计</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center"/>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1,790.87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center"/>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1,243.67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center"/>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1,047.11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center"/>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196.56</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center"/>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547.20</w:t>
                  </w:r>
                </w:p>
              </w:tc>
            </w:tr>
          </w:tbl>
          <w:p>
            <w:pPr>
              <w:widowControl/>
              <w:jc w:val="center"/>
              <w:rPr>
                <w:rFonts w:eastAsia="方正小标宋简体"/>
                <w:kern w:val="0"/>
                <w:sz w:val="44"/>
                <w:szCs w:val="44"/>
              </w:rPr>
            </w:pPr>
          </w:p>
        </w:tc>
      </w:tr>
    </w:tbl>
    <w:p>
      <w:pPr>
        <w:ind w:firstLine="480" w:firstLineChars="200"/>
        <w:rPr>
          <w:rFonts w:hAnsi="楷体" w:eastAsia="楷体"/>
          <w:sz w:val="24"/>
          <w:szCs w:val="24"/>
        </w:rPr>
      </w:pPr>
      <w:r>
        <w:rPr>
          <w:rFonts w:hAnsi="楷体" w:eastAsia="楷体"/>
          <w:sz w:val="24"/>
          <w:szCs w:val="24"/>
        </w:rPr>
        <w:t>注：功能科目填列至项级。没有一般公共预算拨款的，公开空表，不得删除。</w:t>
      </w:r>
    </w:p>
    <w:p>
      <w:pPr>
        <w:ind w:firstLine="640" w:firstLineChars="200"/>
        <w:rPr>
          <w:rFonts w:eastAsia="楷体"/>
        </w:rPr>
      </w:pPr>
      <w:r>
        <w:rPr>
          <w:rFonts w:hAnsi="楷体" w:eastAsia="楷体"/>
        </w:rPr>
        <w:br w:type="page"/>
      </w:r>
    </w:p>
    <w:tbl>
      <w:tblPr>
        <w:tblStyle w:val="9"/>
        <w:tblW w:w="0" w:type="auto"/>
        <w:jc w:val="center"/>
        <w:tblLayout w:type="fixed"/>
        <w:tblCellMar>
          <w:top w:w="0" w:type="dxa"/>
          <w:left w:w="108" w:type="dxa"/>
          <w:bottom w:w="0" w:type="dxa"/>
          <w:right w:w="108" w:type="dxa"/>
        </w:tblCellMar>
      </w:tblPr>
      <w:tblGrid>
        <w:gridCol w:w="3176"/>
        <w:gridCol w:w="2220"/>
        <w:gridCol w:w="1704"/>
        <w:gridCol w:w="1831"/>
      </w:tblGrid>
      <w:tr>
        <w:tblPrEx>
          <w:tblCellMar>
            <w:top w:w="0" w:type="dxa"/>
            <w:left w:w="108" w:type="dxa"/>
            <w:bottom w:w="0" w:type="dxa"/>
            <w:right w:w="108" w:type="dxa"/>
          </w:tblCellMar>
        </w:tblPrEx>
        <w:trPr>
          <w:trHeight w:val="615" w:hRule="atLeast"/>
          <w:jc w:val="center"/>
        </w:trPr>
        <w:tc>
          <w:tcPr>
            <w:tcW w:w="8931" w:type="dxa"/>
            <w:gridSpan w:val="4"/>
            <w:tcBorders>
              <w:top w:val="nil"/>
              <w:left w:val="nil"/>
              <w:bottom w:val="nil"/>
              <w:right w:val="nil"/>
            </w:tcBorders>
            <w:noWrap w:val="0"/>
            <w:vAlign w:val="bottom"/>
          </w:tcPr>
          <w:p>
            <w:pPr>
              <w:widowControl/>
              <w:jc w:val="center"/>
              <w:rPr>
                <w:rFonts w:eastAsia="方正小标宋简体"/>
                <w:kern w:val="0"/>
                <w:sz w:val="44"/>
                <w:szCs w:val="44"/>
              </w:rPr>
            </w:pPr>
          </w:p>
          <w:p>
            <w:pPr>
              <w:widowControl/>
              <w:jc w:val="center"/>
              <w:rPr>
                <w:rFonts w:eastAsia="方正小标宋简体"/>
                <w:kern w:val="0"/>
                <w:sz w:val="44"/>
                <w:szCs w:val="44"/>
              </w:rPr>
            </w:pPr>
            <w:r>
              <w:rPr>
                <w:rFonts w:eastAsia="方正小标宋简体"/>
                <w:kern w:val="0"/>
                <w:sz w:val="36"/>
                <w:szCs w:val="36"/>
              </w:rPr>
              <w:t>一般公共预算</w:t>
            </w:r>
            <w:r>
              <w:rPr>
                <w:rFonts w:hint="eastAsia" w:eastAsia="方正小标宋简体"/>
                <w:kern w:val="0"/>
                <w:sz w:val="36"/>
                <w:szCs w:val="36"/>
              </w:rPr>
              <w:t>基本</w:t>
            </w:r>
            <w:r>
              <w:rPr>
                <w:rFonts w:eastAsia="方正小标宋简体"/>
                <w:kern w:val="0"/>
                <w:sz w:val="36"/>
                <w:szCs w:val="36"/>
              </w:rPr>
              <w:t>支出表</w:t>
            </w:r>
          </w:p>
        </w:tc>
      </w:tr>
      <w:tr>
        <w:tblPrEx>
          <w:tblCellMar>
            <w:top w:w="0" w:type="dxa"/>
            <w:left w:w="108" w:type="dxa"/>
            <w:bottom w:w="0" w:type="dxa"/>
            <w:right w:w="108" w:type="dxa"/>
          </w:tblCellMar>
        </w:tblPrEx>
        <w:trPr>
          <w:trHeight w:val="390" w:hRule="atLeast"/>
          <w:jc w:val="center"/>
        </w:trPr>
        <w:tc>
          <w:tcPr>
            <w:tcW w:w="3176" w:type="dxa"/>
            <w:tcBorders>
              <w:top w:val="nil"/>
              <w:left w:val="nil"/>
              <w:bottom w:val="single" w:color="auto" w:sz="4" w:space="0"/>
              <w:right w:val="nil"/>
            </w:tcBorders>
            <w:noWrap w:val="0"/>
            <w:vAlign w:val="center"/>
          </w:tcPr>
          <w:p>
            <w:pPr>
              <w:widowControl/>
              <w:jc w:val="left"/>
              <w:rPr>
                <w:rFonts w:eastAsia="宋体"/>
                <w:kern w:val="0"/>
                <w:sz w:val="20"/>
              </w:rPr>
            </w:pPr>
            <w:r>
              <w:rPr>
                <w:rFonts w:eastAsia="宋体"/>
                <w:kern w:val="0"/>
                <w:sz w:val="20"/>
              </w:rPr>
              <w:t>　</w:t>
            </w:r>
          </w:p>
        </w:tc>
        <w:tc>
          <w:tcPr>
            <w:tcW w:w="2220" w:type="dxa"/>
            <w:tcBorders>
              <w:top w:val="nil"/>
              <w:left w:val="nil"/>
              <w:bottom w:val="single" w:color="auto" w:sz="4" w:space="0"/>
              <w:right w:val="nil"/>
            </w:tcBorders>
            <w:noWrap w:val="0"/>
            <w:vAlign w:val="center"/>
          </w:tcPr>
          <w:p>
            <w:pPr>
              <w:widowControl/>
              <w:jc w:val="right"/>
              <w:rPr>
                <w:rFonts w:eastAsia="宋体"/>
                <w:kern w:val="0"/>
                <w:sz w:val="20"/>
              </w:rPr>
            </w:pPr>
            <w:r>
              <w:rPr>
                <w:rFonts w:eastAsia="宋体"/>
                <w:kern w:val="0"/>
                <w:sz w:val="20"/>
              </w:rPr>
              <w:t>　</w:t>
            </w:r>
          </w:p>
        </w:tc>
        <w:tc>
          <w:tcPr>
            <w:tcW w:w="3535" w:type="dxa"/>
            <w:gridSpan w:val="2"/>
            <w:tcBorders>
              <w:top w:val="nil"/>
              <w:left w:val="nil"/>
              <w:bottom w:val="single" w:color="auto" w:sz="4" w:space="0"/>
              <w:right w:val="nil"/>
            </w:tcBorders>
            <w:noWrap w:val="0"/>
            <w:vAlign w:val="center"/>
          </w:tcPr>
          <w:p>
            <w:pPr>
              <w:widowControl/>
              <w:jc w:val="right"/>
              <w:rPr>
                <w:rFonts w:eastAsia="华文细黑"/>
                <w:kern w:val="0"/>
                <w:sz w:val="20"/>
              </w:rPr>
            </w:pPr>
            <w:r>
              <w:rPr>
                <w:rFonts w:hint="eastAsia" w:ascii="宋体" w:hAnsi="宋体" w:eastAsia="宋体" w:cs="宋体"/>
                <w:kern w:val="0"/>
                <w:sz w:val="20"/>
              </w:rPr>
              <w:t>　单位：万元</w:t>
            </w:r>
          </w:p>
        </w:tc>
      </w:tr>
      <w:tr>
        <w:tblPrEx>
          <w:tblCellMar>
            <w:top w:w="0" w:type="dxa"/>
            <w:left w:w="108" w:type="dxa"/>
            <w:bottom w:w="0" w:type="dxa"/>
            <w:right w:w="108" w:type="dxa"/>
          </w:tblCellMar>
        </w:tblPrEx>
        <w:trPr>
          <w:trHeight w:val="812" w:hRule="atLeast"/>
          <w:jc w:val="center"/>
        </w:trPr>
        <w:tc>
          <w:tcPr>
            <w:tcW w:w="3176" w:type="dxa"/>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szCs w:val="20"/>
              </w:rPr>
            </w:pPr>
            <w:r>
              <w:rPr>
                <w:rFonts w:hint="eastAsia" w:ascii="宋体" w:hAnsi="宋体" w:eastAsia="宋体" w:cs="宋体"/>
                <w:kern w:val="0"/>
                <w:sz w:val="20"/>
                <w:szCs w:val="20"/>
              </w:rPr>
              <w:t>经济分类科目</w:t>
            </w:r>
          </w:p>
        </w:tc>
        <w:tc>
          <w:tcPr>
            <w:tcW w:w="2220" w:type="dxa"/>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szCs w:val="20"/>
              </w:rPr>
            </w:pPr>
            <w:r>
              <w:rPr>
                <w:rFonts w:hint="eastAsia" w:ascii="宋体" w:hAnsi="宋体" w:eastAsia="宋体" w:cs="宋体"/>
                <w:color w:val="000000"/>
                <w:kern w:val="0"/>
                <w:sz w:val="20"/>
                <w:szCs w:val="20"/>
              </w:rPr>
              <w:t>合计</w:t>
            </w:r>
          </w:p>
        </w:tc>
        <w:tc>
          <w:tcPr>
            <w:tcW w:w="1704" w:type="dxa"/>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sz w:val="20"/>
                <w:szCs w:val="20"/>
              </w:rPr>
            </w:pPr>
            <w:r>
              <w:rPr>
                <w:rFonts w:hint="eastAsia" w:ascii="宋体" w:hAnsi="宋体" w:eastAsia="宋体" w:cs="宋体"/>
                <w:color w:val="000000"/>
                <w:kern w:val="0"/>
                <w:sz w:val="20"/>
                <w:szCs w:val="20"/>
              </w:rPr>
              <w:t>人员经费</w:t>
            </w:r>
          </w:p>
        </w:tc>
        <w:tc>
          <w:tcPr>
            <w:tcW w:w="183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sz w:val="20"/>
                <w:szCs w:val="20"/>
              </w:rPr>
            </w:pPr>
            <w:r>
              <w:rPr>
                <w:rFonts w:hint="eastAsia" w:ascii="宋体" w:hAnsi="宋体" w:eastAsia="宋体" w:cs="宋体"/>
                <w:color w:val="000000"/>
                <w:kern w:val="0"/>
                <w:sz w:val="20"/>
                <w:szCs w:val="20"/>
              </w:rPr>
              <w:t>公用经费</w:t>
            </w:r>
          </w:p>
        </w:tc>
      </w:tr>
      <w:tr>
        <w:tblPrEx>
          <w:tblCellMar>
            <w:top w:w="0" w:type="dxa"/>
            <w:left w:w="108" w:type="dxa"/>
            <w:bottom w:w="0" w:type="dxa"/>
            <w:right w:w="108" w:type="dxa"/>
          </w:tblCellMar>
        </w:tblPrEx>
        <w:trPr>
          <w:trHeight w:val="614"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工资福利支出</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center"/>
              <w:textAlignment w:val="center"/>
              <w:rPr>
                <w:rFonts w:eastAsia="宋体"/>
                <w:kern w:val="0"/>
                <w:sz w:val="20"/>
              </w:rPr>
            </w:pPr>
            <w:r>
              <w:rPr>
                <w:rFonts w:hint="default" w:ascii="Arial" w:hAnsi="Arial" w:eastAsia="宋体" w:cs="Arial"/>
                <w:i w:val="0"/>
                <w:iCs w:val="0"/>
                <w:color w:val="000000"/>
                <w:kern w:val="0"/>
                <w:sz w:val="20"/>
                <w:szCs w:val="20"/>
                <w:u w:val="none"/>
                <w:lang w:val="en-US" w:eastAsia="zh-CN" w:bidi="ar"/>
              </w:rPr>
              <w:t>1,031.30</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center"/>
              <w:textAlignment w:val="center"/>
            </w:pPr>
            <w:r>
              <w:rPr>
                <w:rFonts w:hint="default" w:ascii="Arial" w:hAnsi="Arial" w:eastAsia="宋体" w:cs="Arial"/>
                <w:i w:val="0"/>
                <w:iCs w:val="0"/>
                <w:color w:val="000000"/>
                <w:kern w:val="0"/>
                <w:sz w:val="20"/>
                <w:szCs w:val="20"/>
                <w:u w:val="none"/>
                <w:lang w:val="en-US" w:eastAsia="zh-CN" w:bidi="ar"/>
              </w:rPr>
              <w:t>1,031.30</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jc w:val="cente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　基本工资</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center"/>
              <w:textAlignment w:val="center"/>
              <w:rPr>
                <w:rFonts w:eastAsia="宋体"/>
                <w:kern w:val="0"/>
                <w:sz w:val="20"/>
              </w:rPr>
            </w:pPr>
            <w:r>
              <w:rPr>
                <w:rFonts w:hint="default" w:ascii="Arial" w:hAnsi="Arial" w:eastAsia="宋体" w:cs="Arial"/>
                <w:i w:val="0"/>
                <w:iCs w:val="0"/>
                <w:color w:val="000000"/>
                <w:kern w:val="0"/>
                <w:sz w:val="20"/>
                <w:szCs w:val="20"/>
                <w:u w:val="none"/>
                <w:lang w:val="en-US" w:eastAsia="zh-CN" w:bidi="ar"/>
              </w:rPr>
              <w:t>299.95</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center"/>
              <w:textAlignment w:val="center"/>
            </w:pPr>
            <w:r>
              <w:rPr>
                <w:rFonts w:hint="default" w:ascii="Arial" w:hAnsi="Arial" w:eastAsia="宋体" w:cs="Arial"/>
                <w:i w:val="0"/>
                <w:iCs w:val="0"/>
                <w:color w:val="000000"/>
                <w:kern w:val="0"/>
                <w:sz w:val="20"/>
                <w:szCs w:val="20"/>
                <w:u w:val="none"/>
                <w:lang w:val="en-US" w:eastAsia="zh-CN" w:bidi="ar"/>
              </w:rPr>
              <w:t>299.95</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jc w:val="cente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　津贴补贴</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center"/>
              <w:textAlignment w:val="center"/>
              <w:rPr>
                <w:rFonts w:eastAsia="宋体"/>
                <w:kern w:val="0"/>
                <w:sz w:val="20"/>
              </w:rPr>
            </w:pPr>
            <w:r>
              <w:rPr>
                <w:rFonts w:hint="default" w:ascii="Arial" w:hAnsi="Arial" w:eastAsia="宋体" w:cs="Arial"/>
                <w:i w:val="0"/>
                <w:iCs w:val="0"/>
                <w:color w:val="000000"/>
                <w:kern w:val="0"/>
                <w:sz w:val="20"/>
                <w:szCs w:val="20"/>
                <w:u w:val="none"/>
                <w:lang w:val="en-US" w:eastAsia="zh-CN" w:bidi="ar"/>
              </w:rPr>
              <w:t>338.32</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center"/>
              <w:textAlignment w:val="center"/>
            </w:pPr>
            <w:r>
              <w:rPr>
                <w:rFonts w:hint="default" w:ascii="Arial" w:hAnsi="Arial" w:eastAsia="宋体" w:cs="Arial"/>
                <w:i w:val="0"/>
                <w:iCs w:val="0"/>
                <w:color w:val="000000"/>
                <w:kern w:val="0"/>
                <w:sz w:val="20"/>
                <w:szCs w:val="20"/>
                <w:u w:val="none"/>
                <w:lang w:val="en-US" w:eastAsia="zh-CN" w:bidi="ar"/>
              </w:rPr>
              <w:t>338.32</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jc w:val="cente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　奖金</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center"/>
              <w:textAlignment w:val="center"/>
              <w:rPr>
                <w:rFonts w:eastAsia="宋体"/>
                <w:kern w:val="0"/>
                <w:sz w:val="20"/>
              </w:rPr>
            </w:pPr>
            <w:r>
              <w:rPr>
                <w:rFonts w:hint="default" w:ascii="Arial" w:hAnsi="Arial" w:eastAsia="宋体" w:cs="Arial"/>
                <w:i w:val="0"/>
                <w:iCs w:val="0"/>
                <w:color w:val="000000"/>
                <w:kern w:val="0"/>
                <w:sz w:val="20"/>
                <w:szCs w:val="20"/>
                <w:u w:val="none"/>
                <w:lang w:val="en-US" w:eastAsia="zh-CN" w:bidi="ar"/>
              </w:rPr>
              <w:t>119.48</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center"/>
              <w:textAlignment w:val="center"/>
            </w:pPr>
            <w:r>
              <w:rPr>
                <w:rFonts w:hint="default" w:ascii="Arial" w:hAnsi="Arial" w:eastAsia="宋体" w:cs="Arial"/>
                <w:i w:val="0"/>
                <w:iCs w:val="0"/>
                <w:color w:val="000000"/>
                <w:kern w:val="0"/>
                <w:sz w:val="20"/>
                <w:szCs w:val="20"/>
                <w:u w:val="none"/>
                <w:lang w:val="en-US" w:eastAsia="zh-CN" w:bidi="ar"/>
              </w:rPr>
              <w:t>119.48</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jc w:val="cente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jc w:val="left"/>
              <w:textAlignment w:val="center"/>
              <w:rPr>
                <w:rFonts w:eastAsia="宋体"/>
                <w:kern w:val="0"/>
                <w:sz w:val="20"/>
              </w:rPr>
            </w:pPr>
            <w:r>
              <w:rPr>
                <w:rFonts w:hint="default" w:ascii="Arial" w:hAnsi="Arial" w:eastAsia="宋体" w:cs="Arial"/>
                <w:i w:val="0"/>
                <w:iCs w:val="0"/>
                <w:color w:val="000000"/>
                <w:kern w:val="0"/>
                <w:sz w:val="20"/>
                <w:szCs w:val="20"/>
                <w:u w:val="none"/>
                <w:lang w:val="en-US" w:eastAsia="zh-CN" w:bidi="ar"/>
              </w:rPr>
              <w:t>　机关事业单位基本养老保险缴费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center"/>
              <w:textAlignment w:val="center"/>
              <w:rPr>
                <w:rFonts w:eastAsia="宋体"/>
                <w:kern w:val="0"/>
                <w:sz w:val="20"/>
              </w:rPr>
            </w:pPr>
            <w:r>
              <w:rPr>
                <w:rFonts w:hint="default" w:ascii="Arial" w:hAnsi="Arial" w:eastAsia="宋体" w:cs="Arial"/>
                <w:i w:val="0"/>
                <w:iCs w:val="0"/>
                <w:color w:val="000000"/>
                <w:kern w:val="0"/>
                <w:sz w:val="20"/>
                <w:szCs w:val="20"/>
                <w:u w:val="none"/>
                <w:lang w:val="en-US" w:eastAsia="zh-CN" w:bidi="ar"/>
              </w:rPr>
              <w:t>107.58</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center"/>
              <w:textAlignment w:val="center"/>
            </w:pPr>
            <w:r>
              <w:rPr>
                <w:rFonts w:hint="default" w:ascii="Arial" w:hAnsi="Arial" w:eastAsia="宋体" w:cs="Arial"/>
                <w:i w:val="0"/>
                <w:iCs w:val="0"/>
                <w:color w:val="000000"/>
                <w:kern w:val="0"/>
                <w:sz w:val="20"/>
                <w:szCs w:val="20"/>
                <w:u w:val="none"/>
                <w:lang w:val="en-US" w:eastAsia="zh-CN" w:bidi="ar"/>
              </w:rPr>
              <w:t>107.58</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jc w:val="cente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jc w:val="left"/>
              <w:textAlignment w:val="center"/>
              <w:rPr>
                <w:rFonts w:eastAsia="宋体"/>
                <w:kern w:val="0"/>
                <w:sz w:val="20"/>
              </w:rPr>
            </w:pPr>
            <w:r>
              <w:rPr>
                <w:rFonts w:hint="default" w:ascii="Arial" w:hAnsi="Arial" w:eastAsia="宋体" w:cs="Arial"/>
                <w:i w:val="0"/>
                <w:iCs w:val="0"/>
                <w:color w:val="000000"/>
                <w:kern w:val="0"/>
                <w:sz w:val="20"/>
                <w:szCs w:val="20"/>
                <w:u w:val="none"/>
                <w:lang w:val="en-US" w:eastAsia="zh-CN" w:bidi="ar"/>
              </w:rPr>
              <w:t>　职业年金缴费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center"/>
              <w:textAlignment w:val="center"/>
              <w:rPr>
                <w:rFonts w:eastAsia="宋体"/>
                <w:kern w:val="0"/>
                <w:sz w:val="20"/>
              </w:rPr>
            </w:pPr>
            <w:r>
              <w:rPr>
                <w:rFonts w:hint="default" w:ascii="Arial" w:hAnsi="Arial" w:eastAsia="宋体" w:cs="Arial"/>
                <w:i w:val="0"/>
                <w:iCs w:val="0"/>
                <w:color w:val="000000"/>
                <w:kern w:val="0"/>
                <w:sz w:val="20"/>
                <w:szCs w:val="20"/>
                <w:u w:val="none"/>
                <w:lang w:val="en-US" w:eastAsia="zh-CN" w:bidi="ar"/>
              </w:rPr>
              <w:t>25.98</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center"/>
              <w:textAlignment w:val="center"/>
            </w:pPr>
            <w:r>
              <w:rPr>
                <w:rFonts w:hint="default" w:ascii="Arial" w:hAnsi="Arial" w:eastAsia="宋体" w:cs="Arial"/>
                <w:i w:val="0"/>
                <w:iCs w:val="0"/>
                <w:color w:val="000000"/>
                <w:kern w:val="0"/>
                <w:sz w:val="20"/>
                <w:szCs w:val="20"/>
                <w:u w:val="none"/>
                <w:lang w:val="en-US" w:eastAsia="zh-CN" w:bidi="ar"/>
              </w:rPr>
              <w:t>25.98</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jc w:val="cente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jc w:val="left"/>
              <w:textAlignment w:val="center"/>
              <w:rPr>
                <w:rFonts w:eastAsia="宋体"/>
                <w:kern w:val="0"/>
                <w:sz w:val="20"/>
              </w:rPr>
            </w:pPr>
            <w:r>
              <w:rPr>
                <w:rFonts w:hint="default" w:ascii="Arial" w:hAnsi="Arial" w:eastAsia="宋体" w:cs="Arial"/>
                <w:i w:val="0"/>
                <w:iCs w:val="0"/>
                <w:color w:val="000000"/>
                <w:kern w:val="0"/>
                <w:sz w:val="20"/>
                <w:szCs w:val="20"/>
                <w:u w:val="none"/>
                <w:lang w:val="en-US" w:eastAsia="zh-CN" w:bidi="ar"/>
              </w:rPr>
              <w:t>　职工基本医疗保险缴费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center"/>
              <w:textAlignment w:val="center"/>
              <w:rPr>
                <w:rFonts w:eastAsia="宋体"/>
                <w:kern w:val="0"/>
                <w:sz w:val="20"/>
              </w:rPr>
            </w:pPr>
            <w:r>
              <w:rPr>
                <w:rFonts w:hint="default" w:ascii="Arial" w:hAnsi="Arial" w:eastAsia="宋体" w:cs="Arial"/>
                <w:i w:val="0"/>
                <w:iCs w:val="0"/>
                <w:color w:val="000000"/>
                <w:kern w:val="0"/>
                <w:sz w:val="20"/>
                <w:szCs w:val="20"/>
                <w:u w:val="none"/>
                <w:lang w:val="en-US" w:eastAsia="zh-CN" w:bidi="ar"/>
              </w:rPr>
              <w:t>50.09</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center"/>
              <w:textAlignment w:val="center"/>
            </w:pPr>
            <w:r>
              <w:rPr>
                <w:rFonts w:hint="default" w:ascii="Arial" w:hAnsi="Arial" w:eastAsia="宋体" w:cs="Arial"/>
                <w:i w:val="0"/>
                <w:iCs w:val="0"/>
                <w:color w:val="000000"/>
                <w:kern w:val="0"/>
                <w:sz w:val="20"/>
                <w:szCs w:val="20"/>
                <w:u w:val="none"/>
                <w:lang w:val="en-US" w:eastAsia="zh-CN" w:bidi="ar"/>
              </w:rPr>
              <w:t>50.09</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jc w:val="cente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jc w:val="left"/>
              <w:textAlignment w:val="center"/>
              <w:rPr>
                <w:rFonts w:eastAsia="宋体"/>
                <w:kern w:val="0"/>
                <w:sz w:val="20"/>
              </w:rPr>
            </w:pPr>
            <w:r>
              <w:rPr>
                <w:rFonts w:hint="default" w:ascii="Arial" w:hAnsi="Arial" w:eastAsia="宋体" w:cs="Arial"/>
                <w:i w:val="0"/>
                <w:iCs w:val="0"/>
                <w:color w:val="000000"/>
                <w:kern w:val="0"/>
                <w:sz w:val="20"/>
                <w:szCs w:val="20"/>
                <w:u w:val="none"/>
                <w:lang w:val="en-US" w:eastAsia="zh-CN" w:bidi="ar"/>
              </w:rPr>
              <w:t>　其他社会保障缴费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center"/>
              <w:textAlignment w:val="center"/>
              <w:rPr>
                <w:rFonts w:eastAsia="宋体"/>
                <w:kern w:val="0"/>
                <w:sz w:val="20"/>
              </w:rPr>
            </w:pPr>
            <w:r>
              <w:rPr>
                <w:rFonts w:hint="default" w:ascii="Arial" w:hAnsi="Arial" w:eastAsia="宋体" w:cs="Arial"/>
                <w:i w:val="0"/>
                <w:iCs w:val="0"/>
                <w:color w:val="000000"/>
                <w:kern w:val="0"/>
                <w:sz w:val="20"/>
                <w:szCs w:val="20"/>
                <w:u w:val="none"/>
                <w:lang w:val="en-US" w:eastAsia="zh-CN" w:bidi="ar"/>
              </w:rPr>
              <w:t>2.02</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center"/>
              <w:textAlignment w:val="center"/>
            </w:pPr>
            <w:r>
              <w:rPr>
                <w:rFonts w:hint="default" w:ascii="Arial" w:hAnsi="Arial" w:eastAsia="宋体" w:cs="Arial"/>
                <w:i w:val="0"/>
                <w:iCs w:val="0"/>
                <w:color w:val="000000"/>
                <w:kern w:val="0"/>
                <w:sz w:val="20"/>
                <w:szCs w:val="20"/>
                <w:u w:val="none"/>
                <w:lang w:val="en-US" w:eastAsia="zh-CN" w:bidi="ar"/>
              </w:rPr>
              <w:t>2.02</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jc w:val="cente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eastAsia="宋体"/>
                <w:kern w:val="0"/>
                <w:sz w:val="20"/>
              </w:rPr>
            </w:pPr>
            <w:r>
              <w:rPr>
                <w:rFonts w:hint="default" w:ascii="Arial" w:hAnsi="Arial" w:eastAsia="宋体" w:cs="Arial"/>
                <w:i w:val="0"/>
                <w:iCs w:val="0"/>
                <w:color w:val="000000"/>
                <w:kern w:val="0"/>
                <w:sz w:val="20"/>
                <w:szCs w:val="20"/>
                <w:u w:val="none"/>
                <w:lang w:val="en-US" w:eastAsia="zh-CN" w:bidi="ar"/>
              </w:rPr>
              <w:t>　住房公积金</w:t>
            </w:r>
          </w:p>
        </w:tc>
        <w:tc>
          <w:tcPr>
            <w:tcW w:w="222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eastAsia="宋体"/>
                <w:kern w:val="0"/>
                <w:sz w:val="20"/>
              </w:rPr>
            </w:pPr>
            <w:r>
              <w:rPr>
                <w:rFonts w:hint="default" w:ascii="Arial" w:hAnsi="Arial" w:eastAsia="宋体" w:cs="Arial"/>
                <w:i w:val="0"/>
                <w:iCs w:val="0"/>
                <w:color w:val="000000"/>
                <w:kern w:val="0"/>
                <w:sz w:val="20"/>
                <w:szCs w:val="20"/>
                <w:u w:val="none"/>
                <w:lang w:val="en-US" w:eastAsia="zh-CN" w:bidi="ar"/>
              </w:rPr>
              <w:t>80.63</w:t>
            </w:r>
          </w:p>
        </w:tc>
        <w:tc>
          <w:tcPr>
            <w:tcW w:w="170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pPr>
            <w:r>
              <w:rPr>
                <w:rFonts w:hint="default" w:ascii="Arial" w:hAnsi="Arial" w:eastAsia="宋体" w:cs="Arial"/>
                <w:i w:val="0"/>
                <w:iCs w:val="0"/>
                <w:color w:val="000000"/>
                <w:kern w:val="0"/>
                <w:sz w:val="20"/>
                <w:szCs w:val="20"/>
                <w:u w:val="none"/>
                <w:lang w:val="en-US" w:eastAsia="zh-CN" w:bidi="ar"/>
              </w:rPr>
              <w:t>80.63</w:t>
            </w:r>
          </w:p>
        </w:tc>
        <w:tc>
          <w:tcPr>
            <w:tcW w:w="1831" w:type="dxa"/>
            <w:tcBorders>
              <w:top w:val="single" w:color="auto" w:sz="4" w:space="0"/>
              <w:left w:val="single" w:color="auto" w:sz="4" w:space="0"/>
              <w:bottom w:val="single" w:color="auto" w:sz="4" w:space="0"/>
              <w:right w:val="single" w:color="auto" w:sz="4" w:space="0"/>
            </w:tcBorders>
            <w:noWrap w:val="0"/>
            <w:vAlign w:val="center"/>
          </w:tcPr>
          <w:p>
            <w:pPr>
              <w:jc w:val="cente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　其他工资福利支出</w:t>
            </w:r>
          </w:p>
        </w:tc>
        <w:tc>
          <w:tcPr>
            <w:tcW w:w="222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eastAsia="宋体"/>
                <w:kern w:val="0"/>
                <w:sz w:val="20"/>
              </w:rPr>
            </w:pPr>
            <w:r>
              <w:rPr>
                <w:rFonts w:hint="default" w:ascii="Arial" w:hAnsi="Arial" w:eastAsia="宋体" w:cs="Arial"/>
                <w:i w:val="0"/>
                <w:iCs w:val="0"/>
                <w:color w:val="000000"/>
                <w:kern w:val="0"/>
                <w:sz w:val="20"/>
                <w:szCs w:val="20"/>
                <w:u w:val="none"/>
                <w:lang w:val="en-US" w:eastAsia="zh-CN" w:bidi="ar"/>
              </w:rPr>
              <w:t>7.26</w:t>
            </w:r>
          </w:p>
        </w:tc>
        <w:tc>
          <w:tcPr>
            <w:tcW w:w="170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pPr>
            <w:r>
              <w:rPr>
                <w:rFonts w:hint="default" w:ascii="Arial" w:hAnsi="Arial" w:eastAsia="宋体" w:cs="Arial"/>
                <w:i w:val="0"/>
                <w:iCs w:val="0"/>
                <w:color w:val="000000"/>
                <w:kern w:val="0"/>
                <w:sz w:val="20"/>
                <w:szCs w:val="20"/>
                <w:u w:val="none"/>
                <w:lang w:val="en-US" w:eastAsia="zh-CN" w:bidi="ar"/>
              </w:rPr>
              <w:t>7.26</w:t>
            </w:r>
          </w:p>
        </w:tc>
        <w:tc>
          <w:tcPr>
            <w:tcW w:w="1831" w:type="dxa"/>
            <w:tcBorders>
              <w:top w:val="single" w:color="auto" w:sz="4" w:space="0"/>
              <w:left w:val="single" w:color="auto" w:sz="4" w:space="0"/>
              <w:bottom w:val="single" w:color="auto" w:sz="4" w:space="0"/>
              <w:right w:val="single" w:color="auto" w:sz="4" w:space="0"/>
            </w:tcBorders>
            <w:noWrap w:val="0"/>
            <w:vAlign w:val="center"/>
          </w:tcPr>
          <w:p>
            <w:pPr>
              <w:jc w:val="cente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商品和服务支出</w:t>
            </w:r>
          </w:p>
        </w:tc>
        <w:tc>
          <w:tcPr>
            <w:tcW w:w="222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eastAsia="宋体"/>
                <w:kern w:val="0"/>
                <w:sz w:val="20"/>
              </w:rPr>
            </w:pPr>
            <w:r>
              <w:rPr>
                <w:rFonts w:hint="default" w:ascii="Arial" w:hAnsi="Arial" w:eastAsia="宋体" w:cs="Arial"/>
                <w:i w:val="0"/>
                <w:iCs w:val="0"/>
                <w:color w:val="000000"/>
                <w:kern w:val="0"/>
                <w:sz w:val="20"/>
                <w:szCs w:val="20"/>
                <w:u w:val="none"/>
                <w:lang w:val="en-US" w:eastAsia="zh-CN" w:bidi="ar"/>
              </w:rPr>
              <w:t>196.56</w:t>
            </w:r>
          </w:p>
        </w:tc>
        <w:tc>
          <w:tcPr>
            <w:tcW w:w="1704" w:type="dxa"/>
            <w:tcBorders>
              <w:top w:val="single" w:color="auto" w:sz="4" w:space="0"/>
              <w:left w:val="single" w:color="auto" w:sz="4" w:space="0"/>
              <w:bottom w:val="single" w:color="auto" w:sz="4" w:space="0"/>
              <w:right w:val="single" w:color="auto" w:sz="4" w:space="0"/>
            </w:tcBorders>
            <w:noWrap w:val="0"/>
            <w:vAlign w:val="center"/>
          </w:tcPr>
          <w:p>
            <w:pPr>
              <w:jc w:val="center"/>
            </w:pPr>
          </w:p>
        </w:tc>
        <w:tc>
          <w:tcPr>
            <w:tcW w:w="183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pPr>
            <w:r>
              <w:rPr>
                <w:rFonts w:hint="default" w:ascii="Arial" w:hAnsi="Arial" w:eastAsia="宋体" w:cs="Arial"/>
                <w:i w:val="0"/>
                <w:iCs w:val="0"/>
                <w:color w:val="000000"/>
                <w:kern w:val="0"/>
                <w:sz w:val="20"/>
                <w:szCs w:val="20"/>
                <w:u w:val="none"/>
                <w:lang w:val="en-US" w:eastAsia="zh-CN" w:bidi="ar"/>
              </w:rPr>
              <w:t>196.56</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　办公费</w:t>
            </w:r>
          </w:p>
        </w:tc>
        <w:tc>
          <w:tcPr>
            <w:tcW w:w="222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eastAsia="宋体"/>
                <w:kern w:val="0"/>
                <w:sz w:val="20"/>
              </w:rPr>
            </w:pPr>
            <w:r>
              <w:rPr>
                <w:rFonts w:hint="default" w:ascii="Arial" w:hAnsi="Arial" w:eastAsia="宋体" w:cs="Arial"/>
                <w:i w:val="0"/>
                <w:iCs w:val="0"/>
                <w:color w:val="000000"/>
                <w:kern w:val="0"/>
                <w:sz w:val="20"/>
                <w:szCs w:val="20"/>
                <w:u w:val="none"/>
                <w:lang w:val="en-US" w:eastAsia="zh-CN" w:bidi="ar"/>
              </w:rPr>
              <w:t>20.00</w:t>
            </w:r>
          </w:p>
        </w:tc>
        <w:tc>
          <w:tcPr>
            <w:tcW w:w="1704" w:type="dxa"/>
            <w:tcBorders>
              <w:top w:val="single" w:color="auto" w:sz="4" w:space="0"/>
              <w:left w:val="single" w:color="auto" w:sz="4" w:space="0"/>
              <w:bottom w:val="single" w:color="auto" w:sz="4" w:space="0"/>
              <w:right w:val="single" w:color="auto" w:sz="4" w:space="0"/>
            </w:tcBorders>
            <w:noWrap w:val="0"/>
            <w:vAlign w:val="center"/>
          </w:tcPr>
          <w:p>
            <w:pPr>
              <w:jc w:val="center"/>
            </w:pPr>
          </w:p>
        </w:tc>
        <w:tc>
          <w:tcPr>
            <w:tcW w:w="183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pPr>
            <w:r>
              <w:rPr>
                <w:rFonts w:hint="default" w:ascii="Arial" w:hAnsi="Arial" w:eastAsia="宋体" w:cs="Arial"/>
                <w:i w:val="0"/>
                <w:iCs w:val="0"/>
                <w:color w:val="000000"/>
                <w:kern w:val="0"/>
                <w:sz w:val="20"/>
                <w:szCs w:val="20"/>
                <w:u w:val="none"/>
                <w:lang w:val="en-US" w:eastAsia="zh-CN" w:bidi="ar"/>
              </w:rPr>
              <w:t>20.00</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　印刷费</w:t>
            </w:r>
          </w:p>
        </w:tc>
        <w:tc>
          <w:tcPr>
            <w:tcW w:w="222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eastAsia="宋体"/>
                <w:kern w:val="0"/>
                <w:sz w:val="20"/>
              </w:rPr>
            </w:pPr>
            <w:r>
              <w:rPr>
                <w:rFonts w:hint="default" w:ascii="Arial" w:hAnsi="Arial" w:eastAsia="宋体" w:cs="Arial"/>
                <w:i w:val="0"/>
                <w:iCs w:val="0"/>
                <w:color w:val="000000"/>
                <w:kern w:val="0"/>
                <w:sz w:val="20"/>
                <w:szCs w:val="20"/>
                <w:u w:val="none"/>
                <w:lang w:val="en-US" w:eastAsia="zh-CN" w:bidi="ar"/>
              </w:rPr>
              <w:t>10.00</w:t>
            </w:r>
          </w:p>
        </w:tc>
        <w:tc>
          <w:tcPr>
            <w:tcW w:w="1704" w:type="dxa"/>
            <w:tcBorders>
              <w:top w:val="single" w:color="auto" w:sz="4" w:space="0"/>
              <w:left w:val="single" w:color="auto" w:sz="4" w:space="0"/>
              <w:bottom w:val="single" w:color="auto" w:sz="4" w:space="0"/>
              <w:right w:val="single" w:color="auto" w:sz="4" w:space="0"/>
            </w:tcBorders>
            <w:noWrap w:val="0"/>
            <w:vAlign w:val="center"/>
          </w:tcPr>
          <w:p>
            <w:pPr>
              <w:jc w:val="center"/>
            </w:pPr>
          </w:p>
        </w:tc>
        <w:tc>
          <w:tcPr>
            <w:tcW w:w="183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pPr>
            <w:r>
              <w:rPr>
                <w:rFonts w:hint="default" w:ascii="Arial" w:hAnsi="Arial" w:eastAsia="宋体" w:cs="Arial"/>
                <w:i w:val="0"/>
                <w:iCs w:val="0"/>
                <w:color w:val="000000"/>
                <w:kern w:val="0"/>
                <w:sz w:val="20"/>
                <w:szCs w:val="20"/>
                <w:u w:val="none"/>
                <w:lang w:val="en-US" w:eastAsia="zh-CN" w:bidi="ar"/>
              </w:rPr>
              <w:t>10.00</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　电费</w:t>
            </w:r>
          </w:p>
        </w:tc>
        <w:tc>
          <w:tcPr>
            <w:tcW w:w="222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eastAsia="宋体"/>
                <w:kern w:val="0"/>
                <w:sz w:val="20"/>
              </w:rPr>
            </w:pPr>
            <w:r>
              <w:rPr>
                <w:rFonts w:hint="default" w:ascii="Arial" w:hAnsi="Arial" w:eastAsia="宋体" w:cs="Arial"/>
                <w:i w:val="0"/>
                <w:iCs w:val="0"/>
                <w:color w:val="000000"/>
                <w:kern w:val="0"/>
                <w:sz w:val="20"/>
                <w:szCs w:val="20"/>
                <w:u w:val="none"/>
                <w:lang w:val="en-US" w:eastAsia="zh-CN" w:bidi="ar"/>
              </w:rPr>
              <w:t>20.00</w:t>
            </w:r>
          </w:p>
        </w:tc>
        <w:tc>
          <w:tcPr>
            <w:tcW w:w="1704" w:type="dxa"/>
            <w:tcBorders>
              <w:top w:val="single" w:color="auto" w:sz="4" w:space="0"/>
              <w:left w:val="single" w:color="auto" w:sz="4" w:space="0"/>
              <w:bottom w:val="single" w:color="auto" w:sz="4" w:space="0"/>
              <w:right w:val="single" w:color="auto" w:sz="4" w:space="0"/>
            </w:tcBorders>
            <w:noWrap w:val="0"/>
            <w:vAlign w:val="center"/>
          </w:tcPr>
          <w:p>
            <w:pPr>
              <w:jc w:val="center"/>
            </w:pPr>
          </w:p>
        </w:tc>
        <w:tc>
          <w:tcPr>
            <w:tcW w:w="183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pPr>
            <w:r>
              <w:rPr>
                <w:rFonts w:hint="default" w:ascii="Arial" w:hAnsi="Arial" w:eastAsia="宋体" w:cs="Arial"/>
                <w:i w:val="0"/>
                <w:iCs w:val="0"/>
                <w:color w:val="000000"/>
                <w:kern w:val="0"/>
                <w:sz w:val="20"/>
                <w:szCs w:val="20"/>
                <w:u w:val="none"/>
                <w:lang w:val="en-US" w:eastAsia="zh-CN" w:bidi="ar"/>
              </w:rPr>
              <w:t>20.00</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　邮电费</w:t>
            </w:r>
          </w:p>
        </w:tc>
        <w:tc>
          <w:tcPr>
            <w:tcW w:w="222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eastAsia="宋体"/>
                <w:kern w:val="0"/>
                <w:sz w:val="20"/>
              </w:rPr>
            </w:pPr>
            <w:r>
              <w:rPr>
                <w:rFonts w:hint="default" w:ascii="Arial" w:hAnsi="Arial" w:eastAsia="宋体" w:cs="Arial"/>
                <w:i w:val="0"/>
                <w:iCs w:val="0"/>
                <w:color w:val="000000"/>
                <w:kern w:val="0"/>
                <w:sz w:val="20"/>
                <w:szCs w:val="20"/>
                <w:u w:val="none"/>
                <w:lang w:val="en-US" w:eastAsia="zh-CN" w:bidi="ar"/>
              </w:rPr>
              <w:t>8.80</w:t>
            </w:r>
          </w:p>
        </w:tc>
        <w:tc>
          <w:tcPr>
            <w:tcW w:w="1704" w:type="dxa"/>
            <w:tcBorders>
              <w:top w:val="single" w:color="auto" w:sz="4" w:space="0"/>
              <w:left w:val="single" w:color="auto" w:sz="4" w:space="0"/>
              <w:bottom w:val="single" w:color="auto" w:sz="4" w:space="0"/>
              <w:right w:val="single" w:color="auto" w:sz="4" w:space="0"/>
            </w:tcBorders>
            <w:noWrap w:val="0"/>
            <w:vAlign w:val="center"/>
          </w:tcPr>
          <w:p>
            <w:pPr>
              <w:jc w:val="center"/>
            </w:pPr>
          </w:p>
        </w:tc>
        <w:tc>
          <w:tcPr>
            <w:tcW w:w="183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pPr>
            <w:r>
              <w:rPr>
                <w:rFonts w:hint="default" w:ascii="Arial" w:hAnsi="Arial" w:eastAsia="宋体" w:cs="Arial"/>
                <w:i w:val="0"/>
                <w:iCs w:val="0"/>
                <w:color w:val="000000"/>
                <w:kern w:val="0"/>
                <w:sz w:val="20"/>
                <w:szCs w:val="20"/>
                <w:u w:val="none"/>
                <w:lang w:val="en-US" w:eastAsia="zh-CN" w:bidi="ar"/>
              </w:rPr>
              <w:t>8.80</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　差旅费</w:t>
            </w:r>
          </w:p>
        </w:tc>
        <w:tc>
          <w:tcPr>
            <w:tcW w:w="222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eastAsia="宋体"/>
                <w:kern w:val="0"/>
                <w:sz w:val="20"/>
              </w:rPr>
            </w:pPr>
            <w:r>
              <w:rPr>
                <w:rFonts w:hint="default" w:ascii="Arial" w:hAnsi="Arial" w:eastAsia="宋体" w:cs="Arial"/>
                <w:i w:val="0"/>
                <w:iCs w:val="0"/>
                <w:color w:val="000000"/>
                <w:kern w:val="0"/>
                <w:sz w:val="20"/>
                <w:szCs w:val="20"/>
                <w:u w:val="none"/>
                <w:lang w:val="en-US" w:eastAsia="zh-CN" w:bidi="ar"/>
              </w:rPr>
              <w:t>10.00</w:t>
            </w:r>
          </w:p>
        </w:tc>
        <w:tc>
          <w:tcPr>
            <w:tcW w:w="1704" w:type="dxa"/>
            <w:tcBorders>
              <w:top w:val="single" w:color="auto" w:sz="4" w:space="0"/>
              <w:left w:val="single" w:color="auto" w:sz="4" w:space="0"/>
              <w:bottom w:val="single" w:color="auto" w:sz="4" w:space="0"/>
              <w:right w:val="single" w:color="auto" w:sz="4" w:space="0"/>
            </w:tcBorders>
            <w:noWrap w:val="0"/>
            <w:vAlign w:val="center"/>
          </w:tcPr>
          <w:p>
            <w:pPr>
              <w:jc w:val="center"/>
            </w:pPr>
          </w:p>
        </w:tc>
        <w:tc>
          <w:tcPr>
            <w:tcW w:w="183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pPr>
            <w:r>
              <w:rPr>
                <w:rFonts w:hint="default" w:ascii="Arial" w:hAnsi="Arial" w:eastAsia="宋体" w:cs="Arial"/>
                <w:i w:val="0"/>
                <w:iCs w:val="0"/>
                <w:color w:val="000000"/>
                <w:kern w:val="0"/>
                <w:sz w:val="20"/>
                <w:szCs w:val="20"/>
                <w:u w:val="none"/>
                <w:lang w:val="en-US" w:eastAsia="zh-CN" w:bidi="ar"/>
              </w:rPr>
              <w:t>10.00</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　维修（护）费</w:t>
            </w:r>
          </w:p>
        </w:tc>
        <w:tc>
          <w:tcPr>
            <w:tcW w:w="222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eastAsia="宋体"/>
                <w:kern w:val="0"/>
                <w:sz w:val="20"/>
              </w:rPr>
            </w:pPr>
            <w:r>
              <w:rPr>
                <w:rFonts w:hint="default" w:ascii="Arial" w:hAnsi="Arial" w:eastAsia="宋体" w:cs="Arial"/>
                <w:i w:val="0"/>
                <w:iCs w:val="0"/>
                <w:color w:val="000000"/>
                <w:kern w:val="0"/>
                <w:sz w:val="20"/>
                <w:szCs w:val="20"/>
                <w:u w:val="none"/>
                <w:lang w:val="en-US" w:eastAsia="zh-CN" w:bidi="ar"/>
              </w:rPr>
              <w:t>20.00</w:t>
            </w:r>
          </w:p>
        </w:tc>
        <w:tc>
          <w:tcPr>
            <w:tcW w:w="1704" w:type="dxa"/>
            <w:tcBorders>
              <w:top w:val="single" w:color="auto" w:sz="4" w:space="0"/>
              <w:left w:val="single" w:color="auto" w:sz="4" w:space="0"/>
              <w:bottom w:val="single" w:color="auto" w:sz="4" w:space="0"/>
              <w:right w:val="single" w:color="auto" w:sz="4" w:space="0"/>
            </w:tcBorders>
            <w:noWrap w:val="0"/>
            <w:vAlign w:val="center"/>
          </w:tcPr>
          <w:p>
            <w:pPr>
              <w:jc w:val="center"/>
            </w:pPr>
          </w:p>
        </w:tc>
        <w:tc>
          <w:tcPr>
            <w:tcW w:w="183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pPr>
            <w:r>
              <w:rPr>
                <w:rFonts w:hint="default" w:ascii="Arial" w:hAnsi="Arial" w:eastAsia="宋体" w:cs="Arial"/>
                <w:i w:val="0"/>
                <w:iCs w:val="0"/>
                <w:color w:val="000000"/>
                <w:kern w:val="0"/>
                <w:sz w:val="20"/>
                <w:szCs w:val="20"/>
                <w:u w:val="none"/>
                <w:lang w:val="en-US" w:eastAsia="zh-CN" w:bidi="ar"/>
              </w:rPr>
              <w:t>20.00</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　专用材料费</w:t>
            </w:r>
          </w:p>
        </w:tc>
        <w:tc>
          <w:tcPr>
            <w:tcW w:w="222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eastAsia="宋体"/>
                <w:kern w:val="0"/>
                <w:sz w:val="20"/>
              </w:rPr>
            </w:pPr>
            <w:r>
              <w:rPr>
                <w:rFonts w:hint="default" w:ascii="Arial" w:hAnsi="Arial" w:eastAsia="宋体" w:cs="Arial"/>
                <w:i w:val="0"/>
                <w:iCs w:val="0"/>
                <w:color w:val="000000"/>
                <w:kern w:val="0"/>
                <w:sz w:val="20"/>
                <w:szCs w:val="20"/>
                <w:u w:val="none"/>
                <w:lang w:val="en-US" w:eastAsia="zh-CN" w:bidi="ar"/>
              </w:rPr>
              <w:t>20.00</w:t>
            </w:r>
          </w:p>
        </w:tc>
        <w:tc>
          <w:tcPr>
            <w:tcW w:w="1704" w:type="dxa"/>
            <w:tcBorders>
              <w:top w:val="single" w:color="auto" w:sz="4" w:space="0"/>
              <w:left w:val="single" w:color="auto" w:sz="4" w:space="0"/>
              <w:bottom w:val="single" w:color="auto" w:sz="4" w:space="0"/>
              <w:right w:val="single" w:color="auto" w:sz="4" w:space="0"/>
            </w:tcBorders>
            <w:noWrap w:val="0"/>
            <w:vAlign w:val="center"/>
          </w:tcPr>
          <w:p>
            <w:pPr>
              <w:jc w:val="center"/>
            </w:pPr>
          </w:p>
        </w:tc>
        <w:tc>
          <w:tcPr>
            <w:tcW w:w="183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pPr>
            <w:r>
              <w:rPr>
                <w:rFonts w:hint="default" w:ascii="Arial" w:hAnsi="Arial" w:eastAsia="宋体" w:cs="Arial"/>
                <w:i w:val="0"/>
                <w:iCs w:val="0"/>
                <w:color w:val="000000"/>
                <w:kern w:val="0"/>
                <w:sz w:val="20"/>
                <w:szCs w:val="20"/>
                <w:u w:val="none"/>
                <w:lang w:val="en-US" w:eastAsia="zh-CN" w:bidi="ar"/>
              </w:rPr>
              <w:t>20.00</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　劳务费</w:t>
            </w:r>
          </w:p>
        </w:tc>
        <w:tc>
          <w:tcPr>
            <w:tcW w:w="222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eastAsia="宋体"/>
                <w:kern w:val="0"/>
                <w:sz w:val="20"/>
              </w:rPr>
            </w:pPr>
            <w:r>
              <w:rPr>
                <w:rFonts w:hint="default" w:ascii="Arial" w:hAnsi="Arial" w:eastAsia="宋体" w:cs="Arial"/>
                <w:i w:val="0"/>
                <w:iCs w:val="0"/>
                <w:color w:val="000000"/>
                <w:kern w:val="0"/>
                <w:sz w:val="20"/>
                <w:szCs w:val="20"/>
                <w:u w:val="none"/>
                <w:lang w:val="en-US" w:eastAsia="zh-CN" w:bidi="ar"/>
              </w:rPr>
              <w:t>30.00</w:t>
            </w:r>
          </w:p>
        </w:tc>
        <w:tc>
          <w:tcPr>
            <w:tcW w:w="1704" w:type="dxa"/>
            <w:tcBorders>
              <w:top w:val="single" w:color="auto" w:sz="4" w:space="0"/>
              <w:left w:val="single" w:color="auto" w:sz="4" w:space="0"/>
              <w:bottom w:val="single" w:color="auto" w:sz="4" w:space="0"/>
              <w:right w:val="single" w:color="auto" w:sz="4" w:space="0"/>
            </w:tcBorders>
            <w:noWrap w:val="0"/>
            <w:vAlign w:val="center"/>
          </w:tcPr>
          <w:p>
            <w:pPr>
              <w:jc w:val="center"/>
            </w:pPr>
          </w:p>
        </w:tc>
        <w:tc>
          <w:tcPr>
            <w:tcW w:w="183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pPr>
            <w:r>
              <w:rPr>
                <w:rFonts w:hint="default" w:ascii="Arial" w:hAnsi="Arial" w:eastAsia="宋体" w:cs="Arial"/>
                <w:i w:val="0"/>
                <w:iCs w:val="0"/>
                <w:color w:val="000000"/>
                <w:kern w:val="0"/>
                <w:sz w:val="20"/>
                <w:szCs w:val="20"/>
                <w:u w:val="none"/>
                <w:lang w:val="en-US" w:eastAsia="zh-CN" w:bidi="ar"/>
              </w:rPr>
              <w:t>30.00</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hint="default" w:ascii="Arial" w:hAnsi="Arial" w:eastAsia="宋体" w:cs="Arial"/>
                <w:i w:val="0"/>
                <w:iCs w:val="0"/>
                <w:color w:val="000000"/>
                <w:kern w:val="0"/>
                <w:sz w:val="20"/>
                <w:szCs w:val="20"/>
                <w:u w:val="none"/>
                <w:lang w:val="en-US" w:eastAsia="zh-CN" w:bidi="ar"/>
              </w:rPr>
            </w:pPr>
            <w:r>
              <w:rPr>
                <w:rFonts w:hint="default" w:ascii="Arial" w:hAnsi="Arial" w:eastAsia="宋体" w:cs="Arial"/>
                <w:i w:val="0"/>
                <w:iCs w:val="0"/>
                <w:color w:val="000000"/>
                <w:kern w:val="0"/>
                <w:sz w:val="20"/>
                <w:szCs w:val="20"/>
                <w:u w:val="none"/>
                <w:lang w:val="en-US" w:eastAsia="zh-CN" w:bidi="ar"/>
              </w:rPr>
              <w:t>　其他交通费用</w:t>
            </w:r>
          </w:p>
        </w:tc>
        <w:tc>
          <w:tcPr>
            <w:tcW w:w="222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eastAsia="宋体"/>
                <w:kern w:val="0"/>
                <w:sz w:val="20"/>
              </w:rPr>
            </w:pPr>
            <w:r>
              <w:rPr>
                <w:rFonts w:hint="default" w:ascii="Arial" w:hAnsi="Arial" w:eastAsia="宋体" w:cs="Arial"/>
                <w:i w:val="0"/>
                <w:iCs w:val="0"/>
                <w:color w:val="000000"/>
                <w:kern w:val="0"/>
                <w:sz w:val="20"/>
                <w:szCs w:val="20"/>
                <w:u w:val="none"/>
                <w:lang w:val="en-US" w:eastAsia="zh-CN" w:bidi="ar"/>
              </w:rPr>
              <w:t>47.76</w:t>
            </w:r>
          </w:p>
        </w:tc>
        <w:tc>
          <w:tcPr>
            <w:tcW w:w="1704" w:type="dxa"/>
            <w:tcBorders>
              <w:top w:val="single" w:color="auto" w:sz="4" w:space="0"/>
              <w:left w:val="single" w:color="auto" w:sz="4" w:space="0"/>
              <w:bottom w:val="single" w:color="auto" w:sz="4" w:space="0"/>
              <w:right w:val="single" w:color="auto" w:sz="4" w:space="0"/>
            </w:tcBorders>
            <w:noWrap w:val="0"/>
            <w:vAlign w:val="center"/>
          </w:tcPr>
          <w:p>
            <w:pPr>
              <w:jc w:val="center"/>
            </w:pPr>
          </w:p>
        </w:tc>
        <w:tc>
          <w:tcPr>
            <w:tcW w:w="183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pPr>
            <w:r>
              <w:rPr>
                <w:rFonts w:hint="default" w:ascii="Arial" w:hAnsi="Arial" w:eastAsia="宋体" w:cs="Arial"/>
                <w:i w:val="0"/>
                <w:iCs w:val="0"/>
                <w:color w:val="000000"/>
                <w:kern w:val="0"/>
                <w:sz w:val="20"/>
                <w:szCs w:val="20"/>
                <w:u w:val="none"/>
                <w:lang w:val="en-US" w:eastAsia="zh-CN" w:bidi="ar"/>
              </w:rPr>
              <w:t>47.76</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hint="default" w:ascii="Arial" w:hAnsi="Arial" w:eastAsia="宋体" w:cs="Arial"/>
                <w:i w:val="0"/>
                <w:iCs w:val="0"/>
                <w:color w:val="000000"/>
                <w:kern w:val="0"/>
                <w:sz w:val="20"/>
                <w:szCs w:val="20"/>
                <w:u w:val="none"/>
                <w:lang w:val="en-US" w:eastAsia="zh-CN" w:bidi="ar"/>
              </w:rPr>
            </w:pPr>
            <w:r>
              <w:rPr>
                <w:rFonts w:hint="default" w:ascii="Arial" w:hAnsi="Arial" w:eastAsia="宋体" w:cs="Arial"/>
                <w:i w:val="0"/>
                <w:iCs w:val="0"/>
                <w:color w:val="000000"/>
                <w:kern w:val="0"/>
                <w:sz w:val="20"/>
                <w:szCs w:val="20"/>
                <w:u w:val="none"/>
                <w:lang w:val="en-US" w:eastAsia="zh-CN" w:bidi="ar"/>
              </w:rPr>
              <w:t>　其他商品和服务支出</w:t>
            </w:r>
          </w:p>
        </w:tc>
        <w:tc>
          <w:tcPr>
            <w:tcW w:w="222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eastAsia="宋体"/>
                <w:kern w:val="0"/>
                <w:sz w:val="20"/>
              </w:rPr>
            </w:pPr>
            <w:r>
              <w:rPr>
                <w:rFonts w:hint="default" w:ascii="Arial" w:hAnsi="Arial" w:eastAsia="宋体" w:cs="Arial"/>
                <w:i w:val="0"/>
                <w:iCs w:val="0"/>
                <w:color w:val="000000"/>
                <w:kern w:val="0"/>
                <w:sz w:val="20"/>
                <w:szCs w:val="20"/>
                <w:u w:val="none"/>
                <w:lang w:val="en-US" w:eastAsia="zh-CN" w:bidi="ar"/>
              </w:rPr>
              <w:t>10.00</w:t>
            </w:r>
          </w:p>
        </w:tc>
        <w:tc>
          <w:tcPr>
            <w:tcW w:w="1704" w:type="dxa"/>
            <w:tcBorders>
              <w:top w:val="single" w:color="auto" w:sz="4" w:space="0"/>
              <w:left w:val="single" w:color="auto" w:sz="4" w:space="0"/>
              <w:bottom w:val="single" w:color="auto" w:sz="4" w:space="0"/>
              <w:right w:val="single" w:color="auto" w:sz="4" w:space="0"/>
            </w:tcBorders>
            <w:noWrap w:val="0"/>
            <w:vAlign w:val="center"/>
          </w:tcPr>
          <w:p>
            <w:pPr>
              <w:jc w:val="center"/>
            </w:pPr>
          </w:p>
        </w:tc>
        <w:tc>
          <w:tcPr>
            <w:tcW w:w="183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pPr>
            <w:r>
              <w:rPr>
                <w:rFonts w:hint="default" w:ascii="Arial" w:hAnsi="Arial" w:eastAsia="宋体" w:cs="Arial"/>
                <w:i w:val="0"/>
                <w:iCs w:val="0"/>
                <w:color w:val="000000"/>
                <w:kern w:val="0"/>
                <w:sz w:val="20"/>
                <w:szCs w:val="20"/>
                <w:u w:val="none"/>
                <w:lang w:val="en-US" w:eastAsia="zh-CN" w:bidi="ar"/>
              </w:rPr>
              <w:t>10.00</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hint="default" w:ascii="Arial" w:hAnsi="Arial" w:eastAsia="宋体" w:cs="Arial"/>
                <w:i w:val="0"/>
                <w:iCs w:val="0"/>
                <w:color w:val="000000"/>
                <w:kern w:val="0"/>
                <w:sz w:val="20"/>
                <w:szCs w:val="20"/>
                <w:u w:val="none"/>
                <w:lang w:val="en-US" w:eastAsia="zh-CN" w:bidi="ar"/>
              </w:rPr>
            </w:pPr>
            <w:r>
              <w:rPr>
                <w:rFonts w:hint="default" w:ascii="Arial" w:hAnsi="Arial" w:eastAsia="宋体" w:cs="Arial"/>
                <w:i w:val="0"/>
                <w:iCs w:val="0"/>
                <w:color w:val="000000"/>
                <w:kern w:val="0"/>
                <w:sz w:val="20"/>
                <w:szCs w:val="20"/>
                <w:u w:val="none"/>
                <w:lang w:val="en-US" w:eastAsia="zh-CN" w:bidi="ar"/>
              </w:rPr>
              <w:t>对个人和家庭的补助</w:t>
            </w:r>
          </w:p>
        </w:tc>
        <w:tc>
          <w:tcPr>
            <w:tcW w:w="222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eastAsia="宋体"/>
                <w:kern w:val="0"/>
                <w:sz w:val="20"/>
              </w:rPr>
            </w:pPr>
            <w:r>
              <w:rPr>
                <w:rFonts w:hint="default" w:ascii="Arial" w:hAnsi="Arial" w:eastAsia="宋体" w:cs="Arial"/>
                <w:i w:val="0"/>
                <w:iCs w:val="0"/>
                <w:color w:val="000000"/>
                <w:kern w:val="0"/>
                <w:sz w:val="20"/>
                <w:szCs w:val="20"/>
                <w:u w:val="none"/>
                <w:lang w:val="en-US" w:eastAsia="zh-CN" w:bidi="ar"/>
              </w:rPr>
              <w:t>15.81</w:t>
            </w:r>
          </w:p>
        </w:tc>
        <w:tc>
          <w:tcPr>
            <w:tcW w:w="170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pPr>
            <w:r>
              <w:rPr>
                <w:rFonts w:hint="default" w:ascii="Arial" w:hAnsi="Arial" w:eastAsia="宋体" w:cs="Arial"/>
                <w:i w:val="0"/>
                <w:iCs w:val="0"/>
                <w:color w:val="000000"/>
                <w:kern w:val="0"/>
                <w:sz w:val="20"/>
                <w:szCs w:val="20"/>
                <w:u w:val="none"/>
                <w:lang w:val="en-US" w:eastAsia="zh-CN" w:bidi="ar"/>
              </w:rPr>
              <w:t>15.81</w:t>
            </w:r>
          </w:p>
        </w:tc>
        <w:tc>
          <w:tcPr>
            <w:tcW w:w="1831" w:type="dxa"/>
            <w:tcBorders>
              <w:top w:val="single" w:color="auto" w:sz="4" w:space="0"/>
              <w:left w:val="single" w:color="auto" w:sz="4" w:space="0"/>
              <w:bottom w:val="single" w:color="auto" w:sz="4" w:space="0"/>
              <w:right w:val="single" w:color="auto" w:sz="4" w:space="0"/>
            </w:tcBorders>
            <w:noWrap w:val="0"/>
            <w:vAlign w:val="center"/>
          </w:tcPr>
          <w:p>
            <w:pPr>
              <w:jc w:val="cente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　退休费</w:t>
            </w:r>
          </w:p>
        </w:tc>
        <w:tc>
          <w:tcPr>
            <w:tcW w:w="222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eastAsia="宋体"/>
                <w:kern w:val="0"/>
                <w:sz w:val="20"/>
              </w:rPr>
            </w:pPr>
            <w:r>
              <w:rPr>
                <w:rFonts w:hint="default" w:ascii="Arial" w:hAnsi="Arial" w:eastAsia="宋体" w:cs="Arial"/>
                <w:i w:val="0"/>
                <w:iCs w:val="0"/>
                <w:color w:val="000000"/>
                <w:kern w:val="0"/>
                <w:sz w:val="20"/>
                <w:szCs w:val="20"/>
                <w:u w:val="none"/>
                <w:lang w:val="en-US" w:eastAsia="zh-CN" w:bidi="ar"/>
              </w:rPr>
              <w:t>15.81</w:t>
            </w:r>
          </w:p>
        </w:tc>
        <w:tc>
          <w:tcPr>
            <w:tcW w:w="170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pPr>
            <w:r>
              <w:rPr>
                <w:rFonts w:hint="default" w:ascii="Arial" w:hAnsi="Arial" w:eastAsia="宋体" w:cs="Arial"/>
                <w:i w:val="0"/>
                <w:iCs w:val="0"/>
                <w:color w:val="000000"/>
                <w:kern w:val="0"/>
                <w:sz w:val="20"/>
                <w:szCs w:val="20"/>
                <w:u w:val="none"/>
                <w:lang w:val="en-US" w:eastAsia="zh-CN" w:bidi="ar"/>
              </w:rPr>
              <w:t>15.81</w:t>
            </w:r>
          </w:p>
        </w:tc>
        <w:tc>
          <w:tcPr>
            <w:tcW w:w="1831" w:type="dxa"/>
            <w:tcBorders>
              <w:top w:val="single" w:color="auto" w:sz="4" w:space="0"/>
              <w:left w:val="single" w:color="auto" w:sz="4" w:space="0"/>
              <w:bottom w:val="single" w:color="auto" w:sz="4" w:space="0"/>
              <w:right w:val="single" w:color="auto" w:sz="4" w:space="0"/>
            </w:tcBorders>
            <w:noWrap w:val="0"/>
            <w:vAlign w:val="center"/>
          </w:tcPr>
          <w:p>
            <w:pPr>
              <w:jc w:val="cente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default" w:ascii="Arial" w:hAnsi="Arial" w:eastAsia="宋体" w:cs="Arial"/>
                <w:i w:val="0"/>
                <w:iCs w:val="0"/>
                <w:color w:val="000000"/>
                <w:kern w:val="0"/>
                <w:sz w:val="20"/>
                <w:szCs w:val="20"/>
                <w:u w:val="none"/>
                <w:lang w:val="en-US" w:eastAsia="zh-CN" w:bidi="ar"/>
              </w:rPr>
            </w:pPr>
            <w:r>
              <w:rPr>
                <w:rFonts w:hint="default" w:ascii="Arial" w:hAnsi="Arial" w:eastAsia="宋体" w:cs="Arial"/>
                <w:i w:val="0"/>
                <w:iCs w:val="0"/>
                <w:color w:val="000000"/>
                <w:kern w:val="0"/>
                <w:sz w:val="20"/>
                <w:szCs w:val="20"/>
                <w:u w:val="none"/>
                <w:lang w:val="en-US" w:eastAsia="zh-CN" w:bidi="ar"/>
              </w:rPr>
              <w:t>合计</w:t>
            </w:r>
          </w:p>
        </w:tc>
        <w:tc>
          <w:tcPr>
            <w:tcW w:w="222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default" w:ascii="Arial" w:hAnsi="Arial" w:eastAsia="宋体" w:cs="Arial"/>
                <w:i w:val="0"/>
                <w:iCs w:val="0"/>
                <w:color w:val="000000"/>
                <w:kern w:val="0"/>
                <w:sz w:val="20"/>
                <w:szCs w:val="20"/>
                <w:u w:val="none"/>
                <w:lang w:val="en-US" w:eastAsia="zh-CN" w:bidi="ar"/>
              </w:rPr>
            </w:pPr>
            <w:r>
              <w:rPr>
                <w:rFonts w:hint="default" w:ascii="Arial" w:hAnsi="Arial" w:eastAsia="宋体" w:cs="Arial"/>
                <w:i w:val="0"/>
                <w:iCs w:val="0"/>
                <w:color w:val="000000"/>
                <w:kern w:val="0"/>
                <w:sz w:val="20"/>
                <w:szCs w:val="20"/>
                <w:u w:val="none"/>
                <w:lang w:val="en-US" w:eastAsia="zh-CN" w:bidi="ar"/>
              </w:rPr>
              <w:t>1,243.67</w:t>
            </w:r>
          </w:p>
        </w:tc>
        <w:tc>
          <w:tcPr>
            <w:tcW w:w="170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default" w:ascii="Arial" w:hAnsi="Arial" w:eastAsia="宋体" w:cs="Arial"/>
                <w:i w:val="0"/>
                <w:iCs w:val="0"/>
                <w:color w:val="000000"/>
                <w:kern w:val="0"/>
                <w:sz w:val="20"/>
                <w:szCs w:val="20"/>
                <w:u w:val="none"/>
                <w:lang w:val="en-US" w:eastAsia="zh-CN" w:bidi="ar"/>
              </w:rPr>
            </w:pPr>
            <w:r>
              <w:rPr>
                <w:rFonts w:hint="default" w:ascii="Arial" w:hAnsi="Arial" w:eastAsia="宋体" w:cs="Arial"/>
                <w:i w:val="0"/>
                <w:iCs w:val="0"/>
                <w:color w:val="000000"/>
                <w:kern w:val="0"/>
                <w:sz w:val="20"/>
                <w:szCs w:val="20"/>
                <w:u w:val="none"/>
                <w:lang w:val="en-US" w:eastAsia="zh-CN" w:bidi="ar"/>
              </w:rPr>
              <w:t>1,047.11</w:t>
            </w:r>
          </w:p>
        </w:tc>
        <w:tc>
          <w:tcPr>
            <w:tcW w:w="183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pPr>
            <w:r>
              <w:rPr>
                <w:rFonts w:hint="default" w:ascii="Arial" w:hAnsi="Arial" w:eastAsia="宋体" w:cs="Arial"/>
                <w:i w:val="0"/>
                <w:iCs w:val="0"/>
                <w:color w:val="000000"/>
                <w:kern w:val="0"/>
                <w:sz w:val="20"/>
                <w:szCs w:val="20"/>
                <w:u w:val="none"/>
                <w:lang w:val="en-US" w:eastAsia="zh-CN" w:bidi="ar"/>
              </w:rPr>
              <w:t>196.56</w:t>
            </w:r>
          </w:p>
        </w:tc>
      </w:tr>
    </w:tbl>
    <w:p>
      <w:pPr>
        <w:ind w:firstLine="480" w:firstLineChars="200"/>
        <w:rPr>
          <w:rFonts w:hint="eastAsia" w:ascii="楷体" w:hAnsi="楷体" w:eastAsia="楷体" w:cs="楷体"/>
          <w:sz w:val="24"/>
          <w:szCs w:val="24"/>
        </w:rPr>
      </w:pPr>
      <w:r>
        <w:rPr>
          <w:rFonts w:hint="eastAsia" w:ascii="楷体" w:hAnsi="楷体" w:eastAsia="楷体" w:cs="楷体"/>
          <w:sz w:val="24"/>
          <w:szCs w:val="24"/>
        </w:rPr>
        <w:t>注：经济科目填列至款级。没有一般公共预算拨款的，公开空表，不得删除。</w:t>
      </w:r>
    </w:p>
    <w:p>
      <w:pPr>
        <w:ind w:firstLine="636"/>
        <w:rPr>
          <w:rFonts w:eastAsia="楷体"/>
        </w:rPr>
      </w:pPr>
      <w:r>
        <w:rPr>
          <w:rFonts w:hAnsi="楷体" w:eastAsia="楷体"/>
        </w:rPr>
        <w:br w:type="page"/>
      </w:r>
    </w:p>
    <w:tbl>
      <w:tblPr>
        <w:tblStyle w:val="9"/>
        <w:tblW w:w="0" w:type="auto"/>
        <w:jc w:val="center"/>
        <w:tblLayout w:type="fixed"/>
        <w:tblCellMar>
          <w:top w:w="0" w:type="dxa"/>
          <w:left w:w="108" w:type="dxa"/>
          <w:bottom w:w="0" w:type="dxa"/>
          <w:right w:w="108" w:type="dxa"/>
        </w:tblCellMar>
      </w:tblPr>
      <w:tblGrid>
        <w:gridCol w:w="4783"/>
        <w:gridCol w:w="1646"/>
        <w:gridCol w:w="1378"/>
        <w:gridCol w:w="1307"/>
      </w:tblGrid>
      <w:tr>
        <w:tblPrEx>
          <w:tblCellMar>
            <w:top w:w="0" w:type="dxa"/>
            <w:left w:w="108" w:type="dxa"/>
            <w:bottom w:w="0" w:type="dxa"/>
            <w:right w:w="108" w:type="dxa"/>
          </w:tblCellMar>
        </w:tblPrEx>
        <w:trPr>
          <w:trHeight w:val="1200" w:hRule="atLeast"/>
          <w:jc w:val="center"/>
        </w:trPr>
        <w:tc>
          <w:tcPr>
            <w:tcW w:w="9114" w:type="dxa"/>
            <w:gridSpan w:val="4"/>
            <w:tcBorders>
              <w:top w:val="nil"/>
              <w:left w:val="nil"/>
              <w:right w:val="nil"/>
            </w:tcBorders>
            <w:noWrap w:val="0"/>
            <w:vAlign w:val="center"/>
          </w:tcPr>
          <w:p>
            <w:pPr>
              <w:widowControl/>
              <w:jc w:val="center"/>
              <w:rPr>
                <w:rFonts w:eastAsia="宋体"/>
                <w:color w:val="000000"/>
                <w:kern w:val="0"/>
                <w:sz w:val="44"/>
                <w:szCs w:val="44"/>
              </w:rPr>
            </w:pPr>
            <w:r>
              <w:rPr>
                <w:rFonts w:ascii="Times New Roman" w:hAnsi="Times New Roman" w:eastAsia="方正小标宋简体" w:cs="Times New Roman"/>
                <w:kern w:val="0"/>
                <w:sz w:val="36"/>
                <w:szCs w:val="36"/>
              </w:rPr>
              <w:t>一般公共预算“三公”经费支出表</w:t>
            </w:r>
          </w:p>
        </w:tc>
      </w:tr>
      <w:tr>
        <w:tblPrEx>
          <w:tblCellMar>
            <w:top w:w="0" w:type="dxa"/>
            <w:left w:w="108" w:type="dxa"/>
            <w:bottom w:w="0" w:type="dxa"/>
            <w:right w:w="108" w:type="dxa"/>
          </w:tblCellMar>
        </w:tblPrEx>
        <w:trPr>
          <w:trHeight w:val="424" w:hRule="atLeast"/>
          <w:jc w:val="center"/>
        </w:trPr>
        <w:tc>
          <w:tcPr>
            <w:tcW w:w="9114" w:type="dxa"/>
            <w:gridSpan w:val="4"/>
            <w:tcBorders>
              <w:bottom w:val="single" w:color="auto" w:sz="4" w:space="0"/>
            </w:tcBorders>
            <w:noWrap w:val="0"/>
            <w:vAlign w:val="center"/>
          </w:tcPr>
          <w:p>
            <w:pPr>
              <w:widowControl/>
              <w:jc w:val="right"/>
              <w:rPr>
                <w:rFonts w:eastAsia="华文细黑"/>
                <w:color w:val="000000"/>
                <w:kern w:val="0"/>
                <w:sz w:val="20"/>
              </w:rPr>
            </w:pPr>
            <w:r>
              <w:rPr>
                <w:rFonts w:hAnsi="华文细黑" w:eastAsia="华文细黑"/>
                <w:color w:val="000000"/>
                <w:kern w:val="0"/>
                <w:sz w:val="20"/>
              </w:rPr>
              <w:t>单位：万元</w:t>
            </w:r>
          </w:p>
        </w:tc>
      </w:tr>
      <w:tr>
        <w:tblPrEx>
          <w:tblCellMar>
            <w:top w:w="0" w:type="dxa"/>
            <w:left w:w="108" w:type="dxa"/>
            <w:bottom w:w="0" w:type="dxa"/>
            <w:right w:w="108" w:type="dxa"/>
          </w:tblCellMar>
        </w:tblPrEx>
        <w:trPr>
          <w:trHeight w:val="810" w:hRule="atLeast"/>
          <w:jc w:val="center"/>
        </w:trPr>
        <w:tc>
          <w:tcPr>
            <w:tcW w:w="4783"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华文细黑"/>
                <w:color w:val="000000"/>
                <w:kern w:val="0"/>
                <w:sz w:val="20"/>
              </w:rPr>
            </w:pPr>
            <w:r>
              <w:rPr>
                <w:rFonts w:hAnsi="华文细黑" w:eastAsia="华文细黑"/>
                <w:color w:val="000000"/>
                <w:kern w:val="0"/>
                <w:sz w:val="20"/>
              </w:rPr>
              <w:t>项</w:t>
            </w:r>
            <w:r>
              <w:rPr>
                <w:rFonts w:eastAsia="华文细黑"/>
                <w:color w:val="000000"/>
                <w:kern w:val="0"/>
                <w:sz w:val="20"/>
              </w:rPr>
              <w:t xml:space="preserve">    </w:t>
            </w:r>
            <w:r>
              <w:rPr>
                <w:rFonts w:hAnsi="华文细黑" w:eastAsia="华文细黑"/>
                <w:color w:val="000000"/>
                <w:kern w:val="0"/>
                <w:sz w:val="20"/>
              </w:rPr>
              <w:t>目</w:t>
            </w:r>
          </w:p>
        </w:tc>
        <w:tc>
          <w:tcPr>
            <w:tcW w:w="1646" w:type="dxa"/>
            <w:tcBorders>
              <w:top w:val="single" w:color="auto" w:sz="4" w:space="0"/>
              <w:left w:val="nil"/>
              <w:bottom w:val="single" w:color="auto" w:sz="4" w:space="0"/>
              <w:right w:val="single" w:color="auto" w:sz="4" w:space="0"/>
            </w:tcBorders>
            <w:noWrap w:val="0"/>
            <w:vAlign w:val="center"/>
          </w:tcPr>
          <w:p>
            <w:pPr>
              <w:widowControl/>
              <w:jc w:val="center"/>
              <w:rPr>
                <w:rFonts w:eastAsia="华文细黑"/>
                <w:color w:val="000000"/>
                <w:kern w:val="0"/>
                <w:sz w:val="20"/>
              </w:rPr>
            </w:pPr>
            <w:r>
              <w:rPr>
                <w:rFonts w:hint="eastAsia" w:eastAsia="华文细黑"/>
                <w:color w:val="000000"/>
                <w:kern w:val="0"/>
                <w:sz w:val="20"/>
                <w:lang w:eastAsia="zh-CN"/>
              </w:rPr>
              <w:t>2024</w:t>
            </w:r>
            <w:r>
              <w:rPr>
                <w:rFonts w:hAnsi="华文细黑" w:eastAsia="华文细黑"/>
                <w:color w:val="000000"/>
                <w:kern w:val="0"/>
                <w:sz w:val="20"/>
              </w:rPr>
              <w:t>年预算数</w:t>
            </w:r>
          </w:p>
        </w:tc>
        <w:tc>
          <w:tcPr>
            <w:tcW w:w="1378" w:type="dxa"/>
            <w:tcBorders>
              <w:top w:val="single" w:color="auto" w:sz="4" w:space="0"/>
              <w:left w:val="nil"/>
              <w:bottom w:val="single" w:color="auto" w:sz="4" w:space="0"/>
              <w:right w:val="single" w:color="auto" w:sz="4" w:space="0"/>
            </w:tcBorders>
            <w:noWrap w:val="0"/>
            <w:vAlign w:val="center"/>
          </w:tcPr>
          <w:p>
            <w:pPr>
              <w:widowControl/>
              <w:jc w:val="center"/>
              <w:rPr>
                <w:rFonts w:eastAsia="华文细黑"/>
                <w:color w:val="000000"/>
                <w:kern w:val="0"/>
                <w:sz w:val="20"/>
              </w:rPr>
            </w:pPr>
            <w:r>
              <w:rPr>
                <w:rFonts w:hint="eastAsia" w:eastAsia="华文细黑"/>
                <w:color w:val="000000"/>
                <w:kern w:val="0"/>
                <w:sz w:val="20"/>
              </w:rPr>
              <w:t>当年预算</w:t>
            </w:r>
          </w:p>
        </w:tc>
        <w:tc>
          <w:tcPr>
            <w:tcW w:w="1307" w:type="dxa"/>
            <w:tcBorders>
              <w:top w:val="single" w:color="auto" w:sz="4" w:space="0"/>
              <w:left w:val="nil"/>
              <w:bottom w:val="single" w:color="auto" w:sz="4" w:space="0"/>
              <w:right w:val="single" w:color="auto" w:sz="4" w:space="0"/>
            </w:tcBorders>
            <w:noWrap w:val="0"/>
            <w:vAlign w:val="center"/>
          </w:tcPr>
          <w:p>
            <w:pPr>
              <w:widowControl/>
              <w:jc w:val="center"/>
              <w:rPr>
                <w:rFonts w:eastAsia="华文细黑"/>
                <w:color w:val="000000"/>
                <w:kern w:val="0"/>
                <w:sz w:val="20"/>
              </w:rPr>
            </w:pPr>
            <w:r>
              <w:rPr>
                <w:rFonts w:hint="eastAsia" w:eastAsia="华文细黑"/>
                <w:color w:val="000000"/>
                <w:kern w:val="0"/>
                <w:sz w:val="20"/>
              </w:rPr>
              <w:t>上年结转</w:t>
            </w:r>
          </w:p>
        </w:tc>
      </w:tr>
      <w:tr>
        <w:tblPrEx>
          <w:tblCellMar>
            <w:top w:w="0" w:type="dxa"/>
            <w:left w:w="108" w:type="dxa"/>
            <w:bottom w:w="0" w:type="dxa"/>
            <w:right w:w="108" w:type="dxa"/>
          </w:tblCellMar>
        </w:tblPrEx>
        <w:trPr>
          <w:trHeight w:val="489"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r>
              <w:rPr>
                <w:rFonts w:eastAsia="宋体"/>
                <w:color w:val="000000"/>
                <w:kern w:val="0"/>
                <w:sz w:val="20"/>
              </w:rPr>
              <w:t>合    计</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67"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ind w:firstLine="200" w:firstLineChars="100"/>
              <w:jc w:val="left"/>
              <w:rPr>
                <w:rFonts w:eastAsia="宋体"/>
                <w:color w:val="000000"/>
                <w:kern w:val="0"/>
                <w:sz w:val="20"/>
              </w:rPr>
            </w:pPr>
            <w:r>
              <w:rPr>
                <w:rFonts w:eastAsia="宋体"/>
                <w:color w:val="000000"/>
                <w:kern w:val="0"/>
                <w:sz w:val="20"/>
              </w:rPr>
              <w:t>1、因公出国（境）费用</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47"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ind w:firstLine="200" w:firstLineChars="100"/>
              <w:jc w:val="left"/>
              <w:rPr>
                <w:rFonts w:eastAsia="宋体"/>
                <w:color w:val="000000"/>
                <w:kern w:val="0"/>
                <w:sz w:val="20"/>
              </w:rPr>
            </w:pPr>
            <w:r>
              <w:rPr>
                <w:rFonts w:eastAsia="宋体"/>
                <w:color w:val="000000"/>
                <w:kern w:val="0"/>
                <w:sz w:val="20"/>
              </w:rPr>
              <w:t>2、公务接待费</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55"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ind w:firstLine="200" w:firstLineChars="100"/>
              <w:jc w:val="left"/>
              <w:rPr>
                <w:rFonts w:eastAsia="宋体"/>
                <w:color w:val="000000"/>
                <w:kern w:val="0"/>
                <w:sz w:val="20"/>
              </w:rPr>
            </w:pPr>
            <w:r>
              <w:rPr>
                <w:rFonts w:eastAsia="宋体"/>
                <w:color w:val="000000"/>
                <w:kern w:val="0"/>
                <w:sz w:val="20"/>
              </w:rPr>
              <w:t>3、公务用车费</w:t>
            </w:r>
          </w:p>
        </w:tc>
        <w:tc>
          <w:tcPr>
            <w:tcW w:w="1646" w:type="dxa"/>
            <w:tcBorders>
              <w:top w:val="nil"/>
              <w:left w:val="nil"/>
              <w:bottom w:val="single" w:color="auto" w:sz="4" w:space="0"/>
              <w:right w:val="single" w:color="auto" w:sz="4" w:space="0"/>
            </w:tcBorders>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190</w:t>
            </w: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hint="eastAsia" w:eastAsia="宋体"/>
                <w:color w:val="000000"/>
                <w:kern w:val="0"/>
                <w:sz w:val="20"/>
                <w:lang w:val="en-US" w:eastAsia="zh-CN"/>
              </w:rPr>
              <w:t>190</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77"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ind w:firstLine="400" w:firstLineChars="200"/>
              <w:jc w:val="left"/>
              <w:rPr>
                <w:rFonts w:eastAsia="宋体"/>
                <w:color w:val="000000"/>
                <w:kern w:val="0"/>
                <w:sz w:val="20"/>
              </w:rPr>
            </w:pPr>
            <w:r>
              <w:rPr>
                <w:rFonts w:eastAsia="宋体"/>
                <w:color w:val="000000"/>
                <w:kern w:val="0"/>
                <w:sz w:val="20"/>
              </w:rPr>
              <w:t>其中：（1）公务用车运行维护费</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190</w:t>
            </w: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hint="eastAsia" w:eastAsia="宋体"/>
                <w:color w:val="000000"/>
                <w:kern w:val="0"/>
                <w:sz w:val="20"/>
                <w:lang w:val="en-US" w:eastAsia="zh-CN"/>
              </w:rPr>
              <w:t>190</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57"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eastAsia="宋体"/>
                <w:color w:val="000000"/>
                <w:kern w:val="0"/>
                <w:sz w:val="20"/>
              </w:rPr>
              <w:t xml:space="preserve">          （2）公务用车购置</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1275" w:hRule="atLeast"/>
          <w:jc w:val="center"/>
        </w:trPr>
        <w:tc>
          <w:tcPr>
            <w:tcW w:w="9114" w:type="dxa"/>
            <w:gridSpan w:val="4"/>
            <w:tcBorders>
              <w:top w:val="single" w:color="auto" w:sz="4" w:space="0"/>
              <w:left w:val="nil"/>
              <w:bottom w:val="nil"/>
              <w:right w:val="nil"/>
            </w:tcBorders>
            <w:noWrap w:val="0"/>
            <w:vAlign w:val="center"/>
          </w:tcPr>
          <w:p>
            <w:pPr>
              <w:widowControl/>
              <w:jc w:val="left"/>
              <w:rPr>
                <w:rFonts w:hint="eastAsia" w:eastAsia="仿宋_GB2312"/>
                <w:color w:val="000000"/>
                <w:kern w:val="0"/>
                <w:sz w:val="28"/>
                <w:szCs w:val="28"/>
                <w:lang w:eastAsia="zh-CN"/>
              </w:rPr>
            </w:pPr>
            <w:r>
              <w:rPr>
                <w:rFonts w:eastAsia="宋体"/>
                <w:color w:val="000000"/>
                <w:kern w:val="0"/>
                <w:sz w:val="28"/>
                <w:szCs w:val="28"/>
              </w:rPr>
              <w:t xml:space="preserve">  </w:t>
            </w:r>
            <w:r>
              <w:rPr>
                <w:color w:val="000000"/>
                <w:kern w:val="0"/>
                <w:sz w:val="28"/>
                <w:szCs w:val="28"/>
              </w:rPr>
              <w:t>说明：</w:t>
            </w:r>
          </w:p>
          <w:p>
            <w:pPr>
              <w:widowControl/>
              <w:jc w:val="left"/>
              <w:rPr>
                <w:rFonts w:hint="eastAsia" w:eastAsia="宋体"/>
                <w:color w:val="000000"/>
                <w:kern w:val="0"/>
                <w:sz w:val="28"/>
                <w:szCs w:val="28"/>
                <w:lang w:eastAsia="zh-CN"/>
              </w:rPr>
            </w:pPr>
            <w:r>
              <w:rPr>
                <w:rFonts w:eastAsia="宋体"/>
                <w:color w:val="000000"/>
                <w:kern w:val="0"/>
                <w:sz w:val="28"/>
                <w:szCs w:val="28"/>
              </w:rPr>
              <w:t xml:space="preserve">       1</w:t>
            </w:r>
            <w:r>
              <w:rPr>
                <w:color w:val="000000"/>
                <w:kern w:val="0"/>
                <w:sz w:val="28"/>
                <w:szCs w:val="28"/>
              </w:rPr>
              <w:t>、</w:t>
            </w:r>
            <w:r>
              <w:rPr>
                <w:rFonts w:eastAsia="宋体"/>
                <w:color w:val="000000"/>
                <w:kern w:val="0"/>
                <w:sz w:val="28"/>
                <w:szCs w:val="28"/>
              </w:rPr>
              <w:t>“</w:t>
            </w:r>
            <w:r>
              <w:rPr>
                <w:rFonts w:hint="eastAsia" w:eastAsia="宋体"/>
                <w:color w:val="000000"/>
                <w:kern w:val="0"/>
                <w:sz w:val="28"/>
                <w:szCs w:val="28"/>
                <w:lang w:eastAsia="zh-CN"/>
              </w:rPr>
              <w:t>2024</w:t>
            </w:r>
            <w:r>
              <w:rPr>
                <w:color w:val="000000"/>
                <w:kern w:val="0"/>
                <w:sz w:val="28"/>
                <w:szCs w:val="28"/>
              </w:rPr>
              <w:t>年预算数</w:t>
            </w:r>
            <w:r>
              <w:rPr>
                <w:rFonts w:eastAsia="宋体"/>
                <w:color w:val="000000"/>
                <w:kern w:val="0"/>
                <w:sz w:val="28"/>
                <w:szCs w:val="28"/>
              </w:rPr>
              <w:t>”</w:t>
            </w:r>
            <w:r>
              <w:rPr>
                <w:color w:val="000000"/>
                <w:kern w:val="0"/>
                <w:sz w:val="28"/>
                <w:szCs w:val="28"/>
              </w:rPr>
              <w:t>的单位范围包括部门本级及所属</w:t>
            </w:r>
            <w:r>
              <w:rPr>
                <w:rFonts w:hint="eastAsia" w:eastAsia="宋体"/>
                <w:color w:val="000000"/>
                <w:kern w:val="0"/>
                <w:sz w:val="28"/>
                <w:szCs w:val="28"/>
                <w:u w:val="single"/>
                <w:lang w:val="en-US" w:eastAsia="zh-CN"/>
              </w:rPr>
              <w:t>1</w:t>
            </w:r>
            <w:r>
              <w:rPr>
                <w:color w:val="000000"/>
                <w:kern w:val="0"/>
                <w:sz w:val="28"/>
                <w:szCs w:val="28"/>
              </w:rPr>
              <w:t>个预算单位。</w:t>
            </w:r>
            <w:r>
              <w:rPr>
                <w:rFonts w:eastAsia="宋体"/>
                <w:color w:val="000000"/>
                <w:kern w:val="0"/>
                <w:sz w:val="28"/>
                <w:szCs w:val="28"/>
              </w:rPr>
              <w:t xml:space="preserve">   </w:t>
            </w:r>
          </w:p>
          <w:p>
            <w:pPr>
              <w:widowControl/>
              <w:jc w:val="left"/>
              <w:rPr>
                <w:color w:val="000000"/>
                <w:kern w:val="0"/>
                <w:sz w:val="28"/>
                <w:szCs w:val="28"/>
              </w:rPr>
            </w:pPr>
            <w:r>
              <w:rPr>
                <w:rFonts w:eastAsia="宋体"/>
                <w:color w:val="000000"/>
                <w:kern w:val="0"/>
                <w:sz w:val="28"/>
                <w:szCs w:val="28"/>
              </w:rPr>
              <w:t xml:space="preserve">       2</w:t>
            </w:r>
            <w:r>
              <w:rPr>
                <w:color w:val="000000"/>
                <w:kern w:val="0"/>
                <w:sz w:val="28"/>
                <w:szCs w:val="28"/>
              </w:rPr>
              <w:t>、</w:t>
            </w:r>
            <w:r>
              <w:rPr>
                <w:rFonts w:eastAsia="宋体"/>
                <w:color w:val="000000"/>
                <w:kern w:val="0"/>
                <w:sz w:val="28"/>
                <w:szCs w:val="28"/>
              </w:rPr>
              <w:t>“</w:t>
            </w:r>
            <w:r>
              <w:rPr>
                <w:rFonts w:hint="eastAsia" w:eastAsia="宋体"/>
                <w:color w:val="000000"/>
                <w:kern w:val="0"/>
                <w:sz w:val="28"/>
                <w:szCs w:val="28"/>
                <w:lang w:eastAsia="zh-CN"/>
              </w:rPr>
              <w:t>2024</w:t>
            </w:r>
            <w:r>
              <w:rPr>
                <w:color w:val="000000"/>
                <w:kern w:val="0"/>
                <w:sz w:val="28"/>
                <w:szCs w:val="28"/>
              </w:rPr>
              <w:t>年预算数</w:t>
            </w:r>
            <w:r>
              <w:rPr>
                <w:rFonts w:eastAsia="宋体"/>
                <w:color w:val="000000"/>
                <w:kern w:val="0"/>
                <w:sz w:val="28"/>
                <w:szCs w:val="28"/>
              </w:rPr>
              <w:t>”</w:t>
            </w:r>
            <w:r>
              <w:rPr>
                <w:color w:val="000000"/>
                <w:kern w:val="0"/>
                <w:sz w:val="28"/>
                <w:szCs w:val="28"/>
              </w:rPr>
              <w:t>的实有人员</w:t>
            </w:r>
            <w:r>
              <w:rPr>
                <w:rFonts w:hint="eastAsia" w:eastAsia="宋体"/>
                <w:color w:val="000000"/>
                <w:kern w:val="0"/>
                <w:sz w:val="28"/>
                <w:szCs w:val="28"/>
                <w:u w:val="single"/>
                <w:lang w:val="en-US" w:eastAsia="zh-CN"/>
              </w:rPr>
              <w:t>87</w:t>
            </w:r>
            <w:r>
              <w:rPr>
                <w:color w:val="000000"/>
                <w:kern w:val="0"/>
                <w:sz w:val="28"/>
                <w:szCs w:val="28"/>
              </w:rPr>
              <w:t>人，其中：在职人员</w:t>
            </w:r>
            <w:r>
              <w:rPr>
                <w:rFonts w:hint="eastAsia" w:eastAsia="宋体"/>
                <w:color w:val="000000"/>
                <w:kern w:val="0"/>
                <w:sz w:val="28"/>
                <w:szCs w:val="28"/>
                <w:u w:val="single"/>
                <w:lang w:val="en-US" w:eastAsia="zh-CN"/>
              </w:rPr>
              <w:t>62</w:t>
            </w:r>
            <w:r>
              <w:rPr>
                <w:color w:val="000000"/>
                <w:kern w:val="0"/>
                <w:sz w:val="28"/>
                <w:szCs w:val="28"/>
              </w:rPr>
              <w:t>人，离退休人员</w:t>
            </w:r>
            <w:r>
              <w:rPr>
                <w:rFonts w:hint="eastAsia" w:eastAsia="宋体"/>
                <w:color w:val="000000"/>
                <w:kern w:val="0"/>
                <w:sz w:val="28"/>
                <w:szCs w:val="28"/>
                <w:u w:val="single"/>
                <w:lang w:val="en-US" w:eastAsia="zh-CN"/>
              </w:rPr>
              <w:t>25</w:t>
            </w:r>
            <w:r>
              <w:rPr>
                <w:color w:val="000000"/>
                <w:kern w:val="0"/>
                <w:sz w:val="28"/>
                <w:szCs w:val="28"/>
              </w:rPr>
              <w:t>人。</w:t>
            </w:r>
          </w:p>
          <w:p>
            <w:pPr>
              <w:widowControl/>
              <w:jc w:val="left"/>
              <w:rPr>
                <w:rFonts w:hint="eastAsia" w:eastAsia="仿宋_GB2312"/>
                <w:color w:val="000000"/>
                <w:kern w:val="0"/>
                <w:sz w:val="28"/>
                <w:szCs w:val="28"/>
                <w:lang w:val="en-US" w:eastAsia="zh-CN"/>
              </w:rPr>
            </w:pPr>
            <w:r>
              <w:rPr>
                <w:rFonts w:hint="eastAsia"/>
                <w:color w:val="000000"/>
                <w:kern w:val="0"/>
                <w:sz w:val="28"/>
                <w:szCs w:val="28"/>
                <w:lang w:val="en-US" w:eastAsia="zh-CN"/>
              </w:rPr>
              <w:t xml:space="preserve">       </w:t>
            </w:r>
          </w:p>
        </w:tc>
      </w:tr>
    </w:tbl>
    <w:p>
      <w:pPr>
        <w:ind w:firstLine="480" w:firstLineChars="200"/>
        <w:rPr>
          <w:rFonts w:hint="eastAsia" w:ascii="楷体" w:hAnsi="楷体" w:eastAsia="楷体" w:cs="楷体"/>
          <w:sz w:val="24"/>
          <w:szCs w:val="24"/>
        </w:rPr>
      </w:pPr>
      <w:r>
        <w:rPr>
          <w:rFonts w:hint="eastAsia" w:ascii="楷体" w:hAnsi="楷体" w:eastAsia="楷体" w:cs="楷体"/>
          <w:sz w:val="24"/>
          <w:szCs w:val="24"/>
        </w:rPr>
        <w:t>注：没有一般公共预算拨款的，公开空表，不得删除。</w:t>
      </w:r>
    </w:p>
    <w:p>
      <w:pPr>
        <w:ind w:firstLine="640" w:firstLineChars="200"/>
        <w:rPr>
          <w:rFonts w:eastAsia="楷体"/>
          <w:kern w:val="0"/>
          <w:szCs w:val="32"/>
        </w:rPr>
      </w:pPr>
      <w:r>
        <w:rPr>
          <w:rFonts w:hAnsi="楷体" w:eastAsia="楷体"/>
        </w:rPr>
        <w:br w:type="page"/>
      </w:r>
      <w:r>
        <w:rPr>
          <w:rFonts w:eastAsia="楷体"/>
          <w:kern w:val="0"/>
          <w:szCs w:val="32"/>
        </w:rPr>
        <w:t xml:space="preserve">    </w:t>
      </w:r>
    </w:p>
    <w:tbl>
      <w:tblPr>
        <w:tblStyle w:val="9"/>
        <w:tblpPr w:leftFromText="180" w:rightFromText="180" w:horzAnchor="margin" w:tblpY="321"/>
        <w:tblW w:w="0" w:type="auto"/>
        <w:tblInd w:w="0" w:type="dxa"/>
        <w:tblLayout w:type="fixed"/>
        <w:tblCellMar>
          <w:top w:w="15" w:type="dxa"/>
          <w:left w:w="15" w:type="dxa"/>
          <w:bottom w:w="15" w:type="dxa"/>
          <w:right w:w="15" w:type="dxa"/>
        </w:tblCellMar>
      </w:tblPr>
      <w:tblGrid>
        <w:gridCol w:w="2552"/>
        <w:gridCol w:w="2147"/>
        <w:gridCol w:w="1704"/>
        <w:gridCol w:w="2386"/>
      </w:tblGrid>
      <w:tr>
        <w:tblPrEx>
          <w:tblCellMar>
            <w:top w:w="15" w:type="dxa"/>
            <w:left w:w="15" w:type="dxa"/>
            <w:bottom w:w="15" w:type="dxa"/>
            <w:right w:w="15" w:type="dxa"/>
          </w:tblCellMar>
        </w:tblPrEx>
        <w:trPr>
          <w:trHeight w:val="390" w:hRule="atLeast"/>
        </w:trPr>
        <w:tc>
          <w:tcPr>
            <w:tcW w:w="8789" w:type="dxa"/>
            <w:gridSpan w:val="4"/>
            <w:tcBorders>
              <w:bottom w:val="single" w:color="000000" w:sz="4" w:space="0"/>
            </w:tcBorders>
            <w:noWrap w:val="0"/>
            <w:vAlign w:val="center"/>
          </w:tcPr>
          <w:p>
            <w:pPr>
              <w:widowControl/>
              <w:ind w:firstLine="2520" w:firstLineChars="700"/>
              <w:jc w:val="both"/>
              <w:rPr>
                <w:rFonts w:hint="eastAsia" w:eastAsia="方正小标宋简体"/>
                <w:kern w:val="0"/>
                <w:sz w:val="36"/>
                <w:szCs w:val="36"/>
              </w:rPr>
            </w:pPr>
          </w:p>
          <w:p>
            <w:pPr>
              <w:widowControl/>
              <w:jc w:val="center"/>
              <w:rPr>
                <w:rFonts w:hint="eastAsia" w:ascii="宋体" w:hAnsi="宋体" w:eastAsia="宋体" w:cs="宋体"/>
                <w:kern w:val="0"/>
                <w:sz w:val="20"/>
                <w:szCs w:val="20"/>
              </w:rPr>
            </w:pPr>
            <w:r>
              <w:rPr>
                <w:rFonts w:hint="eastAsia" w:ascii="Times New Roman" w:hAnsi="Times New Roman" w:eastAsia="方正小标宋简体" w:cs="Times New Roman"/>
                <w:kern w:val="0"/>
                <w:sz w:val="36"/>
                <w:szCs w:val="36"/>
              </w:rPr>
              <w:t>政府性基金预算支出表</w:t>
            </w:r>
          </w:p>
          <w:p>
            <w:pPr>
              <w:widowControl/>
              <w:jc w:val="right"/>
              <w:rPr>
                <w:rFonts w:hint="eastAsia" w:ascii="宋体" w:hAnsi="宋体" w:eastAsia="宋体" w:cs="宋体"/>
                <w:color w:val="000000"/>
                <w:kern w:val="0"/>
                <w:sz w:val="20"/>
                <w:szCs w:val="20"/>
              </w:rPr>
            </w:pPr>
          </w:p>
          <w:p>
            <w:pPr>
              <w:widowControl/>
              <w:jc w:val="right"/>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单位：万元</w:t>
            </w:r>
          </w:p>
        </w:tc>
      </w:tr>
      <w:tr>
        <w:tblPrEx>
          <w:tblCellMar>
            <w:top w:w="15" w:type="dxa"/>
            <w:left w:w="15" w:type="dxa"/>
            <w:bottom w:w="15" w:type="dxa"/>
            <w:right w:w="15" w:type="dxa"/>
          </w:tblCellMar>
        </w:tblPrEx>
        <w:trPr>
          <w:trHeight w:val="1420" w:hRule="atLeast"/>
        </w:trPr>
        <w:tc>
          <w:tcPr>
            <w:tcW w:w="2552" w:type="dxa"/>
            <w:tcBorders>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szCs w:val="20"/>
              </w:rPr>
            </w:pPr>
            <w:r>
              <w:rPr>
                <w:rFonts w:hint="eastAsia" w:ascii="宋体" w:hAnsi="宋体" w:eastAsia="宋体" w:cs="宋体"/>
                <w:color w:val="000000"/>
                <w:sz w:val="20"/>
                <w:szCs w:val="20"/>
              </w:rPr>
              <w:t>功能分类</w:t>
            </w:r>
          </w:p>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sz w:val="20"/>
                <w:szCs w:val="20"/>
              </w:rPr>
              <w:t>科目名称</w:t>
            </w:r>
          </w:p>
        </w:tc>
        <w:tc>
          <w:tcPr>
            <w:tcW w:w="2147" w:type="dxa"/>
            <w:tcBorders>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合计</w:t>
            </w:r>
          </w:p>
        </w:tc>
        <w:tc>
          <w:tcPr>
            <w:tcW w:w="170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基本支出</w:t>
            </w:r>
          </w:p>
        </w:tc>
        <w:tc>
          <w:tcPr>
            <w:tcW w:w="2386"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项目支出</w:t>
            </w:r>
          </w:p>
        </w:tc>
      </w:tr>
      <w:tr>
        <w:tblPrEx>
          <w:tblCellMar>
            <w:top w:w="15" w:type="dxa"/>
            <w:left w:w="15" w:type="dxa"/>
            <w:bottom w:w="15" w:type="dxa"/>
            <w:right w:w="15" w:type="dxa"/>
          </w:tblCellMar>
        </w:tblPrEx>
        <w:trPr>
          <w:trHeight w:val="39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合计</w:t>
            </w: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bl>
    <w:p>
      <w:pPr>
        <w:spacing w:line="700" w:lineRule="exact"/>
        <w:rPr>
          <w:rFonts w:eastAsia="楷体_GB2312"/>
          <w:kern w:val="0"/>
          <w:szCs w:val="32"/>
        </w:rPr>
      </w:pPr>
      <w:r>
        <w:rPr>
          <w:rFonts w:eastAsia="楷体_GB2312"/>
          <w:kern w:val="0"/>
          <w:szCs w:val="32"/>
        </w:rPr>
        <w:t xml:space="preserve">    </w:t>
      </w:r>
    </w:p>
    <w:p>
      <w:pPr>
        <w:spacing w:line="700" w:lineRule="exact"/>
        <w:rPr>
          <w:rFonts w:eastAsia="楷体_GB2312"/>
          <w:kern w:val="0"/>
          <w:szCs w:val="32"/>
        </w:rPr>
      </w:pPr>
    </w:p>
    <w:p>
      <w:pPr>
        <w:spacing w:line="700" w:lineRule="exact"/>
        <w:rPr>
          <w:rFonts w:eastAsia="楷体_GB2312"/>
          <w:kern w:val="0"/>
          <w:szCs w:val="32"/>
        </w:rPr>
      </w:pPr>
    </w:p>
    <w:p>
      <w:pPr>
        <w:spacing w:line="700" w:lineRule="exact"/>
        <w:rPr>
          <w:rFonts w:eastAsia="楷体_GB2312"/>
          <w:kern w:val="0"/>
          <w:szCs w:val="32"/>
        </w:rPr>
      </w:pPr>
    </w:p>
    <w:p>
      <w:pPr>
        <w:spacing w:line="700" w:lineRule="exact"/>
        <w:ind w:firstLine="480" w:firstLineChars="200"/>
        <w:rPr>
          <w:rFonts w:hint="eastAsia" w:ascii="楷体" w:hAnsi="楷体" w:eastAsia="楷体" w:cs="楷体"/>
          <w:kern w:val="0"/>
          <w:sz w:val="24"/>
          <w:szCs w:val="24"/>
        </w:rPr>
      </w:pPr>
      <w:r>
        <w:rPr>
          <w:rFonts w:hint="eastAsia" w:ascii="楷体" w:hAnsi="楷体" w:eastAsia="楷体" w:cs="楷体"/>
          <w:kern w:val="0"/>
          <w:sz w:val="24"/>
          <w:szCs w:val="24"/>
        </w:rPr>
        <w:t>注：功能科目列至项级。没有政府性基金预算拨款的，公开空表，不得删除。</w:t>
      </w: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ind w:firstLine="640" w:firstLineChars="200"/>
        <w:rPr>
          <w:rFonts w:eastAsia="楷体"/>
          <w:kern w:val="0"/>
          <w:szCs w:val="32"/>
        </w:rPr>
      </w:pPr>
      <w:r>
        <w:rPr>
          <w:rFonts w:eastAsia="楷体"/>
          <w:kern w:val="0"/>
          <w:szCs w:val="32"/>
        </w:rPr>
        <w:t xml:space="preserve"> </w:t>
      </w:r>
    </w:p>
    <w:p>
      <w:pPr>
        <w:spacing w:line="700" w:lineRule="exact"/>
        <w:rPr>
          <w:rFonts w:hint="eastAsia" w:ascii="楷体" w:hAnsi="楷体" w:eastAsia="楷体" w:cs="楷体"/>
          <w:kern w:val="0"/>
          <w:sz w:val="24"/>
          <w:szCs w:val="24"/>
        </w:rPr>
      </w:pPr>
      <w:r>
        <w:rPr>
          <w:rFonts w:eastAsia="楷体_GB2312"/>
          <w:kern w:val="0"/>
          <w:szCs w:val="32"/>
        </w:rPr>
        <w:t xml:space="preserve">   </w:t>
      </w:r>
    </w:p>
    <w:tbl>
      <w:tblPr>
        <w:tblStyle w:val="9"/>
        <w:tblpPr w:leftFromText="180" w:rightFromText="180" w:vertAnchor="page" w:horzAnchor="page" w:tblpX="1260" w:tblpY="232"/>
        <w:tblW w:w="8789" w:type="dxa"/>
        <w:tblInd w:w="0" w:type="dxa"/>
        <w:tblLayout w:type="fixed"/>
        <w:tblCellMar>
          <w:top w:w="15" w:type="dxa"/>
          <w:left w:w="15" w:type="dxa"/>
          <w:bottom w:w="15" w:type="dxa"/>
          <w:right w:w="15" w:type="dxa"/>
        </w:tblCellMar>
      </w:tblPr>
      <w:tblGrid>
        <w:gridCol w:w="2552"/>
        <w:gridCol w:w="2267"/>
        <w:gridCol w:w="2269"/>
        <w:gridCol w:w="1701"/>
      </w:tblGrid>
      <w:tr>
        <w:tblPrEx>
          <w:tblCellMar>
            <w:top w:w="15" w:type="dxa"/>
            <w:left w:w="15" w:type="dxa"/>
            <w:bottom w:w="15" w:type="dxa"/>
            <w:right w:w="15" w:type="dxa"/>
          </w:tblCellMar>
        </w:tblPrEx>
        <w:trPr>
          <w:trHeight w:val="390" w:hRule="atLeast"/>
        </w:trPr>
        <w:tc>
          <w:tcPr>
            <w:tcW w:w="8789" w:type="dxa"/>
            <w:gridSpan w:val="4"/>
            <w:tcBorders>
              <w:bottom w:val="single" w:color="000000" w:sz="4" w:space="0"/>
            </w:tcBorders>
            <w:noWrap w:val="0"/>
            <w:vAlign w:val="center"/>
          </w:tcPr>
          <w:p>
            <w:pPr>
              <w:widowControl/>
              <w:ind w:firstLine="2520" w:firstLineChars="700"/>
              <w:jc w:val="both"/>
              <w:rPr>
                <w:rFonts w:eastAsia="方正小标宋简体"/>
                <w:kern w:val="0"/>
                <w:sz w:val="36"/>
                <w:szCs w:val="36"/>
              </w:rPr>
            </w:pPr>
            <w:r>
              <w:rPr>
                <w:rFonts w:hint="eastAsia" w:eastAsia="方正小标宋简体"/>
                <w:kern w:val="0"/>
                <w:sz w:val="36"/>
                <w:szCs w:val="36"/>
              </w:rPr>
              <w:t>国有资本经营</w:t>
            </w:r>
            <w:r>
              <w:rPr>
                <w:rFonts w:eastAsia="方正小标宋简体"/>
                <w:kern w:val="0"/>
                <w:sz w:val="36"/>
                <w:szCs w:val="36"/>
              </w:rPr>
              <w:t>预算支出表</w:t>
            </w:r>
          </w:p>
          <w:p>
            <w:pPr>
              <w:widowControl/>
              <w:jc w:val="center"/>
              <w:rPr>
                <w:rFonts w:hint="eastAsia" w:eastAsia="方正小标宋简体"/>
                <w:kern w:val="0"/>
                <w:sz w:val="36"/>
                <w:szCs w:val="36"/>
              </w:rPr>
            </w:pPr>
          </w:p>
          <w:p>
            <w:pPr>
              <w:widowControl/>
              <w:jc w:val="center"/>
              <w:rPr>
                <w:rFonts w:hint="eastAsia" w:eastAsia="方正小标宋简体"/>
                <w:kern w:val="0"/>
                <w:sz w:val="36"/>
                <w:szCs w:val="36"/>
              </w:rPr>
            </w:pPr>
          </w:p>
          <w:p>
            <w:pPr>
              <w:widowControl/>
              <w:tabs>
                <w:tab w:val="left" w:pos="7576"/>
                <w:tab w:val="right" w:pos="8879"/>
              </w:tabs>
              <w:jc w:val="left"/>
              <w:rPr>
                <w:rFonts w:eastAsia="华文细黑"/>
                <w:color w:val="000000"/>
                <w:kern w:val="0"/>
                <w:sz w:val="20"/>
              </w:rPr>
            </w:pPr>
            <w:r>
              <w:rPr>
                <w:rFonts w:hint="eastAsia" w:eastAsia="华文细黑"/>
                <w:color w:val="000000"/>
                <w:kern w:val="0"/>
                <w:sz w:val="20"/>
                <w:lang w:eastAsia="zh-CN"/>
              </w:rPr>
              <w:tab/>
            </w:r>
            <w:r>
              <w:rPr>
                <w:rFonts w:hint="eastAsia" w:ascii="宋体" w:hAnsi="宋体" w:eastAsia="宋体" w:cs="宋体"/>
                <w:color w:val="000000"/>
                <w:kern w:val="0"/>
                <w:sz w:val="20"/>
              </w:rPr>
              <w:t>单位：万元</w:t>
            </w:r>
          </w:p>
        </w:tc>
      </w:tr>
      <w:tr>
        <w:tblPrEx>
          <w:tblCellMar>
            <w:top w:w="15" w:type="dxa"/>
            <w:left w:w="15" w:type="dxa"/>
            <w:bottom w:w="15" w:type="dxa"/>
            <w:right w:w="15" w:type="dxa"/>
          </w:tblCellMar>
        </w:tblPrEx>
        <w:trPr>
          <w:trHeight w:val="390" w:hRule="atLeast"/>
        </w:trPr>
        <w:tc>
          <w:tcPr>
            <w:tcW w:w="2552" w:type="dxa"/>
            <w:vMerge w:val="restart"/>
            <w:tcBorders>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功能分类</w:t>
            </w:r>
          </w:p>
          <w:p>
            <w:pPr>
              <w:widowControl/>
              <w:jc w:val="center"/>
              <w:rPr>
                <w:rFonts w:hint="eastAsia" w:ascii="宋体" w:hAnsi="宋体" w:eastAsia="宋体" w:cs="宋体"/>
                <w:color w:val="000000"/>
                <w:kern w:val="0"/>
                <w:sz w:val="20"/>
              </w:rPr>
            </w:pPr>
            <w:r>
              <w:rPr>
                <w:rFonts w:hint="eastAsia" w:ascii="宋体" w:hAnsi="宋体" w:eastAsia="宋体" w:cs="宋体"/>
                <w:color w:val="000000"/>
                <w:sz w:val="20"/>
              </w:rPr>
              <w:t>科目名称</w:t>
            </w:r>
          </w:p>
        </w:tc>
        <w:tc>
          <w:tcPr>
            <w:tcW w:w="2267" w:type="dxa"/>
            <w:vMerge w:val="restart"/>
            <w:tcBorders>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合计</w:t>
            </w:r>
          </w:p>
        </w:tc>
        <w:tc>
          <w:tcPr>
            <w:tcW w:w="2269"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基本支出</w:t>
            </w:r>
          </w:p>
        </w:tc>
        <w:tc>
          <w:tcPr>
            <w:tcW w:w="1701"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项目支出</w:t>
            </w:r>
          </w:p>
        </w:tc>
      </w:tr>
      <w:tr>
        <w:tblPrEx>
          <w:tblCellMar>
            <w:top w:w="15" w:type="dxa"/>
            <w:left w:w="15" w:type="dxa"/>
            <w:bottom w:w="15" w:type="dxa"/>
            <w:right w:w="15" w:type="dxa"/>
          </w:tblCellMar>
        </w:tblPrEx>
        <w:trPr>
          <w:trHeight w:val="281" w:hRule="atLeast"/>
        </w:trPr>
        <w:tc>
          <w:tcPr>
            <w:tcW w:w="2552" w:type="dxa"/>
            <w:vMerge w:val="continue"/>
            <w:tcBorders>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color w:val="000000"/>
                <w:kern w:val="0"/>
                <w:sz w:val="20"/>
              </w:rPr>
            </w:pPr>
          </w:p>
        </w:tc>
        <w:tc>
          <w:tcPr>
            <w:tcW w:w="2267" w:type="dxa"/>
            <w:vMerge w:val="continue"/>
            <w:tcBorders>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color w:val="000000"/>
                <w:kern w:val="0"/>
                <w:sz w:val="20"/>
              </w:rPr>
            </w:pPr>
          </w:p>
        </w:tc>
        <w:tc>
          <w:tcPr>
            <w:tcW w:w="2269"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color w:val="000000"/>
                <w:kern w:val="0"/>
                <w:sz w:val="20"/>
              </w:rPr>
            </w:pPr>
          </w:p>
        </w:tc>
        <w:tc>
          <w:tcPr>
            <w:tcW w:w="1701"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630" w:hRule="atLeast"/>
        </w:trPr>
        <w:tc>
          <w:tcPr>
            <w:tcW w:w="2552" w:type="dxa"/>
            <w:tcBorders>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2267" w:type="dxa"/>
            <w:tcBorders>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9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合计</w:t>
            </w: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r>
    </w:tbl>
    <w:p>
      <w:pPr>
        <w:spacing w:line="700" w:lineRule="exact"/>
        <w:rPr>
          <w:rFonts w:hint="eastAsia" w:ascii="楷体" w:hAnsi="楷体" w:eastAsia="楷体" w:cs="楷体"/>
          <w:kern w:val="0"/>
          <w:sz w:val="24"/>
          <w:szCs w:val="24"/>
        </w:rPr>
      </w:pPr>
    </w:p>
    <w:p>
      <w:pPr>
        <w:spacing w:line="700" w:lineRule="exact"/>
        <w:rPr>
          <w:rFonts w:hint="eastAsia" w:ascii="楷体" w:hAnsi="楷体" w:eastAsia="楷体" w:cs="楷体"/>
          <w:kern w:val="0"/>
          <w:sz w:val="24"/>
          <w:szCs w:val="24"/>
        </w:rPr>
      </w:pPr>
    </w:p>
    <w:p>
      <w:pPr>
        <w:spacing w:line="700" w:lineRule="exact"/>
        <w:rPr>
          <w:rFonts w:hint="eastAsia" w:ascii="楷体" w:hAnsi="楷体" w:eastAsia="楷体" w:cs="楷体"/>
          <w:kern w:val="0"/>
          <w:sz w:val="24"/>
          <w:szCs w:val="24"/>
        </w:rPr>
      </w:pPr>
    </w:p>
    <w:p>
      <w:pPr>
        <w:spacing w:line="700" w:lineRule="exact"/>
        <w:rPr>
          <w:rFonts w:hint="eastAsia" w:ascii="楷体" w:hAnsi="楷体" w:eastAsia="楷体" w:cs="楷体"/>
          <w:kern w:val="0"/>
          <w:sz w:val="24"/>
          <w:szCs w:val="24"/>
        </w:rPr>
      </w:pPr>
    </w:p>
    <w:p>
      <w:pPr>
        <w:spacing w:line="700" w:lineRule="exact"/>
        <w:rPr>
          <w:rFonts w:hint="eastAsia" w:ascii="楷体" w:hAnsi="楷体" w:eastAsia="楷体" w:cs="楷体"/>
          <w:kern w:val="0"/>
          <w:sz w:val="24"/>
          <w:szCs w:val="24"/>
        </w:rPr>
      </w:pPr>
    </w:p>
    <w:p>
      <w:pPr>
        <w:spacing w:line="700" w:lineRule="exact"/>
        <w:rPr>
          <w:rFonts w:eastAsia="楷体"/>
          <w:kern w:val="0"/>
          <w:szCs w:val="32"/>
        </w:rPr>
      </w:pPr>
      <w:r>
        <w:rPr>
          <w:rFonts w:hint="eastAsia" w:ascii="楷体" w:hAnsi="楷体" w:eastAsia="楷体" w:cs="楷体"/>
          <w:kern w:val="0"/>
          <w:sz w:val="24"/>
          <w:szCs w:val="24"/>
        </w:rPr>
        <w:t>注：功能科目列至项级。没有国有资本经营预算拨款的，公开空表，不得删除。</w:t>
      </w:r>
      <w:r>
        <w:rPr>
          <w:rFonts w:eastAsia="楷体"/>
          <w:kern w:val="0"/>
          <w:szCs w:val="32"/>
        </w:rPr>
        <w:br w:type="page"/>
      </w:r>
    </w:p>
    <w:p>
      <w:pPr>
        <w:bidi w:val="0"/>
        <w:jc w:val="left"/>
        <w:rPr>
          <w:rFonts w:ascii="Times New Roman" w:hAnsi="Times New Roman" w:eastAsia="仿宋_GB2312" w:cs="Times New Roman"/>
          <w:kern w:val="2"/>
          <w:sz w:val="32"/>
          <w:lang w:val="en-US" w:eastAsia="zh-CN" w:bidi="ar-SA"/>
        </w:rPr>
      </w:pP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9"/>
        <w:gridCol w:w="1063"/>
        <w:gridCol w:w="1107"/>
        <w:gridCol w:w="864"/>
        <w:gridCol w:w="498"/>
        <w:gridCol w:w="553"/>
        <w:gridCol w:w="554"/>
        <w:gridCol w:w="521"/>
        <w:gridCol w:w="564"/>
        <w:gridCol w:w="532"/>
        <w:gridCol w:w="598"/>
        <w:gridCol w:w="443"/>
        <w:gridCol w:w="4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6" w:hRule="atLeast"/>
          <w:jc w:val="center"/>
        </w:trPr>
        <w:tc>
          <w:tcPr>
            <w:tcW w:w="8481" w:type="dxa"/>
            <w:gridSpan w:val="13"/>
            <w:tcBorders>
              <w:top w:val="nil"/>
              <w:left w:val="nil"/>
              <w:bottom w:val="nil"/>
              <w:right w:val="nil"/>
            </w:tcBorders>
            <w:noWrap w:val="0"/>
            <w:vAlign w:val="center"/>
          </w:tcPr>
          <w:p>
            <w:pPr>
              <w:widowControl/>
              <w:jc w:val="center"/>
              <w:rPr>
                <w:rFonts w:ascii="Calibri" w:hAnsi="Calibri" w:eastAsia="方正小标宋简体"/>
                <w:kern w:val="0"/>
                <w:sz w:val="36"/>
                <w:szCs w:val="36"/>
              </w:rPr>
            </w:pPr>
            <w:r>
              <w:rPr>
                <w:rFonts w:hint="eastAsia" w:ascii="Calibri" w:hAnsi="Calibri" w:eastAsia="方正小标宋简体"/>
                <w:kern w:val="0"/>
                <w:sz w:val="36"/>
                <w:szCs w:val="36"/>
              </w:rPr>
              <w:t>项目支出</w:t>
            </w:r>
            <w:r>
              <w:rPr>
                <w:rFonts w:ascii="Calibri" w:hAnsi="Calibri" w:eastAsia="方正小标宋简体"/>
                <w:kern w:val="0"/>
                <w:sz w:val="36"/>
                <w:szCs w:val="36"/>
              </w:rPr>
              <w:t>表</w:t>
            </w:r>
          </w:p>
          <w:p>
            <w:pPr>
              <w:autoSpaceDN w:val="0"/>
              <w:jc w:val="center"/>
              <w:textAlignment w:val="center"/>
              <w:rPr>
                <w:rFonts w:hint="eastAsia" w:ascii="Calibri" w:hAnsi="Calibri" w:eastAsia="华文细黑"/>
                <w:color w:val="000000"/>
                <w:sz w:val="20"/>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759"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1063"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1107"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864"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498"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1628" w:type="dxa"/>
            <w:gridSpan w:val="3"/>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2562" w:type="dxa"/>
            <w:gridSpan w:val="5"/>
            <w:tcBorders>
              <w:top w:val="nil"/>
              <w:left w:val="nil"/>
              <w:right w:val="nil"/>
            </w:tcBorders>
            <w:noWrap w:val="0"/>
            <w:vAlign w:val="center"/>
          </w:tcPr>
          <w:p>
            <w:pPr>
              <w:autoSpaceDN w:val="0"/>
              <w:jc w:val="right"/>
              <w:textAlignment w:val="center"/>
              <w:rPr>
                <w:rFonts w:hint="eastAsia" w:ascii="Calibri" w:hAnsi="Calibri" w:eastAsia="华文细黑"/>
                <w:color w:val="000000"/>
                <w:sz w:val="20"/>
                <w:szCs w:val="22"/>
              </w:rPr>
            </w:pPr>
            <w:r>
              <w:rPr>
                <w:rFonts w:hint="eastAsia" w:ascii="宋体" w:hAnsi="宋体" w:eastAsia="宋体" w:cs="宋体"/>
                <w:color w:val="000000"/>
                <w:sz w:val="20"/>
                <w:szCs w:val="22"/>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8" w:hRule="atLeast"/>
          <w:jc w:val="center"/>
        </w:trPr>
        <w:tc>
          <w:tcPr>
            <w:tcW w:w="759" w:type="dxa"/>
            <w:vMerge w:val="restart"/>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类型</w:t>
            </w:r>
          </w:p>
        </w:tc>
        <w:tc>
          <w:tcPr>
            <w:tcW w:w="2170" w:type="dxa"/>
            <w:gridSpan w:val="2"/>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项目名称</w:t>
            </w:r>
          </w:p>
        </w:tc>
        <w:tc>
          <w:tcPr>
            <w:tcW w:w="864" w:type="dxa"/>
            <w:vMerge w:val="restart"/>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项目</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单位</w:t>
            </w:r>
          </w:p>
        </w:tc>
        <w:tc>
          <w:tcPr>
            <w:tcW w:w="498" w:type="dxa"/>
            <w:vMerge w:val="restart"/>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合计</w:t>
            </w:r>
          </w:p>
        </w:tc>
        <w:tc>
          <w:tcPr>
            <w:tcW w:w="1628" w:type="dxa"/>
            <w:gridSpan w:val="3"/>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本年财政拨款</w:t>
            </w:r>
          </w:p>
        </w:tc>
        <w:tc>
          <w:tcPr>
            <w:tcW w:w="1694" w:type="dxa"/>
            <w:gridSpan w:val="3"/>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财政拨款结转</w:t>
            </w:r>
          </w:p>
        </w:tc>
        <w:tc>
          <w:tcPr>
            <w:tcW w:w="443" w:type="dxa"/>
            <w:vMerge w:val="restart"/>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财政专户</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管理资金</w:t>
            </w:r>
          </w:p>
        </w:tc>
        <w:tc>
          <w:tcPr>
            <w:tcW w:w="425" w:type="dxa"/>
            <w:vMerge w:val="restart"/>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单位资金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20" w:hRule="atLeast"/>
          <w:jc w:val="center"/>
        </w:trPr>
        <w:tc>
          <w:tcPr>
            <w:tcW w:w="759" w:type="dxa"/>
            <w:vMerge w:val="continue"/>
            <w:noWrap w:val="0"/>
            <w:vAlign w:val="center"/>
          </w:tcPr>
          <w:p>
            <w:pPr>
              <w:autoSpaceDN w:val="0"/>
              <w:jc w:val="center"/>
              <w:textAlignment w:val="center"/>
              <w:rPr>
                <w:rFonts w:ascii="Calibri" w:hAnsi="Calibri" w:eastAsia="华文细黑"/>
                <w:color w:val="000000"/>
                <w:sz w:val="20"/>
                <w:szCs w:val="22"/>
              </w:rPr>
            </w:pPr>
          </w:p>
        </w:tc>
        <w:tc>
          <w:tcPr>
            <w:tcW w:w="1063" w:type="dxa"/>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一级项目</w:t>
            </w:r>
          </w:p>
        </w:tc>
        <w:tc>
          <w:tcPr>
            <w:tcW w:w="1107" w:type="dxa"/>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二级项目</w:t>
            </w:r>
          </w:p>
        </w:tc>
        <w:tc>
          <w:tcPr>
            <w:tcW w:w="864" w:type="dxa"/>
            <w:vMerge w:val="continue"/>
            <w:noWrap w:val="0"/>
            <w:vAlign w:val="center"/>
          </w:tcPr>
          <w:p>
            <w:pPr>
              <w:autoSpaceDN w:val="0"/>
              <w:jc w:val="center"/>
              <w:textAlignment w:val="center"/>
              <w:rPr>
                <w:rFonts w:ascii="Calibri" w:hAnsi="Calibri" w:eastAsia="华文细黑"/>
                <w:color w:val="000000"/>
                <w:sz w:val="20"/>
                <w:szCs w:val="22"/>
              </w:rPr>
            </w:pPr>
          </w:p>
        </w:tc>
        <w:tc>
          <w:tcPr>
            <w:tcW w:w="498" w:type="dxa"/>
            <w:vMerge w:val="continue"/>
            <w:noWrap w:val="0"/>
            <w:vAlign w:val="center"/>
          </w:tcPr>
          <w:p>
            <w:pPr>
              <w:autoSpaceDN w:val="0"/>
              <w:jc w:val="center"/>
              <w:textAlignment w:val="center"/>
              <w:rPr>
                <w:rFonts w:ascii="Calibri" w:hAnsi="Calibri" w:eastAsia="华文细黑"/>
                <w:color w:val="000000"/>
                <w:sz w:val="20"/>
                <w:szCs w:val="22"/>
              </w:rPr>
            </w:pPr>
          </w:p>
        </w:tc>
        <w:tc>
          <w:tcPr>
            <w:tcW w:w="553" w:type="dxa"/>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一般公共预算</w:t>
            </w:r>
          </w:p>
        </w:tc>
        <w:tc>
          <w:tcPr>
            <w:tcW w:w="554" w:type="dxa"/>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政府性</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基金</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预算</w:t>
            </w:r>
          </w:p>
        </w:tc>
        <w:tc>
          <w:tcPr>
            <w:tcW w:w="521" w:type="dxa"/>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国有资本</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经营预算</w:t>
            </w:r>
          </w:p>
        </w:tc>
        <w:tc>
          <w:tcPr>
            <w:tcW w:w="564" w:type="dxa"/>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一般</w:t>
            </w:r>
          </w:p>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公共</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预算</w:t>
            </w:r>
          </w:p>
        </w:tc>
        <w:tc>
          <w:tcPr>
            <w:tcW w:w="532" w:type="dxa"/>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政府性</w:t>
            </w:r>
          </w:p>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基金</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预算</w:t>
            </w:r>
          </w:p>
        </w:tc>
        <w:tc>
          <w:tcPr>
            <w:tcW w:w="598" w:type="dxa"/>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国有资本经营</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预算</w:t>
            </w:r>
          </w:p>
        </w:tc>
        <w:tc>
          <w:tcPr>
            <w:tcW w:w="443" w:type="dxa"/>
            <w:vMerge w:val="continue"/>
            <w:noWrap w:val="0"/>
            <w:vAlign w:val="center"/>
          </w:tcPr>
          <w:p>
            <w:pPr>
              <w:autoSpaceDN w:val="0"/>
              <w:jc w:val="center"/>
              <w:textAlignment w:val="center"/>
              <w:rPr>
                <w:rFonts w:hint="eastAsia" w:ascii="宋体" w:hAnsi="宋体" w:eastAsia="宋体" w:cs="宋体"/>
                <w:color w:val="000000"/>
                <w:sz w:val="20"/>
                <w:szCs w:val="22"/>
              </w:rPr>
            </w:pPr>
          </w:p>
        </w:tc>
        <w:tc>
          <w:tcPr>
            <w:tcW w:w="425" w:type="dxa"/>
            <w:vMerge w:val="continue"/>
            <w:noWrap w:val="0"/>
            <w:vAlign w:val="center"/>
          </w:tcPr>
          <w:p>
            <w:pPr>
              <w:autoSpaceDN w:val="0"/>
              <w:jc w:val="center"/>
              <w:textAlignment w:val="center"/>
              <w:rPr>
                <w:rFonts w:ascii="Calibri" w:hAnsi="Calibri" w:eastAsia="华文细黑"/>
                <w:color w:val="000000"/>
                <w:sz w:val="20"/>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759" w:type="dxa"/>
            <w:noWrap w:val="0"/>
            <w:vAlign w:val="center"/>
          </w:tcPr>
          <w:p>
            <w:pPr>
              <w:keepNext w:val="0"/>
              <w:keepLines w:val="0"/>
              <w:widowControl/>
              <w:suppressLineNumbers w:val="0"/>
              <w:jc w:val="left"/>
              <w:textAlignment w:val="center"/>
              <w:rPr>
                <w:rFonts w:ascii="Arial" w:hAnsi="Arial" w:eastAsia="仿宋_GB2312" w:cs="Arial"/>
                <w:i w:val="0"/>
                <w:iCs w:val="0"/>
                <w:color w:val="000000"/>
                <w:kern w:val="2"/>
                <w:sz w:val="15"/>
                <w:szCs w:val="15"/>
                <w:u w:val="none"/>
                <w:lang w:val="en-US" w:eastAsia="zh-CN" w:bidi="ar-SA"/>
              </w:rPr>
            </w:pPr>
            <w:r>
              <w:rPr>
                <w:rFonts w:hint="default" w:ascii="Arial" w:hAnsi="Arial" w:eastAsia="宋体" w:cs="Arial"/>
                <w:i w:val="0"/>
                <w:iCs w:val="0"/>
                <w:color w:val="000000"/>
                <w:kern w:val="0"/>
                <w:sz w:val="15"/>
                <w:szCs w:val="15"/>
                <w:u w:val="none"/>
                <w:lang w:val="en-US" w:eastAsia="zh-CN" w:bidi="ar"/>
              </w:rPr>
              <w:t>专项业务支出</w:t>
            </w:r>
          </w:p>
        </w:tc>
        <w:tc>
          <w:tcPr>
            <w:tcW w:w="1063" w:type="dxa"/>
            <w:noWrap w:val="0"/>
            <w:vAlign w:val="center"/>
          </w:tcPr>
          <w:p>
            <w:pPr>
              <w:spacing w:line="700" w:lineRule="exact"/>
              <w:jc w:val="center"/>
              <w:rPr>
                <w:rFonts w:ascii="Calibri" w:hAnsi="Calibri" w:eastAsia="楷体"/>
                <w:kern w:val="0"/>
                <w:szCs w:val="32"/>
              </w:rPr>
            </w:pPr>
          </w:p>
        </w:tc>
        <w:tc>
          <w:tcPr>
            <w:tcW w:w="1107" w:type="dxa"/>
            <w:noWrap w:val="0"/>
            <w:vAlign w:val="center"/>
          </w:tcPr>
          <w:p>
            <w:pPr>
              <w:spacing w:line="700" w:lineRule="exact"/>
              <w:jc w:val="center"/>
              <w:rPr>
                <w:rFonts w:ascii="Calibri" w:hAnsi="Calibri" w:eastAsia="楷体"/>
                <w:kern w:val="0"/>
                <w:szCs w:val="32"/>
              </w:rPr>
            </w:pPr>
          </w:p>
        </w:tc>
        <w:tc>
          <w:tcPr>
            <w:tcW w:w="864" w:type="dxa"/>
            <w:noWrap w:val="0"/>
            <w:vAlign w:val="center"/>
          </w:tcPr>
          <w:p>
            <w:pPr>
              <w:spacing w:line="700" w:lineRule="exact"/>
              <w:jc w:val="center"/>
              <w:rPr>
                <w:rFonts w:ascii="Calibri" w:hAnsi="Calibri" w:eastAsia="楷体"/>
                <w:kern w:val="0"/>
                <w:szCs w:val="32"/>
              </w:rPr>
            </w:pPr>
          </w:p>
        </w:tc>
        <w:tc>
          <w:tcPr>
            <w:tcW w:w="498" w:type="dxa"/>
            <w:noWrap w:val="0"/>
            <w:vAlign w:val="center"/>
          </w:tcPr>
          <w:p>
            <w:pPr>
              <w:spacing w:line="700" w:lineRule="exact"/>
              <w:jc w:val="center"/>
              <w:rPr>
                <w:rFonts w:ascii="Calibri" w:hAnsi="Calibri" w:eastAsia="楷体"/>
                <w:kern w:val="0"/>
                <w:szCs w:val="32"/>
              </w:rPr>
            </w:pPr>
          </w:p>
        </w:tc>
        <w:tc>
          <w:tcPr>
            <w:tcW w:w="553" w:type="dxa"/>
            <w:noWrap w:val="0"/>
            <w:vAlign w:val="center"/>
          </w:tcPr>
          <w:p>
            <w:pPr>
              <w:spacing w:line="700" w:lineRule="exact"/>
              <w:jc w:val="center"/>
              <w:rPr>
                <w:rFonts w:ascii="Calibri" w:hAnsi="Calibri" w:eastAsia="楷体"/>
                <w:kern w:val="0"/>
                <w:szCs w:val="32"/>
              </w:rPr>
            </w:pPr>
          </w:p>
        </w:tc>
        <w:tc>
          <w:tcPr>
            <w:tcW w:w="554" w:type="dxa"/>
            <w:noWrap w:val="0"/>
            <w:vAlign w:val="center"/>
          </w:tcPr>
          <w:p>
            <w:pPr>
              <w:spacing w:line="700" w:lineRule="exact"/>
              <w:jc w:val="center"/>
              <w:rPr>
                <w:rFonts w:ascii="Calibri" w:hAnsi="Calibri" w:eastAsia="楷体"/>
                <w:kern w:val="0"/>
                <w:szCs w:val="32"/>
              </w:rPr>
            </w:pPr>
          </w:p>
        </w:tc>
        <w:tc>
          <w:tcPr>
            <w:tcW w:w="521" w:type="dxa"/>
            <w:noWrap w:val="0"/>
            <w:vAlign w:val="center"/>
          </w:tcPr>
          <w:p>
            <w:pPr>
              <w:spacing w:line="700" w:lineRule="exact"/>
              <w:jc w:val="center"/>
              <w:rPr>
                <w:rFonts w:ascii="Calibri" w:hAnsi="Calibri" w:eastAsia="楷体"/>
                <w:kern w:val="0"/>
                <w:szCs w:val="32"/>
              </w:rPr>
            </w:pPr>
          </w:p>
        </w:tc>
        <w:tc>
          <w:tcPr>
            <w:tcW w:w="564" w:type="dxa"/>
            <w:noWrap w:val="0"/>
            <w:vAlign w:val="center"/>
          </w:tcPr>
          <w:p>
            <w:pPr>
              <w:spacing w:line="700" w:lineRule="exact"/>
              <w:jc w:val="center"/>
              <w:rPr>
                <w:rFonts w:ascii="Calibri" w:hAnsi="Calibri" w:eastAsia="楷体"/>
                <w:kern w:val="0"/>
                <w:szCs w:val="32"/>
              </w:rPr>
            </w:pPr>
          </w:p>
        </w:tc>
        <w:tc>
          <w:tcPr>
            <w:tcW w:w="532" w:type="dxa"/>
            <w:noWrap w:val="0"/>
            <w:vAlign w:val="center"/>
          </w:tcPr>
          <w:p>
            <w:pPr>
              <w:spacing w:line="700" w:lineRule="exact"/>
              <w:jc w:val="center"/>
              <w:rPr>
                <w:rFonts w:ascii="Calibri" w:hAnsi="Calibri" w:eastAsia="楷体"/>
                <w:kern w:val="0"/>
                <w:szCs w:val="32"/>
              </w:rPr>
            </w:pPr>
          </w:p>
        </w:tc>
        <w:tc>
          <w:tcPr>
            <w:tcW w:w="598" w:type="dxa"/>
            <w:noWrap w:val="0"/>
            <w:vAlign w:val="center"/>
          </w:tcPr>
          <w:p>
            <w:pPr>
              <w:spacing w:line="700" w:lineRule="exact"/>
              <w:jc w:val="center"/>
              <w:rPr>
                <w:rFonts w:ascii="Calibri" w:hAnsi="Calibri" w:eastAsia="楷体"/>
                <w:kern w:val="0"/>
                <w:szCs w:val="32"/>
              </w:rPr>
            </w:pPr>
          </w:p>
        </w:tc>
        <w:tc>
          <w:tcPr>
            <w:tcW w:w="443" w:type="dxa"/>
            <w:noWrap w:val="0"/>
            <w:vAlign w:val="center"/>
          </w:tcPr>
          <w:p>
            <w:pPr>
              <w:spacing w:line="700" w:lineRule="exact"/>
              <w:jc w:val="center"/>
              <w:rPr>
                <w:rFonts w:ascii="Calibri" w:hAnsi="Calibri" w:eastAsia="楷体"/>
                <w:kern w:val="0"/>
                <w:szCs w:val="32"/>
              </w:rPr>
            </w:pPr>
          </w:p>
        </w:tc>
        <w:tc>
          <w:tcPr>
            <w:tcW w:w="425" w:type="dxa"/>
            <w:noWrap w:val="0"/>
            <w:vAlign w:val="center"/>
          </w:tcPr>
          <w:p>
            <w:pPr>
              <w:spacing w:line="700" w:lineRule="exact"/>
              <w:jc w:val="center"/>
              <w:rPr>
                <w:rFonts w:ascii="Calibri" w:hAnsi="Calibri" w:eastAsia="楷体"/>
                <w:kern w:val="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759" w:type="dxa"/>
            <w:noWrap w:val="0"/>
            <w:vAlign w:val="center"/>
          </w:tcPr>
          <w:p>
            <w:pPr>
              <w:spacing w:line="700" w:lineRule="exact"/>
              <w:jc w:val="center"/>
              <w:rPr>
                <w:rFonts w:ascii="Calibri" w:hAnsi="Calibri" w:eastAsia="楷体"/>
                <w:kern w:val="0"/>
                <w:szCs w:val="32"/>
              </w:rPr>
            </w:pPr>
          </w:p>
        </w:tc>
        <w:tc>
          <w:tcPr>
            <w:tcW w:w="1063" w:type="dxa"/>
            <w:noWrap w:val="0"/>
            <w:vAlign w:val="center"/>
          </w:tcPr>
          <w:p>
            <w:pPr>
              <w:keepNext w:val="0"/>
              <w:keepLines w:val="0"/>
              <w:widowControl/>
              <w:suppressLineNumbers w:val="0"/>
              <w:jc w:val="left"/>
              <w:textAlignment w:val="center"/>
              <w:rPr>
                <w:rFonts w:ascii="Calibri" w:hAnsi="Calibri" w:eastAsia="楷体"/>
                <w:kern w:val="0"/>
                <w:sz w:val="10"/>
                <w:szCs w:val="10"/>
              </w:rPr>
            </w:pPr>
            <w:r>
              <w:rPr>
                <w:rFonts w:hint="default" w:ascii="Arial" w:hAnsi="Arial" w:eastAsia="宋体" w:cs="Arial"/>
                <w:i w:val="0"/>
                <w:iCs w:val="0"/>
                <w:color w:val="000000"/>
                <w:kern w:val="0"/>
                <w:sz w:val="10"/>
                <w:szCs w:val="10"/>
                <w:u w:val="none"/>
                <w:lang w:val="en-US" w:eastAsia="zh-CN" w:bidi="ar"/>
              </w:rPr>
              <w:t>通榆县公安局2024年警察节假日之外加班补助</w:t>
            </w:r>
          </w:p>
        </w:tc>
        <w:tc>
          <w:tcPr>
            <w:tcW w:w="1107" w:type="dxa"/>
            <w:noWrap w:val="0"/>
            <w:vAlign w:val="center"/>
          </w:tcPr>
          <w:p>
            <w:pPr>
              <w:spacing w:line="700" w:lineRule="exact"/>
              <w:jc w:val="center"/>
              <w:rPr>
                <w:rFonts w:ascii="Calibri" w:hAnsi="Calibri" w:eastAsia="楷体"/>
                <w:kern w:val="0"/>
                <w:szCs w:val="32"/>
              </w:rPr>
            </w:pPr>
          </w:p>
        </w:tc>
        <w:tc>
          <w:tcPr>
            <w:tcW w:w="864" w:type="dxa"/>
            <w:noWrap w:val="0"/>
            <w:vAlign w:val="center"/>
          </w:tcPr>
          <w:p>
            <w:pPr>
              <w:spacing w:line="700" w:lineRule="exact"/>
              <w:jc w:val="center"/>
              <w:rPr>
                <w:rFonts w:ascii="Calibri" w:hAnsi="Calibri" w:eastAsia="楷体"/>
                <w:kern w:val="0"/>
                <w:szCs w:val="32"/>
              </w:rPr>
            </w:pPr>
          </w:p>
        </w:tc>
        <w:tc>
          <w:tcPr>
            <w:tcW w:w="498" w:type="dxa"/>
            <w:noWrap w:val="0"/>
            <w:vAlign w:val="center"/>
          </w:tcPr>
          <w:p>
            <w:pPr>
              <w:spacing w:line="700" w:lineRule="exact"/>
              <w:jc w:val="center"/>
              <w:rPr>
                <w:rFonts w:ascii="Calibri" w:hAnsi="Calibri" w:eastAsia="楷体"/>
                <w:kern w:val="0"/>
                <w:szCs w:val="32"/>
              </w:rPr>
            </w:pPr>
          </w:p>
        </w:tc>
        <w:tc>
          <w:tcPr>
            <w:tcW w:w="553" w:type="dxa"/>
            <w:noWrap w:val="0"/>
            <w:vAlign w:val="center"/>
          </w:tcPr>
          <w:p>
            <w:pPr>
              <w:spacing w:line="700" w:lineRule="exact"/>
              <w:jc w:val="center"/>
              <w:rPr>
                <w:rFonts w:ascii="Calibri" w:hAnsi="Calibri" w:eastAsia="楷体"/>
                <w:kern w:val="0"/>
                <w:szCs w:val="32"/>
              </w:rPr>
            </w:pPr>
          </w:p>
        </w:tc>
        <w:tc>
          <w:tcPr>
            <w:tcW w:w="554" w:type="dxa"/>
            <w:noWrap w:val="0"/>
            <w:vAlign w:val="center"/>
          </w:tcPr>
          <w:p>
            <w:pPr>
              <w:spacing w:line="700" w:lineRule="exact"/>
              <w:jc w:val="center"/>
              <w:rPr>
                <w:rFonts w:ascii="Calibri" w:hAnsi="Calibri" w:eastAsia="楷体"/>
                <w:kern w:val="0"/>
                <w:szCs w:val="32"/>
              </w:rPr>
            </w:pPr>
          </w:p>
        </w:tc>
        <w:tc>
          <w:tcPr>
            <w:tcW w:w="521" w:type="dxa"/>
            <w:noWrap w:val="0"/>
            <w:vAlign w:val="center"/>
          </w:tcPr>
          <w:p>
            <w:pPr>
              <w:spacing w:line="700" w:lineRule="exact"/>
              <w:jc w:val="center"/>
              <w:rPr>
                <w:rFonts w:ascii="Calibri" w:hAnsi="Calibri" w:eastAsia="楷体"/>
                <w:kern w:val="0"/>
                <w:szCs w:val="32"/>
              </w:rPr>
            </w:pPr>
          </w:p>
        </w:tc>
        <w:tc>
          <w:tcPr>
            <w:tcW w:w="564" w:type="dxa"/>
            <w:noWrap w:val="0"/>
            <w:vAlign w:val="center"/>
          </w:tcPr>
          <w:p>
            <w:pPr>
              <w:spacing w:line="700" w:lineRule="exact"/>
              <w:jc w:val="center"/>
              <w:rPr>
                <w:rFonts w:ascii="Calibri" w:hAnsi="Calibri" w:eastAsia="楷体"/>
                <w:kern w:val="0"/>
                <w:szCs w:val="32"/>
              </w:rPr>
            </w:pPr>
          </w:p>
        </w:tc>
        <w:tc>
          <w:tcPr>
            <w:tcW w:w="532" w:type="dxa"/>
            <w:noWrap w:val="0"/>
            <w:vAlign w:val="center"/>
          </w:tcPr>
          <w:p>
            <w:pPr>
              <w:spacing w:line="700" w:lineRule="exact"/>
              <w:jc w:val="center"/>
              <w:rPr>
                <w:rFonts w:ascii="Calibri" w:hAnsi="Calibri" w:eastAsia="楷体"/>
                <w:kern w:val="0"/>
                <w:szCs w:val="32"/>
              </w:rPr>
            </w:pPr>
          </w:p>
        </w:tc>
        <w:tc>
          <w:tcPr>
            <w:tcW w:w="598" w:type="dxa"/>
            <w:noWrap w:val="0"/>
            <w:vAlign w:val="center"/>
          </w:tcPr>
          <w:p>
            <w:pPr>
              <w:spacing w:line="700" w:lineRule="exact"/>
              <w:jc w:val="center"/>
              <w:rPr>
                <w:rFonts w:ascii="Calibri" w:hAnsi="Calibri" w:eastAsia="楷体"/>
                <w:kern w:val="0"/>
                <w:szCs w:val="32"/>
              </w:rPr>
            </w:pPr>
          </w:p>
        </w:tc>
        <w:tc>
          <w:tcPr>
            <w:tcW w:w="443" w:type="dxa"/>
            <w:noWrap w:val="0"/>
            <w:vAlign w:val="center"/>
          </w:tcPr>
          <w:p>
            <w:pPr>
              <w:spacing w:line="700" w:lineRule="exact"/>
              <w:jc w:val="center"/>
              <w:rPr>
                <w:rFonts w:ascii="Calibri" w:hAnsi="Calibri" w:eastAsia="楷体"/>
                <w:kern w:val="0"/>
                <w:szCs w:val="32"/>
              </w:rPr>
            </w:pPr>
          </w:p>
        </w:tc>
        <w:tc>
          <w:tcPr>
            <w:tcW w:w="425" w:type="dxa"/>
            <w:noWrap w:val="0"/>
            <w:vAlign w:val="center"/>
          </w:tcPr>
          <w:p>
            <w:pPr>
              <w:spacing w:line="700" w:lineRule="exact"/>
              <w:jc w:val="center"/>
              <w:rPr>
                <w:rFonts w:ascii="Calibri" w:hAnsi="Calibri" w:eastAsia="楷体"/>
                <w:kern w:val="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759" w:type="dxa"/>
            <w:noWrap w:val="0"/>
            <w:vAlign w:val="center"/>
          </w:tcPr>
          <w:p>
            <w:pPr>
              <w:spacing w:line="700" w:lineRule="exact"/>
              <w:jc w:val="center"/>
              <w:rPr>
                <w:rFonts w:ascii="Calibri" w:hAnsi="Calibri" w:eastAsia="楷体"/>
                <w:kern w:val="0"/>
                <w:szCs w:val="32"/>
              </w:rPr>
            </w:pPr>
          </w:p>
        </w:tc>
        <w:tc>
          <w:tcPr>
            <w:tcW w:w="1063" w:type="dxa"/>
            <w:noWrap w:val="0"/>
            <w:vAlign w:val="center"/>
          </w:tcPr>
          <w:p>
            <w:pPr>
              <w:jc w:val="left"/>
              <w:rPr>
                <w:rFonts w:ascii="Calibri" w:hAnsi="Calibri" w:eastAsia="楷体"/>
                <w:kern w:val="0"/>
                <w:sz w:val="10"/>
                <w:szCs w:val="10"/>
              </w:rPr>
            </w:pPr>
          </w:p>
        </w:tc>
        <w:tc>
          <w:tcPr>
            <w:tcW w:w="1107" w:type="dxa"/>
            <w:noWrap w:val="0"/>
            <w:vAlign w:val="center"/>
          </w:tcPr>
          <w:p>
            <w:pPr>
              <w:keepNext w:val="0"/>
              <w:keepLines w:val="0"/>
              <w:widowControl/>
              <w:suppressLineNumbers w:val="0"/>
              <w:jc w:val="left"/>
              <w:textAlignment w:val="center"/>
              <w:rPr>
                <w:rFonts w:ascii="Calibri" w:hAnsi="Calibri" w:eastAsia="楷体"/>
                <w:kern w:val="0"/>
                <w:sz w:val="10"/>
                <w:szCs w:val="10"/>
              </w:rPr>
            </w:pPr>
            <w:r>
              <w:rPr>
                <w:rFonts w:hint="default" w:ascii="Arial" w:hAnsi="Arial" w:eastAsia="宋体" w:cs="Arial"/>
                <w:i w:val="0"/>
                <w:iCs w:val="0"/>
                <w:color w:val="000000"/>
                <w:kern w:val="0"/>
                <w:sz w:val="10"/>
                <w:szCs w:val="10"/>
                <w:u w:val="none"/>
                <w:lang w:val="en-US" w:eastAsia="zh-CN" w:bidi="ar"/>
              </w:rPr>
              <w:t>通榆县公安局交警队2024年警察节假日之外加班补助</w:t>
            </w:r>
          </w:p>
        </w:tc>
        <w:tc>
          <w:tcPr>
            <w:tcW w:w="864" w:type="dxa"/>
            <w:noWrap w:val="0"/>
            <w:vAlign w:val="center"/>
          </w:tcPr>
          <w:p>
            <w:pPr>
              <w:keepNext w:val="0"/>
              <w:keepLines w:val="0"/>
              <w:widowControl/>
              <w:suppressLineNumbers w:val="0"/>
              <w:jc w:val="left"/>
              <w:textAlignment w:val="center"/>
              <w:rPr>
                <w:rFonts w:ascii="Calibri" w:hAnsi="Calibri" w:eastAsia="楷体"/>
                <w:kern w:val="0"/>
                <w:sz w:val="10"/>
                <w:szCs w:val="10"/>
              </w:rPr>
            </w:pPr>
            <w:r>
              <w:rPr>
                <w:rFonts w:hint="default" w:ascii="Arial" w:hAnsi="Arial" w:eastAsia="宋体" w:cs="Arial"/>
                <w:i w:val="0"/>
                <w:iCs w:val="0"/>
                <w:color w:val="000000"/>
                <w:kern w:val="0"/>
                <w:sz w:val="10"/>
                <w:szCs w:val="10"/>
                <w:u w:val="none"/>
                <w:lang w:val="en-US" w:eastAsia="zh-CN" w:bidi="ar"/>
              </w:rPr>
              <w:t>通榆县公安局交通巡逻警察大队</w:t>
            </w:r>
          </w:p>
        </w:tc>
        <w:tc>
          <w:tcPr>
            <w:tcW w:w="498" w:type="dxa"/>
            <w:noWrap w:val="0"/>
            <w:vAlign w:val="center"/>
          </w:tcPr>
          <w:p>
            <w:pPr>
              <w:keepNext w:val="0"/>
              <w:keepLines w:val="0"/>
              <w:widowControl/>
              <w:suppressLineNumbers w:val="0"/>
              <w:jc w:val="right"/>
              <w:textAlignment w:val="center"/>
              <w:rPr>
                <w:rFonts w:ascii="Calibri" w:hAnsi="Calibri" w:eastAsia="楷体"/>
                <w:kern w:val="0"/>
                <w:sz w:val="11"/>
                <w:szCs w:val="11"/>
              </w:rPr>
            </w:pPr>
            <w:r>
              <w:rPr>
                <w:rFonts w:hint="default" w:ascii="Arial" w:hAnsi="Arial" w:eastAsia="宋体" w:cs="Arial"/>
                <w:i w:val="0"/>
                <w:iCs w:val="0"/>
                <w:color w:val="000000"/>
                <w:kern w:val="0"/>
                <w:sz w:val="11"/>
                <w:szCs w:val="11"/>
                <w:u w:val="none"/>
                <w:lang w:val="en-US" w:eastAsia="zh-CN" w:bidi="ar"/>
              </w:rPr>
              <w:t>547.20</w:t>
            </w:r>
          </w:p>
        </w:tc>
        <w:tc>
          <w:tcPr>
            <w:tcW w:w="553" w:type="dxa"/>
            <w:noWrap w:val="0"/>
            <w:vAlign w:val="center"/>
          </w:tcPr>
          <w:p>
            <w:pPr>
              <w:keepNext w:val="0"/>
              <w:keepLines w:val="0"/>
              <w:widowControl/>
              <w:suppressLineNumbers w:val="0"/>
              <w:jc w:val="right"/>
              <w:textAlignment w:val="center"/>
              <w:rPr>
                <w:rFonts w:ascii="Calibri" w:hAnsi="Calibri" w:eastAsia="楷体"/>
                <w:kern w:val="0"/>
                <w:sz w:val="11"/>
                <w:szCs w:val="11"/>
              </w:rPr>
            </w:pPr>
            <w:r>
              <w:rPr>
                <w:rFonts w:hint="default" w:ascii="Arial" w:hAnsi="Arial" w:eastAsia="宋体" w:cs="Arial"/>
                <w:i w:val="0"/>
                <w:iCs w:val="0"/>
                <w:color w:val="000000"/>
                <w:kern w:val="0"/>
                <w:sz w:val="11"/>
                <w:szCs w:val="11"/>
                <w:u w:val="none"/>
                <w:lang w:val="en-US" w:eastAsia="zh-CN" w:bidi="ar"/>
              </w:rPr>
              <w:t>547.20</w:t>
            </w:r>
          </w:p>
        </w:tc>
        <w:tc>
          <w:tcPr>
            <w:tcW w:w="554" w:type="dxa"/>
            <w:noWrap w:val="0"/>
            <w:vAlign w:val="center"/>
          </w:tcPr>
          <w:p>
            <w:pPr>
              <w:spacing w:line="700" w:lineRule="exact"/>
              <w:jc w:val="center"/>
              <w:rPr>
                <w:rFonts w:ascii="Calibri" w:hAnsi="Calibri" w:eastAsia="楷体"/>
                <w:kern w:val="0"/>
                <w:szCs w:val="32"/>
              </w:rPr>
            </w:pPr>
          </w:p>
        </w:tc>
        <w:tc>
          <w:tcPr>
            <w:tcW w:w="521" w:type="dxa"/>
            <w:noWrap w:val="0"/>
            <w:vAlign w:val="center"/>
          </w:tcPr>
          <w:p>
            <w:pPr>
              <w:spacing w:line="700" w:lineRule="exact"/>
              <w:jc w:val="center"/>
              <w:rPr>
                <w:rFonts w:ascii="Calibri" w:hAnsi="Calibri" w:eastAsia="楷体"/>
                <w:kern w:val="0"/>
                <w:szCs w:val="32"/>
              </w:rPr>
            </w:pPr>
          </w:p>
        </w:tc>
        <w:tc>
          <w:tcPr>
            <w:tcW w:w="564" w:type="dxa"/>
            <w:noWrap w:val="0"/>
            <w:vAlign w:val="center"/>
          </w:tcPr>
          <w:p>
            <w:pPr>
              <w:spacing w:line="700" w:lineRule="exact"/>
              <w:jc w:val="center"/>
              <w:rPr>
                <w:rFonts w:ascii="Calibri" w:hAnsi="Calibri" w:eastAsia="楷体"/>
                <w:kern w:val="0"/>
                <w:szCs w:val="32"/>
              </w:rPr>
            </w:pPr>
          </w:p>
        </w:tc>
        <w:tc>
          <w:tcPr>
            <w:tcW w:w="532" w:type="dxa"/>
            <w:noWrap w:val="0"/>
            <w:vAlign w:val="center"/>
          </w:tcPr>
          <w:p>
            <w:pPr>
              <w:spacing w:line="700" w:lineRule="exact"/>
              <w:jc w:val="center"/>
              <w:rPr>
                <w:rFonts w:ascii="Calibri" w:hAnsi="Calibri" w:eastAsia="楷体"/>
                <w:kern w:val="0"/>
                <w:szCs w:val="32"/>
              </w:rPr>
            </w:pPr>
          </w:p>
        </w:tc>
        <w:tc>
          <w:tcPr>
            <w:tcW w:w="598" w:type="dxa"/>
            <w:noWrap w:val="0"/>
            <w:vAlign w:val="center"/>
          </w:tcPr>
          <w:p>
            <w:pPr>
              <w:spacing w:line="700" w:lineRule="exact"/>
              <w:jc w:val="center"/>
              <w:rPr>
                <w:rFonts w:ascii="Calibri" w:hAnsi="Calibri" w:eastAsia="楷体"/>
                <w:kern w:val="0"/>
                <w:szCs w:val="32"/>
              </w:rPr>
            </w:pPr>
          </w:p>
        </w:tc>
        <w:tc>
          <w:tcPr>
            <w:tcW w:w="443" w:type="dxa"/>
            <w:noWrap w:val="0"/>
            <w:vAlign w:val="center"/>
          </w:tcPr>
          <w:p>
            <w:pPr>
              <w:spacing w:line="700" w:lineRule="exact"/>
              <w:jc w:val="center"/>
              <w:rPr>
                <w:rFonts w:ascii="Calibri" w:hAnsi="Calibri" w:eastAsia="楷体"/>
                <w:kern w:val="0"/>
                <w:szCs w:val="32"/>
              </w:rPr>
            </w:pPr>
          </w:p>
        </w:tc>
        <w:tc>
          <w:tcPr>
            <w:tcW w:w="425" w:type="dxa"/>
            <w:noWrap w:val="0"/>
            <w:vAlign w:val="center"/>
          </w:tcPr>
          <w:p>
            <w:pPr>
              <w:spacing w:line="700" w:lineRule="exact"/>
              <w:jc w:val="center"/>
              <w:rPr>
                <w:rFonts w:ascii="Calibri" w:hAnsi="Calibri" w:eastAsia="楷体"/>
                <w:kern w:val="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759" w:type="dxa"/>
            <w:noWrap w:val="0"/>
            <w:vAlign w:val="center"/>
          </w:tcPr>
          <w:p>
            <w:pPr>
              <w:spacing w:line="700" w:lineRule="exact"/>
              <w:jc w:val="center"/>
              <w:rPr>
                <w:rFonts w:ascii="Calibri" w:hAnsi="Calibri" w:eastAsia="楷体"/>
                <w:kern w:val="0"/>
                <w:szCs w:val="32"/>
              </w:rPr>
            </w:pPr>
          </w:p>
        </w:tc>
        <w:tc>
          <w:tcPr>
            <w:tcW w:w="1063" w:type="dxa"/>
            <w:noWrap w:val="0"/>
            <w:vAlign w:val="center"/>
          </w:tcPr>
          <w:p>
            <w:pPr>
              <w:keepNext w:val="0"/>
              <w:keepLines w:val="0"/>
              <w:widowControl/>
              <w:suppressLineNumbers w:val="0"/>
              <w:jc w:val="left"/>
              <w:textAlignment w:val="center"/>
              <w:rPr>
                <w:rFonts w:ascii="Calibri" w:hAnsi="Calibri" w:eastAsia="楷体"/>
                <w:kern w:val="0"/>
                <w:sz w:val="10"/>
                <w:szCs w:val="10"/>
              </w:rPr>
            </w:pPr>
            <w:r>
              <w:rPr>
                <w:rFonts w:hint="default" w:ascii="Arial" w:hAnsi="Arial" w:eastAsia="宋体" w:cs="Arial"/>
                <w:i w:val="0"/>
                <w:iCs w:val="0"/>
                <w:color w:val="000000"/>
                <w:kern w:val="0"/>
                <w:sz w:val="10"/>
                <w:szCs w:val="10"/>
                <w:u w:val="none"/>
                <w:lang w:val="en-US" w:eastAsia="zh-CN" w:bidi="ar"/>
              </w:rPr>
              <w:t>通榆县公安局2024年驻村工作队生活补贴</w:t>
            </w:r>
          </w:p>
        </w:tc>
        <w:tc>
          <w:tcPr>
            <w:tcW w:w="1107" w:type="dxa"/>
            <w:noWrap w:val="0"/>
            <w:vAlign w:val="center"/>
          </w:tcPr>
          <w:p>
            <w:pPr>
              <w:jc w:val="left"/>
              <w:rPr>
                <w:rFonts w:ascii="Calibri" w:hAnsi="Calibri" w:eastAsia="楷体"/>
                <w:kern w:val="0"/>
                <w:sz w:val="10"/>
                <w:szCs w:val="10"/>
              </w:rPr>
            </w:pPr>
          </w:p>
        </w:tc>
        <w:tc>
          <w:tcPr>
            <w:tcW w:w="864" w:type="dxa"/>
            <w:noWrap w:val="0"/>
            <w:vAlign w:val="center"/>
          </w:tcPr>
          <w:p>
            <w:pPr>
              <w:jc w:val="left"/>
              <w:rPr>
                <w:rFonts w:ascii="Calibri" w:hAnsi="Calibri" w:eastAsia="楷体"/>
                <w:kern w:val="0"/>
                <w:sz w:val="10"/>
                <w:szCs w:val="10"/>
              </w:rPr>
            </w:pPr>
          </w:p>
        </w:tc>
        <w:tc>
          <w:tcPr>
            <w:tcW w:w="498" w:type="dxa"/>
            <w:noWrap w:val="0"/>
            <w:vAlign w:val="center"/>
          </w:tcPr>
          <w:p>
            <w:pPr>
              <w:keepNext w:val="0"/>
              <w:keepLines w:val="0"/>
              <w:widowControl/>
              <w:suppressLineNumbers w:val="0"/>
              <w:jc w:val="right"/>
              <w:textAlignment w:val="center"/>
              <w:rPr>
                <w:rFonts w:ascii="Calibri" w:hAnsi="Calibri" w:eastAsia="楷体"/>
                <w:kern w:val="0"/>
                <w:sz w:val="11"/>
                <w:szCs w:val="11"/>
              </w:rPr>
            </w:pPr>
            <w:r>
              <w:rPr>
                <w:rFonts w:hint="default" w:ascii="Arial" w:hAnsi="Arial" w:eastAsia="宋体" w:cs="Arial"/>
                <w:i w:val="0"/>
                <w:iCs w:val="0"/>
                <w:color w:val="000000"/>
                <w:kern w:val="0"/>
                <w:sz w:val="11"/>
                <w:szCs w:val="11"/>
                <w:u w:val="none"/>
                <w:lang w:val="en-US" w:eastAsia="zh-CN" w:bidi="ar"/>
              </w:rPr>
              <w:t>60.00</w:t>
            </w:r>
          </w:p>
        </w:tc>
        <w:tc>
          <w:tcPr>
            <w:tcW w:w="553" w:type="dxa"/>
            <w:noWrap w:val="0"/>
            <w:vAlign w:val="center"/>
          </w:tcPr>
          <w:p>
            <w:pPr>
              <w:keepNext w:val="0"/>
              <w:keepLines w:val="0"/>
              <w:widowControl/>
              <w:suppressLineNumbers w:val="0"/>
              <w:jc w:val="right"/>
              <w:textAlignment w:val="center"/>
              <w:rPr>
                <w:rFonts w:ascii="Calibri" w:hAnsi="Calibri" w:eastAsia="楷体"/>
                <w:kern w:val="0"/>
                <w:sz w:val="11"/>
                <w:szCs w:val="11"/>
              </w:rPr>
            </w:pPr>
            <w:r>
              <w:rPr>
                <w:rFonts w:hint="default" w:ascii="Arial" w:hAnsi="Arial" w:eastAsia="宋体" w:cs="Arial"/>
                <w:i w:val="0"/>
                <w:iCs w:val="0"/>
                <w:color w:val="000000"/>
                <w:kern w:val="0"/>
                <w:sz w:val="11"/>
                <w:szCs w:val="11"/>
                <w:u w:val="none"/>
                <w:lang w:val="en-US" w:eastAsia="zh-CN" w:bidi="ar"/>
              </w:rPr>
              <w:t>60.00</w:t>
            </w:r>
          </w:p>
        </w:tc>
        <w:tc>
          <w:tcPr>
            <w:tcW w:w="554" w:type="dxa"/>
            <w:noWrap w:val="0"/>
            <w:vAlign w:val="center"/>
          </w:tcPr>
          <w:p>
            <w:pPr>
              <w:spacing w:line="700" w:lineRule="exact"/>
              <w:jc w:val="center"/>
              <w:rPr>
                <w:rFonts w:ascii="Calibri" w:hAnsi="Calibri" w:eastAsia="楷体"/>
                <w:kern w:val="0"/>
                <w:szCs w:val="32"/>
              </w:rPr>
            </w:pPr>
          </w:p>
        </w:tc>
        <w:tc>
          <w:tcPr>
            <w:tcW w:w="521" w:type="dxa"/>
            <w:noWrap w:val="0"/>
            <w:vAlign w:val="center"/>
          </w:tcPr>
          <w:p>
            <w:pPr>
              <w:spacing w:line="700" w:lineRule="exact"/>
              <w:jc w:val="center"/>
              <w:rPr>
                <w:rFonts w:ascii="Calibri" w:hAnsi="Calibri" w:eastAsia="楷体"/>
                <w:kern w:val="0"/>
                <w:szCs w:val="32"/>
              </w:rPr>
            </w:pPr>
          </w:p>
        </w:tc>
        <w:tc>
          <w:tcPr>
            <w:tcW w:w="564" w:type="dxa"/>
            <w:noWrap w:val="0"/>
            <w:vAlign w:val="center"/>
          </w:tcPr>
          <w:p>
            <w:pPr>
              <w:spacing w:line="700" w:lineRule="exact"/>
              <w:jc w:val="center"/>
              <w:rPr>
                <w:rFonts w:ascii="Calibri" w:hAnsi="Calibri" w:eastAsia="楷体"/>
                <w:kern w:val="0"/>
                <w:szCs w:val="32"/>
              </w:rPr>
            </w:pPr>
          </w:p>
        </w:tc>
        <w:tc>
          <w:tcPr>
            <w:tcW w:w="532" w:type="dxa"/>
            <w:noWrap w:val="0"/>
            <w:vAlign w:val="center"/>
          </w:tcPr>
          <w:p>
            <w:pPr>
              <w:spacing w:line="700" w:lineRule="exact"/>
              <w:jc w:val="center"/>
              <w:rPr>
                <w:rFonts w:ascii="Calibri" w:hAnsi="Calibri" w:eastAsia="楷体"/>
                <w:kern w:val="0"/>
                <w:szCs w:val="32"/>
              </w:rPr>
            </w:pPr>
          </w:p>
        </w:tc>
        <w:tc>
          <w:tcPr>
            <w:tcW w:w="598" w:type="dxa"/>
            <w:noWrap w:val="0"/>
            <w:vAlign w:val="center"/>
          </w:tcPr>
          <w:p>
            <w:pPr>
              <w:spacing w:line="700" w:lineRule="exact"/>
              <w:jc w:val="center"/>
              <w:rPr>
                <w:rFonts w:ascii="Calibri" w:hAnsi="Calibri" w:eastAsia="楷体"/>
                <w:kern w:val="0"/>
                <w:szCs w:val="32"/>
              </w:rPr>
            </w:pPr>
          </w:p>
        </w:tc>
        <w:tc>
          <w:tcPr>
            <w:tcW w:w="443" w:type="dxa"/>
            <w:noWrap w:val="0"/>
            <w:vAlign w:val="center"/>
          </w:tcPr>
          <w:p>
            <w:pPr>
              <w:spacing w:line="700" w:lineRule="exact"/>
              <w:jc w:val="center"/>
              <w:rPr>
                <w:rFonts w:ascii="Calibri" w:hAnsi="Calibri" w:eastAsia="楷体"/>
                <w:kern w:val="0"/>
                <w:szCs w:val="32"/>
              </w:rPr>
            </w:pPr>
          </w:p>
        </w:tc>
        <w:tc>
          <w:tcPr>
            <w:tcW w:w="425" w:type="dxa"/>
            <w:noWrap w:val="0"/>
            <w:vAlign w:val="center"/>
          </w:tcPr>
          <w:p>
            <w:pPr>
              <w:spacing w:line="700" w:lineRule="exact"/>
              <w:jc w:val="center"/>
              <w:rPr>
                <w:rFonts w:ascii="Calibri" w:hAnsi="Calibri" w:eastAsia="楷体"/>
                <w:kern w:val="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759" w:type="dxa"/>
            <w:noWrap w:val="0"/>
            <w:vAlign w:val="center"/>
          </w:tcPr>
          <w:p>
            <w:pPr>
              <w:spacing w:line="700" w:lineRule="exact"/>
              <w:jc w:val="center"/>
              <w:rPr>
                <w:rFonts w:ascii="Calibri" w:hAnsi="Calibri" w:eastAsia="楷体"/>
                <w:kern w:val="0"/>
                <w:szCs w:val="32"/>
              </w:rPr>
            </w:pPr>
          </w:p>
        </w:tc>
        <w:tc>
          <w:tcPr>
            <w:tcW w:w="1063" w:type="dxa"/>
            <w:noWrap w:val="0"/>
            <w:vAlign w:val="center"/>
          </w:tcPr>
          <w:p>
            <w:pPr>
              <w:jc w:val="left"/>
              <w:rPr>
                <w:rFonts w:ascii="Calibri" w:hAnsi="Calibri" w:eastAsia="楷体"/>
                <w:kern w:val="0"/>
                <w:sz w:val="10"/>
                <w:szCs w:val="10"/>
              </w:rPr>
            </w:pPr>
          </w:p>
        </w:tc>
        <w:tc>
          <w:tcPr>
            <w:tcW w:w="1107" w:type="dxa"/>
            <w:noWrap w:val="0"/>
            <w:vAlign w:val="center"/>
          </w:tcPr>
          <w:p>
            <w:pPr>
              <w:keepNext w:val="0"/>
              <w:keepLines w:val="0"/>
              <w:widowControl/>
              <w:suppressLineNumbers w:val="0"/>
              <w:jc w:val="left"/>
              <w:textAlignment w:val="center"/>
              <w:rPr>
                <w:rFonts w:ascii="Calibri" w:hAnsi="Calibri" w:eastAsia="楷体"/>
                <w:kern w:val="0"/>
                <w:sz w:val="10"/>
                <w:szCs w:val="10"/>
              </w:rPr>
            </w:pPr>
            <w:r>
              <w:rPr>
                <w:rFonts w:hint="default" w:ascii="Arial" w:hAnsi="Arial" w:eastAsia="宋体" w:cs="Arial"/>
                <w:i w:val="0"/>
                <w:iCs w:val="0"/>
                <w:color w:val="000000"/>
                <w:kern w:val="0"/>
                <w:sz w:val="10"/>
                <w:szCs w:val="10"/>
                <w:u w:val="none"/>
                <w:lang w:val="en-US" w:eastAsia="zh-CN" w:bidi="ar"/>
              </w:rPr>
              <w:t>通榆县公安局交警队2024年驻村工作队生活补贴补助</w:t>
            </w:r>
          </w:p>
        </w:tc>
        <w:tc>
          <w:tcPr>
            <w:tcW w:w="864" w:type="dxa"/>
            <w:noWrap w:val="0"/>
            <w:vAlign w:val="center"/>
          </w:tcPr>
          <w:p>
            <w:pPr>
              <w:keepNext w:val="0"/>
              <w:keepLines w:val="0"/>
              <w:widowControl/>
              <w:suppressLineNumbers w:val="0"/>
              <w:jc w:val="left"/>
              <w:textAlignment w:val="center"/>
              <w:rPr>
                <w:rFonts w:ascii="Calibri" w:hAnsi="Calibri" w:eastAsia="楷体"/>
                <w:kern w:val="0"/>
                <w:sz w:val="10"/>
                <w:szCs w:val="10"/>
              </w:rPr>
            </w:pPr>
            <w:r>
              <w:rPr>
                <w:rFonts w:hint="default" w:ascii="Arial" w:hAnsi="Arial" w:eastAsia="宋体" w:cs="Arial"/>
                <w:i w:val="0"/>
                <w:iCs w:val="0"/>
                <w:color w:val="000000"/>
                <w:kern w:val="0"/>
                <w:sz w:val="10"/>
                <w:szCs w:val="10"/>
                <w:u w:val="none"/>
                <w:lang w:val="en-US" w:eastAsia="zh-CN" w:bidi="ar"/>
              </w:rPr>
              <w:t>通榆县公安局交通巡逻警察大队</w:t>
            </w:r>
          </w:p>
        </w:tc>
        <w:tc>
          <w:tcPr>
            <w:tcW w:w="498" w:type="dxa"/>
            <w:noWrap w:val="0"/>
            <w:vAlign w:val="center"/>
          </w:tcPr>
          <w:p>
            <w:pPr>
              <w:keepNext w:val="0"/>
              <w:keepLines w:val="0"/>
              <w:widowControl/>
              <w:suppressLineNumbers w:val="0"/>
              <w:jc w:val="right"/>
              <w:textAlignment w:val="center"/>
              <w:rPr>
                <w:rFonts w:ascii="Calibri" w:hAnsi="Calibri" w:eastAsia="楷体"/>
                <w:kern w:val="0"/>
                <w:sz w:val="11"/>
                <w:szCs w:val="11"/>
              </w:rPr>
            </w:pPr>
            <w:r>
              <w:rPr>
                <w:rFonts w:hint="default" w:ascii="Arial" w:hAnsi="Arial" w:eastAsia="宋体" w:cs="Arial"/>
                <w:i w:val="0"/>
                <w:iCs w:val="0"/>
                <w:color w:val="000000"/>
                <w:kern w:val="0"/>
                <w:sz w:val="11"/>
                <w:szCs w:val="11"/>
                <w:u w:val="none"/>
                <w:lang w:val="en-US" w:eastAsia="zh-CN" w:bidi="ar"/>
              </w:rPr>
              <w:t>60.00</w:t>
            </w:r>
          </w:p>
        </w:tc>
        <w:tc>
          <w:tcPr>
            <w:tcW w:w="553" w:type="dxa"/>
            <w:noWrap w:val="0"/>
            <w:vAlign w:val="center"/>
          </w:tcPr>
          <w:p>
            <w:pPr>
              <w:keepNext w:val="0"/>
              <w:keepLines w:val="0"/>
              <w:widowControl/>
              <w:suppressLineNumbers w:val="0"/>
              <w:jc w:val="right"/>
              <w:textAlignment w:val="center"/>
              <w:rPr>
                <w:rFonts w:ascii="Calibri" w:hAnsi="Calibri" w:eastAsia="楷体"/>
                <w:kern w:val="0"/>
                <w:sz w:val="11"/>
                <w:szCs w:val="11"/>
              </w:rPr>
            </w:pPr>
            <w:r>
              <w:rPr>
                <w:rFonts w:hint="default" w:ascii="Arial" w:hAnsi="Arial" w:eastAsia="宋体" w:cs="Arial"/>
                <w:i w:val="0"/>
                <w:iCs w:val="0"/>
                <w:color w:val="000000"/>
                <w:kern w:val="0"/>
                <w:sz w:val="11"/>
                <w:szCs w:val="11"/>
                <w:u w:val="none"/>
                <w:lang w:val="en-US" w:eastAsia="zh-CN" w:bidi="ar"/>
              </w:rPr>
              <w:t>60.00</w:t>
            </w:r>
          </w:p>
        </w:tc>
        <w:tc>
          <w:tcPr>
            <w:tcW w:w="554" w:type="dxa"/>
            <w:noWrap w:val="0"/>
            <w:vAlign w:val="center"/>
          </w:tcPr>
          <w:p>
            <w:pPr>
              <w:spacing w:line="700" w:lineRule="exact"/>
              <w:jc w:val="center"/>
              <w:rPr>
                <w:rFonts w:ascii="Calibri" w:hAnsi="Calibri" w:eastAsia="楷体"/>
                <w:kern w:val="0"/>
                <w:szCs w:val="32"/>
              </w:rPr>
            </w:pPr>
          </w:p>
        </w:tc>
        <w:tc>
          <w:tcPr>
            <w:tcW w:w="521" w:type="dxa"/>
            <w:noWrap w:val="0"/>
            <w:vAlign w:val="center"/>
          </w:tcPr>
          <w:p>
            <w:pPr>
              <w:spacing w:line="700" w:lineRule="exact"/>
              <w:jc w:val="center"/>
              <w:rPr>
                <w:rFonts w:ascii="Calibri" w:hAnsi="Calibri" w:eastAsia="楷体"/>
                <w:kern w:val="0"/>
                <w:szCs w:val="32"/>
              </w:rPr>
            </w:pPr>
          </w:p>
        </w:tc>
        <w:tc>
          <w:tcPr>
            <w:tcW w:w="564" w:type="dxa"/>
            <w:noWrap w:val="0"/>
            <w:vAlign w:val="center"/>
          </w:tcPr>
          <w:p>
            <w:pPr>
              <w:spacing w:line="700" w:lineRule="exact"/>
              <w:jc w:val="center"/>
              <w:rPr>
                <w:rFonts w:ascii="Calibri" w:hAnsi="Calibri" w:eastAsia="楷体"/>
                <w:kern w:val="0"/>
                <w:szCs w:val="32"/>
              </w:rPr>
            </w:pPr>
          </w:p>
        </w:tc>
        <w:tc>
          <w:tcPr>
            <w:tcW w:w="532" w:type="dxa"/>
            <w:noWrap w:val="0"/>
            <w:vAlign w:val="center"/>
          </w:tcPr>
          <w:p>
            <w:pPr>
              <w:spacing w:line="700" w:lineRule="exact"/>
              <w:jc w:val="center"/>
              <w:rPr>
                <w:rFonts w:ascii="Calibri" w:hAnsi="Calibri" w:eastAsia="楷体"/>
                <w:kern w:val="0"/>
                <w:szCs w:val="32"/>
              </w:rPr>
            </w:pPr>
          </w:p>
        </w:tc>
        <w:tc>
          <w:tcPr>
            <w:tcW w:w="598" w:type="dxa"/>
            <w:noWrap w:val="0"/>
            <w:vAlign w:val="center"/>
          </w:tcPr>
          <w:p>
            <w:pPr>
              <w:spacing w:line="700" w:lineRule="exact"/>
              <w:jc w:val="center"/>
              <w:rPr>
                <w:rFonts w:ascii="Calibri" w:hAnsi="Calibri" w:eastAsia="楷体"/>
                <w:kern w:val="0"/>
                <w:szCs w:val="32"/>
              </w:rPr>
            </w:pPr>
          </w:p>
        </w:tc>
        <w:tc>
          <w:tcPr>
            <w:tcW w:w="443" w:type="dxa"/>
            <w:noWrap w:val="0"/>
            <w:vAlign w:val="center"/>
          </w:tcPr>
          <w:p>
            <w:pPr>
              <w:spacing w:line="700" w:lineRule="exact"/>
              <w:jc w:val="center"/>
              <w:rPr>
                <w:rFonts w:ascii="Calibri" w:hAnsi="Calibri" w:eastAsia="楷体"/>
                <w:kern w:val="0"/>
                <w:szCs w:val="32"/>
              </w:rPr>
            </w:pPr>
          </w:p>
        </w:tc>
        <w:tc>
          <w:tcPr>
            <w:tcW w:w="425" w:type="dxa"/>
            <w:noWrap w:val="0"/>
            <w:vAlign w:val="center"/>
          </w:tcPr>
          <w:p>
            <w:pPr>
              <w:spacing w:line="700" w:lineRule="exact"/>
              <w:jc w:val="center"/>
              <w:rPr>
                <w:rFonts w:ascii="Calibri" w:hAnsi="Calibri" w:eastAsia="楷体"/>
                <w:kern w:val="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759" w:type="dxa"/>
            <w:noWrap w:val="0"/>
            <w:vAlign w:val="center"/>
          </w:tcPr>
          <w:p>
            <w:pPr>
              <w:spacing w:line="700" w:lineRule="exact"/>
              <w:jc w:val="center"/>
              <w:rPr>
                <w:rFonts w:ascii="Calibri" w:hAnsi="Calibri" w:eastAsia="楷体"/>
                <w:kern w:val="0"/>
                <w:szCs w:val="32"/>
              </w:rPr>
            </w:pPr>
          </w:p>
        </w:tc>
        <w:tc>
          <w:tcPr>
            <w:tcW w:w="1063" w:type="dxa"/>
            <w:noWrap w:val="0"/>
            <w:vAlign w:val="center"/>
          </w:tcPr>
          <w:p>
            <w:pPr>
              <w:keepNext w:val="0"/>
              <w:keepLines w:val="0"/>
              <w:widowControl/>
              <w:suppressLineNumbers w:val="0"/>
              <w:jc w:val="left"/>
              <w:textAlignment w:val="center"/>
              <w:rPr>
                <w:rFonts w:ascii="Calibri" w:hAnsi="Calibri" w:eastAsia="楷体"/>
                <w:kern w:val="0"/>
                <w:sz w:val="10"/>
                <w:szCs w:val="10"/>
              </w:rPr>
            </w:pPr>
            <w:r>
              <w:rPr>
                <w:rFonts w:hint="default" w:ascii="Arial" w:hAnsi="Arial" w:eastAsia="宋体" w:cs="Arial"/>
                <w:i w:val="0"/>
                <w:iCs w:val="0"/>
                <w:color w:val="000000"/>
                <w:kern w:val="0"/>
                <w:sz w:val="10"/>
                <w:szCs w:val="10"/>
                <w:u w:val="none"/>
                <w:lang w:val="en-US" w:eastAsia="zh-CN" w:bidi="ar"/>
              </w:rPr>
              <w:t>通榆县公安局交通巡逻警察大队2024年办公经费</w:t>
            </w:r>
          </w:p>
        </w:tc>
        <w:tc>
          <w:tcPr>
            <w:tcW w:w="1107" w:type="dxa"/>
            <w:noWrap w:val="0"/>
            <w:vAlign w:val="center"/>
          </w:tcPr>
          <w:p>
            <w:pPr>
              <w:jc w:val="left"/>
              <w:rPr>
                <w:rFonts w:ascii="Calibri" w:hAnsi="Calibri" w:eastAsia="楷体"/>
                <w:kern w:val="0"/>
                <w:sz w:val="10"/>
                <w:szCs w:val="10"/>
              </w:rPr>
            </w:pPr>
          </w:p>
        </w:tc>
        <w:tc>
          <w:tcPr>
            <w:tcW w:w="864" w:type="dxa"/>
            <w:noWrap w:val="0"/>
            <w:vAlign w:val="center"/>
          </w:tcPr>
          <w:p>
            <w:pPr>
              <w:jc w:val="left"/>
              <w:rPr>
                <w:rFonts w:ascii="Calibri" w:hAnsi="Calibri" w:eastAsia="楷体"/>
                <w:kern w:val="0"/>
                <w:sz w:val="10"/>
                <w:szCs w:val="10"/>
              </w:rPr>
            </w:pPr>
          </w:p>
        </w:tc>
        <w:tc>
          <w:tcPr>
            <w:tcW w:w="498" w:type="dxa"/>
            <w:noWrap w:val="0"/>
            <w:vAlign w:val="center"/>
          </w:tcPr>
          <w:p>
            <w:pPr>
              <w:keepNext w:val="0"/>
              <w:keepLines w:val="0"/>
              <w:widowControl/>
              <w:suppressLineNumbers w:val="0"/>
              <w:jc w:val="right"/>
              <w:textAlignment w:val="center"/>
              <w:rPr>
                <w:rFonts w:ascii="Calibri" w:hAnsi="Calibri" w:eastAsia="楷体"/>
                <w:kern w:val="0"/>
                <w:sz w:val="11"/>
                <w:szCs w:val="11"/>
              </w:rPr>
            </w:pPr>
            <w:r>
              <w:rPr>
                <w:rFonts w:hint="default" w:ascii="Arial" w:hAnsi="Arial" w:eastAsia="宋体" w:cs="Arial"/>
                <w:i w:val="0"/>
                <w:iCs w:val="0"/>
                <w:color w:val="000000"/>
                <w:kern w:val="0"/>
                <w:sz w:val="11"/>
                <w:szCs w:val="11"/>
                <w:u w:val="none"/>
                <w:lang w:val="en-US" w:eastAsia="zh-CN" w:bidi="ar"/>
              </w:rPr>
              <w:t>14.40</w:t>
            </w:r>
          </w:p>
        </w:tc>
        <w:tc>
          <w:tcPr>
            <w:tcW w:w="553" w:type="dxa"/>
            <w:noWrap w:val="0"/>
            <w:vAlign w:val="center"/>
          </w:tcPr>
          <w:p>
            <w:pPr>
              <w:keepNext w:val="0"/>
              <w:keepLines w:val="0"/>
              <w:widowControl/>
              <w:suppressLineNumbers w:val="0"/>
              <w:jc w:val="right"/>
              <w:textAlignment w:val="center"/>
              <w:rPr>
                <w:rFonts w:ascii="Calibri" w:hAnsi="Calibri" w:eastAsia="楷体"/>
                <w:kern w:val="0"/>
                <w:sz w:val="11"/>
                <w:szCs w:val="11"/>
              </w:rPr>
            </w:pPr>
            <w:r>
              <w:rPr>
                <w:rFonts w:hint="default" w:ascii="Arial" w:hAnsi="Arial" w:eastAsia="宋体" w:cs="Arial"/>
                <w:i w:val="0"/>
                <w:iCs w:val="0"/>
                <w:color w:val="000000"/>
                <w:kern w:val="0"/>
                <w:sz w:val="11"/>
                <w:szCs w:val="11"/>
                <w:u w:val="none"/>
                <w:lang w:val="en-US" w:eastAsia="zh-CN" w:bidi="ar"/>
              </w:rPr>
              <w:t>14.40</w:t>
            </w:r>
          </w:p>
        </w:tc>
        <w:tc>
          <w:tcPr>
            <w:tcW w:w="554" w:type="dxa"/>
            <w:noWrap w:val="0"/>
            <w:vAlign w:val="center"/>
          </w:tcPr>
          <w:p>
            <w:pPr>
              <w:spacing w:line="700" w:lineRule="exact"/>
              <w:jc w:val="center"/>
              <w:rPr>
                <w:rFonts w:ascii="Calibri" w:hAnsi="Calibri" w:eastAsia="楷体"/>
                <w:kern w:val="0"/>
                <w:szCs w:val="32"/>
              </w:rPr>
            </w:pPr>
          </w:p>
        </w:tc>
        <w:tc>
          <w:tcPr>
            <w:tcW w:w="521" w:type="dxa"/>
            <w:noWrap w:val="0"/>
            <w:vAlign w:val="center"/>
          </w:tcPr>
          <w:p>
            <w:pPr>
              <w:spacing w:line="700" w:lineRule="exact"/>
              <w:jc w:val="center"/>
              <w:rPr>
                <w:rFonts w:ascii="Calibri" w:hAnsi="Calibri" w:eastAsia="楷体"/>
                <w:kern w:val="0"/>
                <w:szCs w:val="32"/>
              </w:rPr>
            </w:pPr>
          </w:p>
        </w:tc>
        <w:tc>
          <w:tcPr>
            <w:tcW w:w="564" w:type="dxa"/>
            <w:noWrap w:val="0"/>
            <w:vAlign w:val="center"/>
          </w:tcPr>
          <w:p>
            <w:pPr>
              <w:spacing w:line="700" w:lineRule="exact"/>
              <w:jc w:val="center"/>
              <w:rPr>
                <w:rFonts w:ascii="Calibri" w:hAnsi="Calibri" w:eastAsia="楷体"/>
                <w:kern w:val="0"/>
                <w:szCs w:val="32"/>
              </w:rPr>
            </w:pPr>
          </w:p>
        </w:tc>
        <w:tc>
          <w:tcPr>
            <w:tcW w:w="532" w:type="dxa"/>
            <w:noWrap w:val="0"/>
            <w:vAlign w:val="center"/>
          </w:tcPr>
          <w:p>
            <w:pPr>
              <w:spacing w:line="700" w:lineRule="exact"/>
              <w:jc w:val="center"/>
              <w:rPr>
                <w:rFonts w:ascii="Calibri" w:hAnsi="Calibri" w:eastAsia="楷体"/>
                <w:kern w:val="0"/>
                <w:szCs w:val="32"/>
              </w:rPr>
            </w:pPr>
          </w:p>
        </w:tc>
        <w:tc>
          <w:tcPr>
            <w:tcW w:w="598" w:type="dxa"/>
            <w:noWrap w:val="0"/>
            <w:vAlign w:val="center"/>
          </w:tcPr>
          <w:p>
            <w:pPr>
              <w:spacing w:line="700" w:lineRule="exact"/>
              <w:jc w:val="center"/>
              <w:rPr>
                <w:rFonts w:ascii="Calibri" w:hAnsi="Calibri" w:eastAsia="楷体"/>
                <w:kern w:val="0"/>
                <w:szCs w:val="32"/>
              </w:rPr>
            </w:pPr>
          </w:p>
        </w:tc>
        <w:tc>
          <w:tcPr>
            <w:tcW w:w="443" w:type="dxa"/>
            <w:noWrap w:val="0"/>
            <w:vAlign w:val="center"/>
          </w:tcPr>
          <w:p>
            <w:pPr>
              <w:spacing w:line="700" w:lineRule="exact"/>
              <w:jc w:val="center"/>
              <w:rPr>
                <w:rFonts w:ascii="Calibri" w:hAnsi="Calibri" w:eastAsia="楷体"/>
                <w:kern w:val="0"/>
                <w:szCs w:val="32"/>
              </w:rPr>
            </w:pPr>
          </w:p>
        </w:tc>
        <w:tc>
          <w:tcPr>
            <w:tcW w:w="425" w:type="dxa"/>
            <w:noWrap w:val="0"/>
            <w:vAlign w:val="center"/>
          </w:tcPr>
          <w:p>
            <w:pPr>
              <w:spacing w:line="700" w:lineRule="exact"/>
              <w:jc w:val="center"/>
              <w:rPr>
                <w:rFonts w:ascii="Calibri" w:hAnsi="Calibri" w:eastAsia="楷体"/>
                <w:kern w:val="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759" w:type="dxa"/>
            <w:noWrap w:val="0"/>
            <w:vAlign w:val="center"/>
          </w:tcPr>
          <w:p>
            <w:pPr>
              <w:spacing w:line="700" w:lineRule="exact"/>
              <w:jc w:val="center"/>
              <w:rPr>
                <w:rFonts w:ascii="Calibri" w:hAnsi="Calibri" w:eastAsia="楷体"/>
                <w:kern w:val="0"/>
                <w:szCs w:val="32"/>
              </w:rPr>
            </w:pPr>
          </w:p>
        </w:tc>
        <w:tc>
          <w:tcPr>
            <w:tcW w:w="1063" w:type="dxa"/>
            <w:noWrap w:val="0"/>
            <w:vAlign w:val="center"/>
          </w:tcPr>
          <w:p>
            <w:pPr>
              <w:spacing w:line="700" w:lineRule="exact"/>
              <w:jc w:val="center"/>
              <w:rPr>
                <w:rFonts w:ascii="Calibri" w:hAnsi="Calibri" w:eastAsia="楷体"/>
                <w:kern w:val="0"/>
                <w:szCs w:val="32"/>
              </w:rPr>
            </w:pPr>
          </w:p>
        </w:tc>
        <w:tc>
          <w:tcPr>
            <w:tcW w:w="1107" w:type="dxa"/>
            <w:noWrap w:val="0"/>
            <w:vAlign w:val="center"/>
          </w:tcPr>
          <w:p>
            <w:pPr>
              <w:keepNext w:val="0"/>
              <w:keepLines w:val="0"/>
              <w:widowControl/>
              <w:suppressLineNumbers w:val="0"/>
              <w:jc w:val="left"/>
              <w:textAlignment w:val="center"/>
              <w:rPr>
                <w:rFonts w:ascii="Calibri" w:hAnsi="Calibri" w:eastAsia="楷体"/>
                <w:kern w:val="0"/>
                <w:sz w:val="10"/>
                <w:szCs w:val="10"/>
              </w:rPr>
            </w:pPr>
            <w:r>
              <w:rPr>
                <w:rFonts w:hint="default" w:ascii="Arial" w:hAnsi="Arial" w:eastAsia="宋体" w:cs="Arial"/>
                <w:i w:val="0"/>
                <w:iCs w:val="0"/>
                <w:color w:val="000000"/>
                <w:kern w:val="0"/>
                <w:sz w:val="10"/>
                <w:szCs w:val="10"/>
                <w:u w:val="none"/>
                <w:lang w:val="en-US" w:eastAsia="zh-CN" w:bidi="ar"/>
              </w:rPr>
              <w:t>通榆县公安局交通巡逻警察大队2024年办公经费</w:t>
            </w:r>
          </w:p>
        </w:tc>
        <w:tc>
          <w:tcPr>
            <w:tcW w:w="864" w:type="dxa"/>
            <w:noWrap w:val="0"/>
            <w:vAlign w:val="center"/>
          </w:tcPr>
          <w:p>
            <w:pPr>
              <w:keepNext w:val="0"/>
              <w:keepLines w:val="0"/>
              <w:widowControl/>
              <w:suppressLineNumbers w:val="0"/>
              <w:jc w:val="left"/>
              <w:textAlignment w:val="center"/>
              <w:rPr>
                <w:rFonts w:ascii="Calibri" w:hAnsi="Calibri" w:eastAsia="楷体"/>
                <w:kern w:val="0"/>
                <w:sz w:val="10"/>
                <w:szCs w:val="10"/>
              </w:rPr>
            </w:pPr>
            <w:r>
              <w:rPr>
                <w:rFonts w:hint="default" w:ascii="Arial" w:hAnsi="Arial" w:eastAsia="宋体" w:cs="Arial"/>
                <w:i w:val="0"/>
                <w:iCs w:val="0"/>
                <w:color w:val="000000"/>
                <w:kern w:val="0"/>
                <w:sz w:val="10"/>
                <w:szCs w:val="10"/>
                <w:u w:val="none"/>
                <w:lang w:val="en-US" w:eastAsia="zh-CN" w:bidi="ar"/>
              </w:rPr>
              <w:t>通榆县公安局交通巡逻警察大队</w:t>
            </w:r>
          </w:p>
        </w:tc>
        <w:tc>
          <w:tcPr>
            <w:tcW w:w="498" w:type="dxa"/>
            <w:noWrap w:val="0"/>
            <w:vAlign w:val="center"/>
          </w:tcPr>
          <w:p>
            <w:pPr>
              <w:keepNext w:val="0"/>
              <w:keepLines w:val="0"/>
              <w:widowControl/>
              <w:suppressLineNumbers w:val="0"/>
              <w:jc w:val="right"/>
              <w:textAlignment w:val="center"/>
              <w:rPr>
                <w:rFonts w:ascii="Calibri" w:hAnsi="Calibri" w:eastAsia="楷体"/>
                <w:kern w:val="0"/>
                <w:sz w:val="11"/>
                <w:szCs w:val="11"/>
              </w:rPr>
            </w:pPr>
            <w:r>
              <w:rPr>
                <w:rFonts w:hint="default" w:ascii="Arial" w:hAnsi="Arial" w:eastAsia="宋体" w:cs="Arial"/>
                <w:i w:val="0"/>
                <w:iCs w:val="0"/>
                <w:color w:val="000000"/>
                <w:kern w:val="0"/>
                <w:sz w:val="11"/>
                <w:szCs w:val="11"/>
                <w:u w:val="none"/>
                <w:lang w:val="en-US" w:eastAsia="zh-CN" w:bidi="ar"/>
              </w:rPr>
              <w:t>14.40</w:t>
            </w:r>
          </w:p>
        </w:tc>
        <w:tc>
          <w:tcPr>
            <w:tcW w:w="553" w:type="dxa"/>
            <w:noWrap w:val="0"/>
            <w:vAlign w:val="center"/>
          </w:tcPr>
          <w:p>
            <w:pPr>
              <w:keepNext w:val="0"/>
              <w:keepLines w:val="0"/>
              <w:widowControl/>
              <w:suppressLineNumbers w:val="0"/>
              <w:jc w:val="right"/>
              <w:textAlignment w:val="center"/>
              <w:rPr>
                <w:rFonts w:ascii="Calibri" w:hAnsi="Calibri" w:eastAsia="楷体"/>
                <w:kern w:val="0"/>
                <w:sz w:val="11"/>
                <w:szCs w:val="11"/>
              </w:rPr>
            </w:pPr>
            <w:r>
              <w:rPr>
                <w:rFonts w:hint="default" w:ascii="Arial" w:hAnsi="Arial" w:eastAsia="宋体" w:cs="Arial"/>
                <w:i w:val="0"/>
                <w:iCs w:val="0"/>
                <w:color w:val="000000"/>
                <w:kern w:val="0"/>
                <w:sz w:val="11"/>
                <w:szCs w:val="11"/>
                <w:u w:val="none"/>
                <w:lang w:val="en-US" w:eastAsia="zh-CN" w:bidi="ar"/>
              </w:rPr>
              <w:t>14.40</w:t>
            </w:r>
          </w:p>
        </w:tc>
        <w:tc>
          <w:tcPr>
            <w:tcW w:w="554" w:type="dxa"/>
            <w:noWrap w:val="0"/>
            <w:vAlign w:val="center"/>
          </w:tcPr>
          <w:p>
            <w:pPr>
              <w:spacing w:line="700" w:lineRule="exact"/>
              <w:jc w:val="center"/>
              <w:rPr>
                <w:rFonts w:ascii="Calibri" w:hAnsi="Calibri" w:eastAsia="楷体"/>
                <w:kern w:val="0"/>
                <w:szCs w:val="32"/>
              </w:rPr>
            </w:pPr>
          </w:p>
        </w:tc>
        <w:tc>
          <w:tcPr>
            <w:tcW w:w="521" w:type="dxa"/>
            <w:noWrap w:val="0"/>
            <w:vAlign w:val="center"/>
          </w:tcPr>
          <w:p>
            <w:pPr>
              <w:spacing w:line="700" w:lineRule="exact"/>
              <w:jc w:val="center"/>
              <w:rPr>
                <w:rFonts w:ascii="Calibri" w:hAnsi="Calibri" w:eastAsia="楷体"/>
                <w:kern w:val="0"/>
                <w:szCs w:val="32"/>
              </w:rPr>
            </w:pPr>
          </w:p>
        </w:tc>
        <w:tc>
          <w:tcPr>
            <w:tcW w:w="564" w:type="dxa"/>
            <w:noWrap w:val="0"/>
            <w:vAlign w:val="center"/>
          </w:tcPr>
          <w:p>
            <w:pPr>
              <w:spacing w:line="700" w:lineRule="exact"/>
              <w:jc w:val="center"/>
              <w:rPr>
                <w:rFonts w:ascii="Calibri" w:hAnsi="Calibri" w:eastAsia="楷体"/>
                <w:kern w:val="0"/>
                <w:szCs w:val="32"/>
              </w:rPr>
            </w:pPr>
          </w:p>
        </w:tc>
        <w:tc>
          <w:tcPr>
            <w:tcW w:w="532" w:type="dxa"/>
            <w:noWrap w:val="0"/>
            <w:vAlign w:val="center"/>
          </w:tcPr>
          <w:p>
            <w:pPr>
              <w:spacing w:line="700" w:lineRule="exact"/>
              <w:jc w:val="center"/>
              <w:rPr>
                <w:rFonts w:ascii="Calibri" w:hAnsi="Calibri" w:eastAsia="楷体"/>
                <w:kern w:val="0"/>
                <w:szCs w:val="32"/>
              </w:rPr>
            </w:pPr>
          </w:p>
        </w:tc>
        <w:tc>
          <w:tcPr>
            <w:tcW w:w="598" w:type="dxa"/>
            <w:noWrap w:val="0"/>
            <w:vAlign w:val="center"/>
          </w:tcPr>
          <w:p>
            <w:pPr>
              <w:spacing w:line="700" w:lineRule="exact"/>
              <w:jc w:val="center"/>
              <w:rPr>
                <w:rFonts w:ascii="Calibri" w:hAnsi="Calibri" w:eastAsia="楷体"/>
                <w:kern w:val="0"/>
                <w:szCs w:val="32"/>
              </w:rPr>
            </w:pPr>
          </w:p>
        </w:tc>
        <w:tc>
          <w:tcPr>
            <w:tcW w:w="443" w:type="dxa"/>
            <w:noWrap w:val="0"/>
            <w:vAlign w:val="center"/>
          </w:tcPr>
          <w:p>
            <w:pPr>
              <w:spacing w:line="700" w:lineRule="exact"/>
              <w:jc w:val="center"/>
              <w:rPr>
                <w:rFonts w:ascii="Calibri" w:hAnsi="Calibri" w:eastAsia="楷体"/>
                <w:kern w:val="0"/>
                <w:szCs w:val="32"/>
              </w:rPr>
            </w:pPr>
          </w:p>
        </w:tc>
        <w:tc>
          <w:tcPr>
            <w:tcW w:w="425" w:type="dxa"/>
            <w:noWrap w:val="0"/>
            <w:vAlign w:val="center"/>
          </w:tcPr>
          <w:p>
            <w:pPr>
              <w:spacing w:line="700" w:lineRule="exact"/>
              <w:jc w:val="center"/>
              <w:rPr>
                <w:rFonts w:ascii="Calibri" w:hAnsi="Calibri" w:eastAsia="楷体"/>
                <w:kern w:val="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759" w:type="dxa"/>
            <w:noWrap w:val="0"/>
            <w:vAlign w:val="center"/>
          </w:tcPr>
          <w:p>
            <w:pPr>
              <w:spacing w:line="700" w:lineRule="exact"/>
              <w:jc w:val="center"/>
              <w:rPr>
                <w:rFonts w:ascii="Calibri" w:hAnsi="Calibri" w:eastAsia="楷体"/>
                <w:kern w:val="0"/>
                <w:szCs w:val="32"/>
              </w:rPr>
            </w:pPr>
          </w:p>
        </w:tc>
        <w:tc>
          <w:tcPr>
            <w:tcW w:w="1063" w:type="dxa"/>
            <w:noWrap w:val="0"/>
            <w:vAlign w:val="center"/>
          </w:tcPr>
          <w:p>
            <w:pPr>
              <w:spacing w:line="700" w:lineRule="exact"/>
              <w:jc w:val="center"/>
              <w:rPr>
                <w:rFonts w:ascii="Calibri" w:hAnsi="Calibri" w:eastAsia="楷体"/>
                <w:kern w:val="0"/>
                <w:szCs w:val="32"/>
              </w:rPr>
            </w:pPr>
          </w:p>
        </w:tc>
        <w:tc>
          <w:tcPr>
            <w:tcW w:w="1107" w:type="dxa"/>
            <w:noWrap w:val="0"/>
            <w:vAlign w:val="center"/>
          </w:tcPr>
          <w:p>
            <w:pPr>
              <w:spacing w:line="700" w:lineRule="exact"/>
              <w:jc w:val="center"/>
              <w:rPr>
                <w:rFonts w:ascii="Calibri" w:hAnsi="Calibri" w:eastAsia="楷体"/>
                <w:kern w:val="0"/>
                <w:szCs w:val="32"/>
              </w:rPr>
            </w:pPr>
          </w:p>
        </w:tc>
        <w:tc>
          <w:tcPr>
            <w:tcW w:w="864" w:type="dxa"/>
            <w:noWrap w:val="0"/>
            <w:vAlign w:val="center"/>
          </w:tcPr>
          <w:p>
            <w:pPr>
              <w:spacing w:line="700" w:lineRule="exact"/>
              <w:jc w:val="center"/>
              <w:rPr>
                <w:rFonts w:ascii="Calibri" w:hAnsi="Calibri" w:eastAsia="楷体"/>
                <w:kern w:val="0"/>
                <w:szCs w:val="32"/>
              </w:rPr>
            </w:pPr>
          </w:p>
        </w:tc>
        <w:tc>
          <w:tcPr>
            <w:tcW w:w="498" w:type="dxa"/>
            <w:noWrap w:val="0"/>
            <w:vAlign w:val="center"/>
          </w:tcPr>
          <w:p>
            <w:pPr>
              <w:spacing w:line="700" w:lineRule="exact"/>
              <w:jc w:val="center"/>
              <w:rPr>
                <w:rFonts w:ascii="Calibri" w:hAnsi="Calibri" w:eastAsia="楷体"/>
                <w:kern w:val="0"/>
                <w:szCs w:val="32"/>
              </w:rPr>
            </w:pPr>
          </w:p>
        </w:tc>
        <w:tc>
          <w:tcPr>
            <w:tcW w:w="553" w:type="dxa"/>
            <w:noWrap w:val="0"/>
            <w:vAlign w:val="center"/>
          </w:tcPr>
          <w:p>
            <w:pPr>
              <w:spacing w:line="700" w:lineRule="exact"/>
              <w:jc w:val="center"/>
              <w:rPr>
                <w:rFonts w:ascii="Calibri" w:hAnsi="Calibri" w:eastAsia="楷体"/>
                <w:kern w:val="0"/>
                <w:szCs w:val="32"/>
              </w:rPr>
            </w:pPr>
          </w:p>
        </w:tc>
        <w:tc>
          <w:tcPr>
            <w:tcW w:w="554" w:type="dxa"/>
            <w:noWrap w:val="0"/>
            <w:vAlign w:val="center"/>
          </w:tcPr>
          <w:p>
            <w:pPr>
              <w:spacing w:line="700" w:lineRule="exact"/>
              <w:jc w:val="center"/>
              <w:rPr>
                <w:rFonts w:ascii="Calibri" w:hAnsi="Calibri" w:eastAsia="楷体"/>
                <w:kern w:val="0"/>
                <w:szCs w:val="32"/>
              </w:rPr>
            </w:pPr>
          </w:p>
        </w:tc>
        <w:tc>
          <w:tcPr>
            <w:tcW w:w="521" w:type="dxa"/>
            <w:noWrap w:val="0"/>
            <w:vAlign w:val="center"/>
          </w:tcPr>
          <w:p>
            <w:pPr>
              <w:spacing w:line="700" w:lineRule="exact"/>
              <w:jc w:val="center"/>
              <w:rPr>
                <w:rFonts w:ascii="Calibri" w:hAnsi="Calibri" w:eastAsia="楷体"/>
                <w:kern w:val="0"/>
                <w:szCs w:val="32"/>
              </w:rPr>
            </w:pPr>
          </w:p>
        </w:tc>
        <w:tc>
          <w:tcPr>
            <w:tcW w:w="564" w:type="dxa"/>
            <w:noWrap w:val="0"/>
            <w:vAlign w:val="center"/>
          </w:tcPr>
          <w:p>
            <w:pPr>
              <w:spacing w:line="700" w:lineRule="exact"/>
              <w:jc w:val="center"/>
              <w:rPr>
                <w:rFonts w:ascii="Calibri" w:hAnsi="Calibri" w:eastAsia="楷体"/>
                <w:kern w:val="0"/>
                <w:szCs w:val="32"/>
              </w:rPr>
            </w:pPr>
          </w:p>
        </w:tc>
        <w:tc>
          <w:tcPr>
            <w:tcW w:w="532" w:type="dxa"/>
            <w:noWrap w:val="0"/>
            <w:vAlign w:val="center"/>
          </w:tcPr>
          <w:p>
            <w:pPr>
              <w:spacing w:line="700" w:lineRule="exact"/>
              <w:jc w:val="center"/>
              <w:rPr>
                <w:rFonts w:ascii="Calibri" w:hAnsi="Calibri" w:eastAsia="楷体"/>
                <w:kern w:val="0"/>
                <w:szCs w:val="32"/>
              </w:rPr>
            </w:pPr>
          </w:p>
        </w:tc>
        <w:tc>
          <w:tcPr>
            <w:tcW w:w="598" w:type="dxa"/>
            <w:noWrap w:val="0"/>
            <w:vAlign w:val="center"/>
          </w:tcPr>
          <w:p>
            <w:pPr>
              <w:spacing w:line="700" w:lineRule="exact"/>
              <w:jc w:val="center"/>
              <w:rPr>
                <w:rFonts w:ascii="Calibri" w:hAnsi="Calibri" w:eastAsia="楷体"/>
                <w:kern w:val="0"/>
                <w:szCs w:val="32"/>
              </w:rPr>
            </w:pPr>
          </w:p>
        </w:tc>
        <w:tc>
          <w:tcPr>
            <w:tcW w:w="443" w:type="dxa"/>
            <w:noWrap w:val="0"/>
            <w:vAlign w:val="center"/>
          </w:tcPr>
          <w:p>
            <w:pPr>
              <w:spacing w:line="700" w:lineRule="exact"/>
              <w:jc w:val="center"/>
              <w:rPr>
                <w:rFonts w:ascii="Calibri" w:hAnsi="Calibri" w:eastAsia="楷体"/>
                <w:kern w:val="0"/>
                <w:szCs w:val="32"/>
              </w:rPr>
            </w:pPr>
          </w:p>
        </w:tc>
        <w:tc>
          <w:tcPr>
            <w:tcW w:w="425" w:type="dxa"/>
            <w:noWrap w:val="0"/>
            <w:vAlign w:val="center"/>
          </w:tcPr>
          <w:p>
            <w:pPr>
              <w:spacing w:line="700" w:lineRule="exact"/>
              <w:jc w:val="center"/>
              <w:rPr>
                <w:rFonts w:ascii="Calibri" w:hAnsi="Calibri" w:eastAsia="楷体"/>
                <w:kern w:val="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759" w:type="dxa"/>
            <w:noWrap w:val="0"/>
            <w:vAlign w:val="center"/>
          </w:tcPr>
          <w:p>
            <w:pPr>
              <w:spacing w:line="700" w:lineRule="exact"/>
              <w:jc w:val="center"/>
              <w:rPr>
                <w:rFonts w:ascii="Calibri" w:hAnsi="Calibri" w:eastAsia="楷体"/>
                <w:kern w:val="0"/>
                <w:szCs w:val="32"/>
              </w:rPr>
            </w:pPr>
          </w:p>
        </w:tc>
        <w:tc>
          <w:tcPr>
            <w:tcW w:w="1063" w:type="dxa"/>
            <w:noWrap w:val="0"/>
            <w:vAlign w:val="center"/>
          </w:tcPr>
          <w:p>
            <w:pPr>
              <w:spacing w:line="700" w:lineRule="exact"/>
              <w:jc w:val="center"/>
              <w:rPr>
                <w:rFonts w:ascii="Calibri" w:hAnsi="Calibri" w:eastAsia="楷体"/>
                <w:kern w:val="0"/>
                <w:szCs w:val="32"/>
              </w:rPr>
            </w:pPr>
          </w:p>
        </w:tc>
        <w:tc>
          <w:tcPr>
            <w:tcW w:w="1107" w:type="dxa"/>
            <w:noWrap w:val="0"/>
            <w:vAlign w:val="center"/>
          </w:tcPr>
          <w:p>
            <w:pPr>
              <w:spacing w:line="700" w:lineRule="exact"/>
              <w:jc w:val="center"/>
              <w:rPr>
                <w:rFonts w:ascii="Calibri" w:hAnsi="Calibri" w:eastAsia="楷体"/>
                <w:kern w:val="0"/>
                <w:szCs w:val="32"/>
              </w:rPr>
            </w:pPr>
          </w:p>
        </w:tc>
        <w:tc>
          <w:tcPr>
            <w:tcW w:w="864" w:type="dxa"/>
            <w:noWrap w:val="0"/>
            <w:vAlign w:val="center"/>
          </w:tcPr>
          <w:p>
            <w:pPr>
              <w:spacing w:line="700" w:lineRule="exact"/>
              <w:jc w:val="center"/>
              <w:rPr>
                <w:rFonts w:ascii="Calibri" w:hAnsi="Calibri" w:eastAsia="楷体"/>
                <w:kern w:val="0"/>
                <w:szCs w:val="32"/>
              </w:rPr>
            </w:pPr>
          </w:p>
        </w:tc>
        <w:tc>
          <w:tcPr>
            <w:tcW w:w="498" w:type="dxa"/>
            <w:noWrap w:val="0"/>
            <w:vAlign w:val="center"/>
          </w:tcPr>
          <w:p>
            <w:pPr>
              <w:spacing w:line="700" w:lineRule="exact"/>
              <w:jc w:val="center"/>
              <w:rPr>
                <w:rFonts w:ascii="Calibri" w:hAnsi="Calibri" w:eastAsia="楷体"/>
                <w:kern w:val="0"/>
                <w:szCs w:val="32"/>
              </w:rPr>
            </w:pPr>
          </w:p>
        </w:tc>
        <w:tc>
          <w:tcPr>
            <w:tcW w:w="553" w:type="dxa"/>
            <w:noWrap w:val="0"/>
            <w:vAlign w:val="center"/>
          </w:tcPr>
          <w:p>
            <w:pPr>
              <w:spacing w:line="700" w:lineRule="exact"/>
              <w:jc w:val="center"/>
              <w:rPr>
                <w:rFonts w:ascii="Calibri" w:hAnsi="Calibri" w:eastAsia="楷体"/>
                <w:kern w:val="0"/>
                <w:szCs w:val="32"/>
              </w:rPr>
            </w:pPr>
          </w:p>
        </w:tc>
        <w:tc>
          <w:tcPr>
            <w:tcW w:w="554" w:type="dxa"/>
            <w:noWrap w:val="0"/>
            <w:vAlign w:val="center"/>
          </w:tcPr>
          <w:p>
            <w:pPr>
              <w:spacing w:line="700" w:lineRule="exact"/>
              <w:jc w:val="center"/>
              <w:rPr>
                <w:rFonts w:ascii="Calibri" w:hAnsi="Calibri" w:eastAsia="楷体"/>
                <w:kern w:val="0"/>
                <w:szCs w:val="32"/>
              </w:rPr>
            </w:pPr>
          </w:p>
        </w:tc>
        <w:tc>
          <w:tcPr>
            <w:tcW w:w="521" w:type="dxa"/>
            <w:noWrap w:val="0"/>
            <w:vAlign w:val="center"/>
          </w:tcPr>
          <w:p>
            <w:pPr>
              <w:spacing w:line="700" w:lineRule="exact"/>
              <w:jc w:val="center"/>
              <w:rPr>
                <w:rFonts w:ascii="Calibri" w:hAnsi="Calibri" w:eastAsia="楷体"/>
                <w:kern w:val="0"/>
                <w:szCs w:val="32"/>
              </w:rPr>
            </w:pPr>
          </w:p>
        </w:tc>
        <w:tc>
          <w:tcPr>
            <w:tcW w:w="564" w:type="dxa"/>
            <w:noWrap w:val="0"/>
            <w:vAlign w:val="center"/>
          </w:tcPr>
          <w:p>
            <w:pPr>
              <w:spacing w:line="700" w:lineRule="exact"/>
              <w:jc w:val="center"/>
              <w:rPr>
                <w:rFonts w:ascii="Calibri" w:hAnsi="Calibri" w:eastAsia="楷体"/>
                <w:kern w:val="0"/>
                <w:szCs w:val="32"/>
              </w:rPr>
            </w:pPr>
          </w:p>
        </w:tc>
        <w:tc>
          <w:tcPr>
            <w:tcW w:w="532" w:type="dxa"/>
            <w:noWrap w:val="0"/>
            <w:vAlign w:val="center"/>
          </w:tcPr>
          <w:p>
            <w:pPr>
              <w:spacing w:line="700" w:lineRule="exact"/>
              <w:jc w:val="center"/>
              <w:rPr>
                <w:rFonts w:ascii="Calibri" w:hAnsi="Calibri" w:eastAsia="楷体"/>
                <w:kern w:val="0"/>
                <w:szCs w:val="32"/>
              </w:rPr>
            </w:pPr>
          </w:p>
        </w:tc>
        <w:tc>
          <w:tcPr>
            <w:tcW w:w="598" w:type="dxa"/>
            <w:noWrap w:val="0"/>
            <w:vAlign w:val="center"/>
          </w:tcPr>
          <w:p>
            <w:pPr>
              <w:spacing w:line="700" w:lineRule="exact"/>
              <w:jc w:val="center"/>
              <w:rPr>
                <w:rFonts w:ascii="Calibri" w:hAnsi="Calibri" w:eastAsia="楷体"/>
                <w:kern w:val="0"/>
                <w:szCs w:val="32"/>
              </w:rPr>
            </w:pPr>
          </w:p>
        </w:tc>
        <w:tc>
          <w:tcPr>
            <w:tcW w:w="443" w:type="dxa"/>
            <w:noWrap w:val="0"/>
            <w:vAlign w:val="center"/>
          </w:tcPr>
          <w:p>
            <w:pPr>
              <w:spacing w:line="700" w:lineRule="exact"/>
              <w:jc w:val="center"/>
              <w:rPr>
                <w:rFonts w:ascii="Calibri" w:hAnsi="Calibri" w:eastAsia="楷体"/>
                <w:kern w:val="0"/>
                <w:szCs w:val="32"/>
              </w:rPr>
            </w:pPr>
          </w:p>
        </w:tc>
        <w:tc>
          <w:tcPr>
            <w:tcW w:w="425" w:type="dxa"/>
            <w:noWrap w:val="0"/>
            <w:vAlign w:val="center"/>
          </w:tcPr>
          <w:p>
            <w:pPr>
              <w:spacing w:line="700" w:lineRule="exact"/>
              <w:jc w:val="center"/>
              <w:rPr>
                <w:rFonts w:ascii="Calibri" w:hAnsi="Calibri" w:eastAsia="楷体"/>
                <w:kern w:val="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759" w:type="dxa"/>
            <w:noWrap w:val="0"/>
            <w:vAlign w:val="center"/>
          </w:tcPr>
          <w:p>
            <w:pPr>
              <w:spacing w:line="700" w:lineRule="exact"/>
              <w:jc w:val="center"/>
              <w:rPr>
                <w:rFonts w:ascii="Calibri" w:hAnsi="Calibri" w:eastAsia="楷体"/>
                <w:kern w:val="0"/>
                <w:szCs w:val="32"/>
              </w:rPr>
            </w:pPr>
          </w:p>
        </w:tc>
        <w:tc>
          <w:tcPr>
            <w:tcW w:w="1063" w:type="dxa"/>
            <w:noWrap w:val="0"/>
            <w:vAlign w:val="center"/>
          </w:tcPr>
          <w:p>
            <w:pPr>
              <w:spacing w:line="700" w:lineRule="exact"/>
              <w:jc w:val="center"/>
              <w:rPr>
                <w:rFonts w:ascii="Calibri" w:hAnsi="Calibri" w:eastAsia="楷体"/>
                <w:kern w:val="0"/>
                <w:szCs w:val="32"/>
              </w:rPr>
            </w:pPr>
          </w:p>
        </w:tc>
        <w:tc>
          <w:tcPr>
            <w:tcW w:w="1107" w:type="dxa"/>
            <w:noWrap w:val="0"/>
            <w:vAlign w:val="center"/>
          </w:tcPr>
          <w:p>
            <w:pPr>
              <w:spacing w:line="700" w:lineRule="exact"/>
              <w:jc w:val="center"/>
              <w:rPr>
                <w:rFonts w:ascii="Calibri" w:hAnsi="Calibri" w:eastAsia="楷体"/>
                <w:kern w:val="0"/>
                <w:szCs w:val="32"/>
              </w:rPr>
            </w:pPr>
          </w:p>
        </w:tc>
        <w:tc>
          <w:tcPr>
            <w:tcW w:w="864" w:type="dxa"/>
            <w:noWrap w:val="0"/>
            <w:vAlign w:val="center"/>
          </w:tcPr>
          <w:p>
            <w:pPr>
              <w:spacing w:line="700" w:lineRule="exact"/>
              <w:jc w:val="center"/>
              <w:rPr>
                <w:rFonts w:ascii="Calibri" w:hAnsi="Calibri" w:eastAsia="楷体"/>
                <w:kern w:val="0"/>
                <w:szCs w:val="32"/>
              </w:rPr>
            </w:pPr>
          </w:p>
        </w:tc>
        <w:tc>
          <w:tcPr>
            <w:tcW w:w="498" w:type="dxa"/>
            <w:noWrap w:val="0"/>
            <w:vAlign w:val="center"/>
          </w:tcPr>
          <w:p>
            <w:pPr>
              <w:spacing w:line="700" w:lineRule="exact"/>
              <w:jc w:val="center"/>
              <w:rPr>
                <w:rFonts w:ascii="Calibri" w:hAnsi="Calibri" w:eastAsia="楷体"/>
                <w:kern w:val="0"/>
                <w:szCs w:val="32"/>
              </w:rPr>
            </w:pPr>
          </w:p>
        </w:tc>
        <w:tc>
          <w:tcPr>
            <w:tcW w:w="553" w:type="dxa"/>
            <w:noWrap w:val="0"/>
            <w:vAlign w:val="center"/>
          </w:tcPr>
          <w:p>
            <w:pPr>
              <w:spacing w:line="700" w:lineRule="exact"/>
              <w:jc w:val="center"/>
              <w:rPr>
                <w:rFonts w:ascii="Calibri" w:hAnsi="Calibri" w:eastAsia="楷体"/>
                <w:kern w:val="0"/>
                <w:szCs w:val="32"/>
              </w:rPr>
            </w:pPr>
          </w:p>
        </w:tc>
        <w:tc>
          <w:tcPr>
            <w:tcW w:w="554" w:type="dxa"/>
            <w:noWrap w:val="0"/>
            <w:vAlign w:val="center"/>
          </w:tcPr>
          <w:p>
            <w:pPr>
              <w:spacing w:line="700" w:lineRule="exact"/>
              <w:jc w:val="center"/>
              <w:rPr>
                <w:rFonts w:ascii="Calibri" w:hAnsi="Calibri" w:eastAsia="楷体"/>
                <w:kern w:val="0"/>
                <w:szCs w:val="32"/>
              </w:rPr>
            </w:pPr>
          </w:p>
        </w:tc>
        <w:tc>
          <w:tcPr>
            <w:tcW w:w="521" w:type="dxa"/>
            <w:noWrap w:val="0"/>
            <w:vAlign w:val="center"/>
          </w:tcPr>
          <w:p>
            <w:pPr>
              <w:spacing w:line="700" w:lineRule="exact"/>
              <w:jc w:val="center"/>
              <w:rPr>
                <w:rFonts w:ascii="Calibri" w:hAnsi="Calibri" w:eastAsia="楷体"/>
                <w:kern w:val="0"/>
                <w:szCs w:val="32"/>
              </w:rPr>
            </w:pPr>
          </w:p>
        </w:tc>
        <w:tc>
          <w:tcPr>
            <w:tcW w:w="564" w:type="dxa"/>
            <w:noWrap w:val="0"/>
            <w:vAlign w:val="center"/>
          </w:tcPr>
          <w:p>
            <w:pPr>
              <w:spacing w:line="700" w:lineRule="exact"/>
              <w:jc w:val="center"/>
              <w:rPr>
                <w:rFonts w:ascii="Calibri" w:hAnsi="Calibri" w:eastAsia="楷体"/>
                <w:kern w:val="0"/>
                <w:szCs w:val="32"/>
              </w:rPr>
            </w:pPr>
          </w:p>
        </w:tc>
        <w:tc>
          <w:tcPr>
            <w:tcW w:w="532" w:type="dxa"/>
            <w:noWrap w:val="0"/>
            <w:vAlign w:val="center"/>
          </w:tcPr>
          <w:p>
            <w:pPr>
              <w:spacing w:line="700" w:lineRule="exact"/>
              <w:jc w:val="center"/>
              <w:rPr>
                <w:rFonts w:ascii="Calibri" w:hAnsi="Calibri" w:eastAsia="楷体"/>
                <w:kern w:val="0"/>
                <w:szCs w:val="32"/>
              </w:rPr>
            </w:pPr>
          </w:p>
        </w:tc>
        <w:tc>
          <w:tcPr>
            <w:tcW w:w="598" w:type="dxa"/>
            <w:noWrap w:val="0"/>
            <w:vAlign w:val="center"/>
          </w:tcPr>
          <w:p>
            <w:pPr>
              <w:spacing w:line="700" w:lineRule="exact"/>
              <w:jc w:val="center"/>
              <w:rPr>
                <w:rFonts w:ascii="Calibri" w:hAnsi="Calibri" w:eastAsia="楷体"/>
                <w:kern w:val="0"/>
                <w:szCs w:val="32"/>
              </w:rPr>
            </w:pPr>
          </w:p>
        </w:tc>
        <w:tc>
          <w:tcPr>
            <w:tcW w:w="443" w:type="dxa"/>
            <w:noWrap w:val="0"/>
            <w:vAlign w:val="center"/>
          </w:tcPr>
          <w:p>
            <w:pPr>
              <w:spacing w:line="700" w:lineRule="exact"/>
              <w:jc w:val="center"/>
              <w:rPr>
                <w:rFonts w:ascii="Calibri" w:hAnsi="Calibri" w:eastAsia="楷体"/>
                <w:kern w:val="0"/>
                <w:szCs w:val="32"/>
              </w:rPr>
            </w:pPr>
          </w:p>
        </w:tc>
        <w:tc>
          <w:tcPr>
            <w:tcW w:w="425" w:type="dxa"/>
            <w:noWrap w:val="0"/>
            <w:vAlign w:val="center"/>
          </w:tcPr>
          <w:p>
            <w:pPr>
              <w:spacing w:line="700" w:lineRule="exact"/>
              <w:jc w:val="center"/>
              <w:rPr>
                <w:rFonts w:ascii="Calibri" w:hAnsi="Calibri" w:eastAsia="楷体"/>
                <w:kern w:val="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759" w:type="dxa"/>
            <w:noWrap w:val="0"/>
            <w:vAlign w:val="center"/>
          </w:tcPr>
          <w:p>
            <w:pPr>
              <w:spacing w:line="700" w:lineRule="exact"/>
              <w:jc w:val="center"/>
              <w:rPr>
                <w:rFonts w:ascii="Calibri" w:hAnsi="Calibri" w:eastAsia="楷体"/>
                <w:kern w:val="0"/>
                <w:szCs w:val="32"/>
              </w:rPr>
            </w:pPr>
          </w:p>
        </w:tc>
        <w:tc>
          <w:tcPr>
            <w:tcW w:w="1063" w:type="dxa"/>
            <w:noWrap w:val="0"/>
            <w:vAlign w:val="center"/>
          </w:tcPr>
          <w:p>
            <w:pPr>
              <w:spacing w:line="700" w:lineRule="exact"/>
              <w:jc w:val="center"/>
              <w:rPr>
                <w:rFonts w:ascii="Calibri" w:hAnsi="Calibri" w:eastAsia="楷体"/>
                <w:kern w:val="0"/>
                <w:szCs w:val="32"/>
              </w:rPr>
            </w:pPr>
          </w:p>
        </w:tc>
        <w:tc>
          <w:tcPr>
            <w:tcW w:w="1107" w:type="dxa"/>
            <w:noWrap w:val="0"/>
            <w:vAlign w:val="center"/>
          </w:tcPr>
          <w:p>
            <w:pPr>
              <w:spacing w:line="700" w:lineRule="exact"/>
              <w:jc w:val="center"/>
              <w:rPr>
                <w:rFonts w:ascii="Calibri" w:hAnsi="Calibri" w:eastAsia="楷体"/>
                <w:kern w:val="0"/>
                <w:szCs w:val="32"/>
              </w:rPr>
            </w:pPr>
          </w:p>
        </w:tc>
        <w:tc>
          <w:tcPr>
            <w:tcW w:w="864" w:type="dxa"/>
            <w:noWrap w:val="0"/>
            <w:vAlign w:val="center"/>
          </w:tcPr>
          <w:p>
            <w:pPr>
              <w:spacing w:line="700" w:lineRule="exact"/>
              <w:jc w:val="center"/>
              <w:rPr>
                <w:rFonts w:ascii="Calibri" w:hAnsi="Calibri" w:eastAsia="楷体"/>
                <w:kern w:val="0"/>
                <w:szCs w:val="32"/>
              </w:rPr>
            </w:pPr>
          </w:p>
        </w:tc>
        <w:tc>
          <w:tcPr>
            <w:tcW w:w="498" w:type="dxa"/>
            <w:noWrap w:val="0"/>
            <w:vAlign w:val="center"/>
          </w:tcPr>
          <w:p>
            <w:pPr>
              <w:spacing w:line="700" w:lineRule="exact"/>
              <w:jc w:val="center"/>
              <w:rPr>
                <w:rFonts w:ascii="Calibri" w:hAnsi="Calibri" w:eastAsia="楷体"/>
                <w:kern w:val="0"/>
                <w:szCs w:val="32"/>
              </w:rPr>
            </w:pPr>
          </w:p>
        </w:tc>
        <w:tc>
          <w:tcPr>
            <w:tcW w:w="553" w:type="dxa"/>
            <w:noWrap w:val="0"/>
            <w:vAlign w:val="center"/>
          </w:tcPr>
          <w:p>
            <w:pPr>
              <w:spacing w:line="700" w:lineRule="exact"/>
              <w:jc w:val="center"/>
              <w:rPr>
                <w:rFonts w:hint="eastAsia" w:ascii="Calibri" w:hAnsi="Calibri" w:eastAsia="楷体"/>
                <w:kern w:val="0"/>
                <w:szCs w:val="32"/>
                <w:lang w:val="en-US" w:eastAsia="zh-CN"/>
              </w:rPr>
            </w:pPr>
            <w:r>
              <w:rPr>
                <w:rFonts w:hint="eastAsia" w:ascii="Calibri" w:hAnsi="Calibri" w:eastAsia="楷体"/>
                <w:kern w:val="0"/>
                <w:szCs w:val="32"/>
                <w:lang w:val="en-US" w:eastAsia="zh-CN"/>
              </w:rPr>
              <w:t xml:space="preserve"> </w:t>
            </w:r>
          </w:p>
        </w:tc>
        <w:tc>
          <w:tcPr>
            <w:tcW w:w="554" w:type="dxa"/>
            <w:noWrap w:val="0"/>
            <w:vAlign w:val="center"/>
          </w:tcPr>
          <w:p>
            <w:pPr>
              <w:spacing w:line="700" w:lineRule="exact"/>
              <w:jc w:val="center"/>
              <w:rPr>
                <w:rFonts w:ascii="Calibri" w:hAnsi="Calibri" w:eastAsia="楷体"/>
                <w:kern w:val="0"/>
                <w:szCs w:val="32"/>
              </w:rPr>
            </w:pPr>
          </w:p>
        </w:tc>
        <w:tc>
          <w:tcPr>
            <w:tcW w:w="521" w:type="dxa"/>
            <w:noWrap w:val="0"/>
            <w:vAlign w:val="center"/>
          </w:tcPr>
          <w:p>
            <w:pPr>
              <w:spacing w:line="700" w:lineRule="exact"/>
              <w:jc w:val="center"/>
              <w:rPr>
                <w:rFonts w:ascii="Calibri" w:hAnsi="Calibri" w:eastAsia="楷体"/>
                <w:kern w:val="0"/>
                <w:szCs w:val="32"/>
              </w:rPr>
            </w:pPr>
          </w:p>
        </w:tc>
        <w:tc>
          <w:tcPr>
            <w:tcW w:w="564" w:type="dxa"/>
            <w:noWrap w:val="0"/>
            <w:vAlign w:val="center"/>
          </w:tcPr>
          <w:p>
            <w:pPr>
              <w:spacing w:line="700" w:lineRule="exact"/>
              <w:jc w:val="center"/>
              <w:rPr>
                <w:rFonts w:ascii="Calibri" w:hAnsi="Calibri" w:eastAsia="楷体"/>
                <w:kern w:val="0"/>
                <w:szCs w:val="32"/>
              </w:rPr>
            </w:pPr>
          </w:p>
        </w:tc>
        <w:tc>
          <w:tcPr>
            <w:tcW w:w="532" w:type="dxa"/>
            <w:noWrap w:val="0"/>
            <w:vAlign w:val="center"/>
          </w:tcPr>
          <w:p>
            <w:pPr>
              <w:spacing w:line="700" w:lineRule="exact"/>
              <w:jc w:val="center"/>
              <w:rPr>
                <w:rFonts w:ascii="Calibri" w:hAnsi="Calibri" w:eastAsia="楷体"/>
                <w:kern w:val="0"/>
                <w:szCs w:val="32"/>
              </w:rPr>
            </w:pPr>
          </w:p>
        </w:tc>
        <w:tc>
          <w:tcPr>
            <w:tcW w:w="598" w:type="dxa"/>
            <w:noWrap w:val="0"/>
            <w:vAlign w:val="center"/>
          </w:tcPr>
          <w:p>
            <w:pPr>
              <w:spacing w:line="700" w:lineRule="exact"/>
              <w:jc w:val="center"/>
              <w:rPr>
                <w:rFonts w:ascii="Calibri" w:hAnsi="Calibri" w:eastAsia="楷体"/>
                <w:kern w:val="0"/>
                <w:szCs w:val="32"/>
              </w:rPr>
            </w:pPr>
          </w:p>
        </w:tc>
        <w:tc>
          <w:tcPr>
            <w:tcW w:w="443" w:type="dxa"/>
            <w:noWrap w:val="0"/>
            <w:vAlign w:val="center"/>
          </w:tcPr>
          <w:p>
            <w:pPr>
              <w:spacing w:line="700" w:lineRule="exact"/>
              <w:jc w:val="center"/>
              <w:rPr>
                <w:rFonts w:ascii="Calibri" w:hAnsi="Calibri" w:eastAsia="楷体"/>
                <w:kern w:val="0"/>
                <w:szCs w:val="32"/>
              </w:rPr>
            </w:pPr>
          </w:p>
        </w:tc>
        <w:tc>
          <w:tcPr>
            <w:tcW w:w="425" w:type="dxa"/>
            <w:noWrap w:val="0"/>
            <w:vAlign w:val="center"/>
          </w:tcPr>
          <w:p>
            <w:pPr>
              <w:spacing w:line="700" w:lineRule="exact"/>
              <w:jc w:val="center"/>
              <w:rPr>
                <w:rFonts w:ascii="Calibri" w:hAnsi="Calibri" w:eastAsia="楷体"/>
                <w:kern w:val="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759" w:type="dxa"/>
            <w:noWrap w:val="0"/>
            <w:vAlign w:val="center"/>
          </w:tcPr>
          <w:p>
            <w:pPr>
              <w:spacing w:line="700" w:lineRule="exact"/>
              <w:jc w:val="center"/>
              <w:rPr>
                <w:rFonts w:ascii="Calibri" w:hAnsi="Calibri" w:eastAsia="楷体"/>
                <w:kern w:val="0"/>
                <w:szCs w:val="32"/>
              </w:rPr>
            </w:pPr>
          </w:p>
        </w:tc>
        <w:tc>
          <w:tcPr>
            <w:tcW w:w="1063" w:type="dxa"/>
            <w:noWrap w:val="0"/>
            <w:vAlign w:val="center"/>
          </w:tcPr>
          <w:p>
            <w:pPr>
              <w:spacing w:line="700" w:lineRule="exact"/>
              <w:jc w:val="center"/>
              <w:rPr>
                <w:rFonts w:ascii="Calibri" w:hAnsi="Calibri" w:eastAsia="楷体"/>
                <w:kern w:val="0"/>
                <w:szCs w:val="32"/>
              </w:rPr>
            </w:pPr>
          </w:p>
        </w:tc>
        <w:tc>
          <w:tcPr>
            <w:tcW w:w="1107" w:type="dxa"/>
            <w:noWrap w:val="0"/>
            <w:vAlign w:val="center"/>
          </w:tcPr>
          <w:p>
            <w:pPr>
              <w:spacing w:line="700" w:lineRule="exact"/>
              <w:jc w:val="center"/>
              <w:rPr>
                <w:rFonts w:ascii="Calibri" w:hAnsi="Calibri" w:eastAsia="楷体"/>
                <w:kern w:val="0"/>
                <w:szCs w:val="32"/>
              </w:rPr>
            </w:pPr>
          </w:p>
        </w:tc>
        <w:tc>
          <w:tcPr>
            <w:tcW w:w="864" w:type="dxa"/>
            <w:noWrap w:val="0"/>
            <w:vAlign w:val="center"/>
          </w:tcPr>
          <w:p>
            <w:pPr>
              <w:spacing w:line="700" w:lineRule="exact"/>
              <w:jc w:val="center"/>
              <w:rPr>
                <w:rFonts w:ascii="Calibri" w:hAnsi="Calibri" w:eastAsia="楷体"/>
                <w:kern w:val="0"/>
                <w:szCs w:val="32"/>
              </w:rPr>
            </w:pPr>
          </w:p>
        </w:tc>
        <w:tc>
          <w:tcPr>
            <w:tcW w:w="498" w:type="dxa"/>
            <w:noWrap w:val="0"/>
            <w:vAlign w:val="center"/>
          </w:tcPr>
          <w:p>
            <w:pPr>
              <w:spacing w:line="700" w:lineRule="exact"/>
              <w:jc w:val="center"/>
              <w:rPr>
                <w:rFonts w:ascii="Calibri" w:hAnsi="Calibri" w:eastAsia="楷体"/>
                <w:kern w:val="0"/>
                <w:szCs w:val="32"/>
              </w:rPr>
            </w:pPr>
          </w:p>
        </w:tc>
        <w:tc>
          <w:tcPr>
            <w:tcW w:w="553" w:type="dxa"/>
            <w:noWrap w:val="0"/>
            <w:vAlign w:val="center"/>
          </w:tcPr>
          <w:p>
            <w:pPr>
              <w:spacing w:line="700" w:lineRule="exact"/>
              <w:jc w:val="center"/>
              <w:rPr>
                <w:rFonts w:ascii="Calibri" w:hAnsi="Calibri" w:eastAsia="楷体"/>
                <w:kern w:val="0"/>
                <w:szCs w:val="32"/>
              </w:rPr>
            </w:pPr>
          </w:p>
        </w:tc>
        <w:tc>
          <w:tcPr>
            <w:tcW w:w="554" w:type="dxa"/>
            <w:noWrap w:val="0"/>
            <w:vAlign w:val="center"/>
          </w:tcPr>
          <w:p>
            <w:pPr>
              <w:spacing w:line="700" w:lineRule="exact"/>
              <w:jc w:val="center"/>
              <w:rPr>
                <w:rFonts w:ascii="Calibri" w:hAnsi="Calibri" w:eastAsia="楷体"/>
                <w:kern w:val="0"/>
                <w:szCs w:val="32"/>
              </w:rPr>
            </w:pPr>
          </w:p>
        </w:tc>
        <w:tc>
          <w:tcPr>
            <w:tcW w:w="521" w:type="dxa"/>
            <w:noWrap w:val="0"/>
            <w:vAlign w:val="center"/>
          </w:tcPr>
          <w:p>
            <w:pPr>
              <w:spacing w:line="700" w:lineRule="exact"/>
              <w:jc w:val="center"/>
              <w:rPr>
                <w:rFonts w:ascii="Calibri" w:hAnsi="Calibri" w:eastAsia="楷体"/>
                <w:kern w:val="0"/>
                <w:szCs w:val="32"/>
              </w:rPr>
            </w:pPr>
          </w:p>
        </w:tc>
        <w:tc>
          <w:tcPr>
            <w:tcW w:w="564" w:type="dxa"/>
            <w:noWrap w:val="0"/>
            <w:vAlign w:val="center"/>
          </w:tcPr>
          <w:p>
            <w:pPr>
              <w:spacing w:line="700" w:lineRule="exact"/>
              <w:jc w:val="center"/>
              <w:rPr>
                <w:rFonts w:ascii="Calibri" w:hAnsi="Calibri" w:eastAsia="楷体"/>
                <w:kern w:val="0"/>
                <w:szCs w:val="32"/>
              </w:rPr>
            </w:pPr>
          </w:p>
        </w:tc>
        <w:tc>
          <w:tcPr>
            <w:tcW w:w="532" w:type="dxa"/>
            <w:noWrap w:val="0"/>
            <w:vAlign w:val="center"/>
          </w:tcPr>
          <w:p>
            <w:pPr>
              <w:spacing w:line="700" w:lineRule="exact"/>
              <w:jc w:val="center"/>
              <w:rPr>
                <w:rFonts w:ascii="Calibri" w:hAnsi="Calibri" w:eastAsia="楷体"/>
                <w:kern w:val="0"/>
                <w:szCs w:val="32"/>
              </w:rPr>
            </w:pPr>
          </w:p>
        </w:tc>
        <w:tc>
          <w:tcPr>
            <w:tcW w:w="598" w:type="dxa"/>
            <w:noWrap w:val="0"/>
            <w:vAlign w:val="center"/>
          </w:tcPr>
          <w:p>
            <w:pPr>
              <w:spacing w:line="700" w:lineRule="exact"/>
              <w:jc w:val="center"/>
              <w:rPr>
                <w:rFonts w:ascii="Calibri" w:hAnsi="Calibri" w:eastAsia="楷体"/>
                <w:kern w:val="0"/>
                <w:szCs w:val="32"/>
              </w:rPr>
            </w:pPr>
          </w:p>
        </w:tc>
        <w:tc>
          <w:tcPr>
            <w:tcW w:w="443" w:type="dxa"/>
            <w:noWrap w:val="0"/>
            <w:vAlign w:val="center"/>
          </w:tcPr>
          <w:p>
            <w:pPr>
              <w:spacing w:line="700" w:lineRule="exact"/>
              <w:jc w:val="center"/>
              <w:rPr>
                <w:rFonts w:ascii="Calibri" w:hAnsi="Calibri" w:eastAsia="楷体"/>
                <w:kern w:val="0"/>
                <w:szCs w:val="32"/>
              </w:rPr>
            </w:pPr>
          </w:p>
        </w:tc>
        <w:tc>
          <w:tcPr>
            <w:tcW w:w="425" w:type="dxa"/>
            <w:noWrap w:val="0"/>
            <w:vAlign w:val="center"/>
          </w:tcPr>
          <w:p>
            <w:pPr>
              <w:spacing w:line="700" w:lineRule="exact"/>
              <w:jc w:val="center"/>
              <w:rPr>
                <w:rFonts w:ascii="Calibri" w:hAnsi="Calibri" w:eastAsia="楷体"/>
                <w:kern w:val="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759" w:type="dxa"/>
            <w:noWrap w:val="0"/>
            <w:vAlign w:val="center"/>
          </w:tcPr>
          <w:p>
            <w:pPr>
              <w:autoSpaceDN w:val="0"/>
              <w:jc w:val="center"/>
              <w:textAlignment w:val="center"/>
              <w:rPr>
                <w:rFonts w:hint="eastAsia" w:ascii="Calibri" w:hAnsi="Calibri" w:eastAsia="华文细黑"/>
                <w:color w:val="000000"/>
                <w:sz w:val="20"/>
                <w:szCs w:val="22"/>
              </w:rPr>
            </w:pPr>
            <w:r>
              <w:rPr>
                <w:rFonts w:hint="eastAsia" w:ascii="Calibri" w:hAnsi="Calibri" w:eastAsia="华文细黑"/>
                <w:color w:val="000000"/>
                <w:sz w:val="20"/>
                <w:szCs w:val="22"/>
              </w:rPr>
              <w:t>合计</w:t>
            </w:r>
          </w:p>
        </w:tc>
        <w:tc>
          <w:tcPr>
            <w:tcW w:w="1063" w:type="dxa"/>
            <w:noWrap w:val="0"/>
            <w:vAlign w:val="center"/>
          </w:tcPr>
          <w:p>
            <w:pPr>
              <w:autoSpaceDN w:val="0"/>
              <w:jc w:val="center"/>
              <w:textAlignment w:val="center"/>
              <w:rPr>
                <w:rFonts w:ascii="Calibri" w:hAnsi="Calibri" w:eastAsia="华文细黑"/>
                <w:color w:val="000000"/>
                <w:sz w:val="20"/>
                <w:szCs w:val="22"/>
              </w:rPr>
            </w:pPr>
          </w:p>
        </w:tc>
        <w:tc>
          <w:tcPr>
            <w:tcW w:w="1107" w:type="dxa"/>
            <w:noWrap w:val="0"/>
            <w:vAlign w:val="center"/>
          </w:tcPr>
          <w:p>
            <w:pPr>
              <w:spacing w:line="700" w:lineRule="exact"/>
              <w:jc w:val="center"/>
              <w:rPr>
                <w:rFonts w:ascii="Calibri" w:hAnsi="Calibri" w:eastAsia="楷体"/>
                <w:kern w:val="0"/>
                <w:szCs w:val="32"/>
              </w:rPr>
            </w:pPr>
          </w:p>
        </w:tc>
        <w:tc>
          <w:tcPr>
            <w:tcW w:w="864" w:type="dxa"/>
            <w:noWrap w:val="0"/>
            <w:vAlign w:val="center"/>
          </w:tcPr>
          <w:p>
            <w:pPr>
              <w:spacing w:line="700" w:lineRule="exact"/>
              <w:jc w:val="center"/>
              <w:rPr>
                <w:rFonts w:ascii="Calibri" w:hAnsi="Calibri" w:eastAsia="楷体"/>
                <w:kern w:val="0"/>
                <w:szCs w:val="32"/>
              </w:rPr>
            </w:pPr>
          </w:p>
        </w:tc>
        <w:tc>
          <w:tcPr>
            <w:tcW w:w="498" w:type="dxa"/>
            <w:noWrap w:val="0"/>
            <w:vAlign w:val="center"/>
          </w:tcPr>
          <w:p>
            <w:pPr>
              <w:keepNext w:val="0"/>
              <w:keepLines w:val="0"/>
              <w:widowControl/>
              <w:suppressLineNumbers w:val="0"/>
              <w:jc w:val="right"/>
              <w:textAlignment w:val="center"/>
              <w:rPr>
                <w:rFonts w:ascii="Calibri" w:hAnsi="Calibri" w:eastAsia="楷体"/>
                <w:kern w:val="0"/>
                <w:sz w:val="11"/>
                <w:szCs w:val="11"/>
              </w:rPr>
            </w:pPr>
            <w:r>
              <w:rPr>
                <w:rFonts w:hint="default" w:ascii="Arial" w:hAnsi="Arial" w:eastAsia="宋体" w:cs="Arial"/>
                <w:i w:val="0"/>
                <w:iCs w:val="0"/>
                <w:color w:val="000000"/>
                <w:kern w:val="0"/>
                <w:sz w:val="11"/>
                <w:szCs w:val="11"/>
                <w:u w:val="none"/>
                <w:lang w:val="en-US" w:eastAsia="zh-CN" w:bidi="ar"/>
              </w:rPr>
              <w:t>547.20</w:t>
            </w:r>
          </w:p>
        </w:tc>
        <w:tc>
          <w:tcPr>
            <w:tcW w:w="553" w:type="dxa"/>
            <w:noWrap w:val="0"/>
            <w:vAlign w:val="center"/>
          </w:tcPr>
          <w:p>
            <w:pPr>
              <w:keepNext w:val="0"/>
              <w:keepLines w:val="0"/>
              <w:widowControl/>
              <w:suppressLineNumbers w:val="0"/>
              <w:jc w:val="right"/>
              <w:textAlignment w:val="center"/>
              <w:rPr>
                <w:rFonts w:ascii="Calibri" w:hAnsi="Calibri" w:eastAsia="楷体"/>
                <w:kern w:val="0"/>
                <w:sz w:val="11"/>
                <w:szCs w:val="11"/>
              </w:rPr>
            </w:pPr>
            <w:r>
              <w:rPr>
                <w:rFonts w:hint="default" w:ascii="Arial" w:hAnsi="Arial" w:eastAsia="宋体" w:cs="Arial"/>
                <w:i w:val="0"/>
                <w:iCs w:val="0"/>
                <w:color w:val="000000"/>
                <w:kern w:val="0"/>
                <w:sz w:val="11"/>
                <w:szCs w:val="11"/>
                <w:u w:val="none"/>
                <w:lang w:val="en-US" w:eastAsia="zh-CN" w:bidi="ar"/>
              </w:rPr>
              <w:t>547.20</w:t>
            </w:r>
          </w:p>
        </w:tc>
        <w:tc>
          <w:tcPr>
            <w:tcW w:w="554" w:type="dxa"/>
            <w:noWrap w:val="0"/>
            <w:vAlign w:val="center"/>
          </w:tcPr>
          <w:p>
            <w:pPr>
              <w:spacing w:line="700" w:lineRule="exact"/>
              <w:jc w:val="center"/>
              <w:rPr>
                <w:rFonts w:ascii="Calibri" w:hAnsi="Calibri" w:eastAsia="楷体"/>
                <w:kern w:val="0"/>
                <w:szCs w:val="32"/>
              </w:rPr>
            </w:pPr>
          </w:p>
        </w:tc>
        <w:tc>
          <w:tcPr>
            <w:tcW w:w="521" w:type="dxa"/>
            <w:noWrap w:val="0"/>
            <w:vAlign w:val="center"/>
          </w:tcPr>
          <w:p>
            <w:pPr>
              <w:spacing w:line="700" w:lineRule="exact"/>
              <w:jc w:val="center"/>
              <w:rPr>
                <w:rFonts w:ascii="Calibri" w:hAnsi="Calibri" w:eastAsia="楷体"/>
                <w:kern w:val="0"/>
                <w:szCs w:val="32"/>
              </w:rPr>
            </w:pPr>
          </w:p>
        </w:tc>
        <w:tc>
          <w:tcPr>
            <w:tcW w:w="564" w:type="dxa"/>
            <w:noWrap w:val="0"/>
            <w:vAlign w:val="center"/>
          </w:tcPr>
          <w:p>
            <w:pPr>
              <w:spacing w:line="700" w:lineRule="exact"/>
              <w:jc w:val="center"/>
              <w:rPr>
                <w:rFonts w:ascii="Calibri" w:hAnsi="Calibri" w:eastAsia="楷体"/>
                <w:kern w:val="0"/>
                <w:szCs w:val="32"/>
              </w:rPr>
            </w:pPr>
          </w:p>
        </w:tc>
        <w:tc>
          <w:tcPr>
            <w:tcW w:w="532" w:type="dxa"/>
            <w:noWrap w:val="0"/>
            <w:vAlign w:val="center"/>
          </w:tcPr>
          <w:p>
            <w:pPr>
              <w:spacing w:line="700" w:lineRule="exact"/>
              <w:jc w:val="center"/>
              <w:rPr>
                <w:rFonts w:ascii="Calibri" w:hAnsi="Calibri" w:eastAsia="楷体"/>
                <w:kern w:val="0"/>
                <w:szCs w:val="32"/>
              </w:rPr>
            </w:pPr>
          </w:p>
        </w:tc>
        <w:tc>
          <w:tcPr>
            <w:tcW w:w="598" w:type="dxa"/>
            <w:noWrap w:val="0"/>
            <w:vAlign w:val="center"/>
          </w:tcPr>
          <w:p>
            <w:pPr>
              <w:spacing w:line="700" w:lineRule="exact"/>
              <w:jc w:val="center"/>
              <w:rPr>
                <w:rFonts w:ascii="Calibri" w:hAnsi="Calibri" w:eastAsia="楷体"/>
                <w:kern w:val="0"/>
                <w:szCs w:val="32"/>
              </w:rPr>
            </w:pPr>
          </w:p>
        </w:tc>
        <w:tc>
          <w:tcPr>
            <w:tcW w:w="443" w:type="dxa"/>
            <w:noWrap w:val="0"/>
            <w:vAlign w:val="center"/>
          </w:tcPr>
          <w:p>
            <w:pPr>
              <w:spacing w:line="700" w:lineRule="exact"/>
              <w:jc w:val="center"/>
              <w:rPr>
                <w:rFonts w:ascii="Calibri" w:hAnsi="Calibri" w:eastAsia="楷体"/>
                <w:kern w:val="0"/>
                <w:szCs w:val="32"/>
              </w:rPr>
            </w:pPr>
          </w:p>
        </w:tc>
        <w:tc>
          <w:tcPr>
            <w:tcW w:w="425" w:type="dxa"/>
            <w:noWrap w:val="0"/>
            <w:vAlign w:val="center"/>
          </w:tcPr>
          <w:p>
            <w:pPr>
              <w:spacing w:line="700" w:lineRule="exact"/>
              <w:jc w:val="center"/>
              <w:rPr>
                <w:rFonts w:ascii="Calibri" w:hAnsi="Calibri" w:eastAsia="楷体"/>
                <w:kern w:val="0"/>
                <w:szCs w:val="32"/>
              </w:rPr>
            </w:pPr>
          </w:p>
        </w:tc>
      </w:tr>
    </w:tbl>
    <w:p>
      <w:pPr>
        <w:spacing w:line="700" w:lineRule="exact"/>
        <w:rPr>
          <w:rFonts w:eastAsia="楷体"/>
          <w:kern w:val="0"/>
          <w:szCs w:val="32"/>
        </w:rPr>
      </w:pP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tbl>
      <w:tblPr>
        <w:tblStyle w:val="9"/>
        <w:tblpPr w:leftFromText="180" w:rightFromText="180" w:vertAnchor="text" w:horzAnchor="page" w:tblpX="1180" w:tblpY="548"/>
        <w:tblOverlap w:val="never"/>
        <w:tblW w:w="9582" w:type="dxa"/>
        <w:tblInd w:w="0" w:type="dxa"/>
        <w:tblLayout w:type="fixed"/>
        <w:tblCellMar>
          <w:top w:w="15" w:type="dxa"/>
          <w:left w:w="15" w:type="dxa"/>
          <w:bottom w:w="15" w:type="dxa"/>
          <w:right w:w="15" w:type="dxa"/>
        </w:tblCellMar>
      </w:tblPr>
      <w:tblGrid>
        <w:gridCol w:w="1069"/>
        <w:gridCol w:w="1763"/>
        <w:gridCol w:w="2043"/>
        <w:gridCol w:w="2315"/>
        <w:gridCol w:w="2392"/>
      </w:tblGrid>
      <w:tr>
        <w:tblPrEx>
          <w:tblCellMar>
            <w:top w:w="15" w:type="dxa"/>
            <w:left w:w="15" w:type="dxa"/>
            <w:bottom w:w="15" w:type="dxa"/>
            <w:right w:w="15" w:type="dxa"/>
          </w:tblCellMar>
        </w:tblPrEx>
        <w:trPr>
          <w:trHeight w:val="390" w:hRule="atLeast"/>
        </w:trPr>
        <w:tc>
          <w:tcPr>
            <w:tcW w:w="9582" w:type="dxa"/>
            <w:gridSpan w:val="5"/>
            <w:noWrap w:val="0"/>
            <w:vAlign w:val="center"/>
          </w:tcPr>
          <w:p>
            <w:pPr>
              <w:widowControl/>
              <w:jc w:val="center"/>
              <w:textAlignment w:val="center"/>
              <w:rPr>
                <w:rFonts w:hint="eastAsia" w:eastAsia="方正小标宋简体"/>
                <w:kern w:val="0"/>
                <w:sz w:val="36"/>
                <w:szCs w:val="36"/>
              </w:rPr>
            </w:pPr>
          </w:p>
          <w:p>
            <w:pPr>
              <w:widowControl/>
              <w:jc w:val="center"/>
              <w:textAlignment w:val="center"/>
              <w:rPr>
                <w:rFonts w:ascii="黑体" w:hAnsi="宋体" w:eastAsia="黑体" w:cs="黑体"/>
                <w:color w:val="000000"/>
                <w:szCs w:val="32"/>
              </w:rPr>
            </w:pPr>
            <w:r>
              <w:rPr>
                <w:rFonts w:hint="eastAsia" w:eastAsia="方正小标宋简体"/>
                <w:kern w:val="0"/>
                <w:sz w:val="36"/>
                <w:szCs w:val="36"/>
              </w:rPr>
              <w:t>项目支出绩效目标表</w:t>
            </w: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项目名称</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通榆县公安局交警队2024年驻村工作队生活补贴补助</w:t>
            </w: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项目级次</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lang w:val="en-US" w:eastAsia="zh-CN"/>
              </w:rPr>
              <w:t>二</w:t>
            </w:r>
            <w:r>
              <w:rPr>
                <w:rFonts w:hint="eastAsia" w:ascii="宋体" w:hAnsi="宋体" w:eastAsia="宋体" w:cs="宋体"/>
                <w:color w:val="000000"/>
                <w:sz w:val="20"/>
              </w:rPr>
              <w:t>级项目</w:t>
            </w: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rPr>
              <w:t>项目资金</w:t>
            </w:r>
          </w:p>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(万元）</w:t>
            </w: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年度资金总额</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14.40</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其中：财政拨款</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14.40</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 xml:space="preserve">      其他资金</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val="en-US" w:eastAsia="zh-CN"/>
              </w:rPr>
            </w:pPr>
            <w:r>
              <w:rPr>
                <w:rFonts w:hint="eastAsia" w:ascii="宋体" w:hAnsi="宋体" w:eastAsia="宋体" w:cs="宋体"/>
                <w:color w:val="000000"/>
                <w:sz w:val="20"/>
                <w:lang w:val="en-US" w:eastAsia="zh-CN"/>
              </w:rPr>
              <w:t>0</w:t>
            </w:r>
          </w:p>
        </w:tc>
      </w:tr>
      <w:tr>
        <w:tblPrEx>
          <w:tblCellMar>
            <w:top w:w="15" w:type="dxa"/>
            <w:left w:w="15" w:type="dxa"/>
            <w:bottom w:w="15" w:type="dxa"/>
            <w:right w:w="15" w:type="dxa"/>
          </w:tblCellMar>
        </w:tblPrEx>
        <w:trPr>
          <w:trHeight w:val="1560" w:hRule="atLeast"/>
        </w:trPr>
        <w:tc>
          <w:tcPr>
            <w:tcW w:w="1069"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rPr>
              <w:t>年度绩效</w:t>
            </w:r>
          </w:p>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目标</w:t>
            </w:r>
          </w:p>
        </w:tc>
        <w:tc>
          <w:tcPr>
            <w:tcW w:w="8513" w:type="dxa"/>
            <w:gridSpan w:val="4"/>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lang w:eastAsia="zh-CN"/>
              </w:rPr>
              <w:t>通榆县公安局交通巡逻警察大队</w:t>
            </w:r>
            <w:r>
              <w:rPr>
                <w:rFonts w:hint="eastAsia" w:ascii="宋体" w:hAnsi="宋体" w:eastAsia="宋体" w:cs="宋体"/>
                <w:color w:val="000000"/>
                <w:sz w:val="20"/>
                <w:lang w:val="en-US" w:eastAsia="zh-CN"/>
              </w:rPr>
              <w:t>2024年驻村人员补助发放资金，用于改善驻村人员生活质量。</w:t>
            </w: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绩效指标</w:t>
            </w:r>
          </w:p>
        </w:tc>
        <w:tc>
          <w:tcPr>
            <w:tcW w:w="176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一级指标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二级指标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三级指标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指标值</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产出指标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数量指标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eastAsia="zh-CN"/>
              </w:rPr>
              <w:t>驻村干部人数</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val="en-US" w:eastAsia="zh-CN"/>
              </w:rPr>
            </w:pPr>
            <w:r>
              <w:rPr>
                <w:rFonts w:hint="eastAsia" w:ascii="宋体" w:hAnsi="宋体" w:eastAsia="宋体" w:cs="宋体"/>
                <w:color w:val="000000"/>
                <w:sz w:val="20"/>
                <w:lang w:val="en-US" w:eastAsia="zh-CN"/>
              </w:rPr>
              <w:t>=4人</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数量指标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eastAsia="zh-CN"/>
              </w:rPr>
              <w:t>补助发放天数</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val="en-US" w:eastAsia="zh-CN"/>
              </w:rPr>
            </w:pPr>
            <w:r>
              <w:rPr>
                <w:rFonts w:hint="eastAsia" w:ascii="宋体" w:hAnsi="宋体" w:eastAsia="宋体" w:cs="宋体"/>
                <w:color w:val="000000"/>
                <w:sz w:val="20"/>
                <w:lang w:val="en-US" w:eastAsia="zh-CN"/>
              </w:rPr>
              <w:t>&gt;=144天</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质量指标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eastAsia="zh-CN"/>
              </w:rPr>
              <w:t>补助发放准确率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=100%</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成本指标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eastAsia="zh-CN"/>
              </w:rPr>
              <w:t>驻村补助发放成本</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val="en-US" w:eastAsia="zh-CN"/>
              </w:rPr>
            </w:pPr>
            <w:r>
              <w:rPr>
                <w:rFonts w:hint="eastAsia" w:ascii="宋体" w:hAnsi="宋体" w:eastAsia="宋体" w:cs="宋体"/>
                <w:color w:val="000000"/>
                <w:sz w:val="20"/>
                <w:lang w:val="en-US" w:eastAsia="zh-CN"/>
              </w:rPr>
              <w:t>=100元/人/天</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时效指标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eastAsia="zh-CN"/>
              </w:rPr>
              <w:t>驻村干部补助发放及时率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&gt;=95%</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效果指标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经济效益指标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社会效益指标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eastAsia="zh-CN"/>
              </w:rPr>
              <w:t>对工作质量、工作效率的影响程度</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&gt;=95%</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生态效益指标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可持续影响指标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满意度指标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eastAsia="zh-CN"/>
              </w:rPr>
              <w:t>驻村干部满意度</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&gt;=95%</w:t>
            </w:r>
          </w:p>
        </w:tc>
      </w:tr>
      <w:tr>
        <w:tblPrEx>
          <w:tblCellMar>
            <w:top w:w="15" w:type="dxa"/>
            <w:left w:w="15" w:type="dxa"/>
            <w:bottom w:w="15" w:type="dxa"/>
            <w:right w:w="15" w:type="dxa"/>
          </w:tblCellMar>
        </w:tblPrEx>
        <w:trPr>
          <w:trHeight w:val="390" w:hRule="atLeast"/>
        </w:trPr>
        <w:tc>
          <w:tcPr>
            <w:tcW w:w="9582" w:type="dxa"/>
            <w:gridSpan w:val="5"/>
            <w:noWrap w:val="0"/>
            <w:vAlign w:val="center"/>
          </w:tcPr>
          <w:p>
            <w:pPr>
              <w:widowControl/>
              <w:jc w:val="center"/>
              <w:textAlignment w:val="center"/>
              <w:rPr>
                <w:rFonts w:hint="eastAsia" w:eastAsia="方正小标宋简体"/>
                <w:kern w:val="0"/>
                <w:sz w:val="36"/>
                <w:szCs w:val="36"/>
              </w:rPr>
            </w:pPr>
          </w:p>
          <w:p>
            <w:pPr>
              <w:widowControl/>
              <w:jc w:val="center"/>
              <w:textAlignment w:val="center"/>
              <w:rPr>
                <w:rFonts w:hint="eastAsia" w:eastAsia="方正小标宋简体"/>
                <w:kern w:val="0"/>
                <w:sz w:val="36"/>
                <w:szCs w:val="36"/>
              </w:rPr>
            </w:pPr>
          </w:p>
          <w:p>
            <w:pPr>
              <w:widowControl/>
              <w:jc w:val="center"/>
              <w:textAlignment w:val="center"/>
              <w:rPr>
                <w:rFonts w:hint="eastAsia" w:eastAsia="方正小标宋简体"/>
                <w:kern w:val="0"/>
                <w:sz w:val="36"/>
                <w:szCs w:val="36"/>
              </w:rPr>
            </w:pPr>
          </w:p>
          <w:p>
            <w:pPr>
              <w:widowControl/>
              <w:jc w:val="center"/>
              <w:textAlignment w:val="center"/>
              <w:rPr>
                <w:rFonts w:hint="eastAsia" w:eastAsia="方正小标宋简体"/>
                <w:kern w:val="0"/>
                <w:sz w:val="36"/>
                <w:szCs w:val="36"/>
              </w:rPr>
            </w:pPr>
          </w:p>
          <w:p>
            <w:pPr>
              <w:widowControl/>
              <w:jc w:val="center"/>
              <w:textAlignment w:val="center"/>
              <w:rPr>
                <w:rFonts w:hint="eastAsia" w:eastAsia="方正小标宋简体"/>
                <w:kern w:val="0"/>
                <w:sz w:val="36"/>
                <w:szCs w:val="36"/>
              </w:rPr>
            </w:pPr>
          </w:p>
          <w:p>
            <w:pPr>
              <w:widowControl/>
              <w:jc w:val="center"/>
              <w:textAlignment w:val="center"/>
              <w:rPr>
                <w:rFonts w:ascii="黑体" w:hAnsi="宋体" w:eastAsia="黑体" w:cs="黑体"/>
                <w:color w:val="000000"/>
                <w:szCs w:val="32"/>
              </w:rPr>
            </w:pPr>
            <w:r>
              <w:rPr>
                <w:rFonts w:hint="eastAsia" w:eastAsia="方正小标宋简体"/>
                <w:kern w:val="0"/>
                <w:sz w:val="36"/>
                <w:szCs w:val="36"/>
              </w:rPr>
              <w:t>项目支出绩效目标表</w:t>
            </w: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项目名称</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通榆县公安局2024年警察节假日之外加班补助</w:t>
            </w: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项目级次</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lang w:val="en-US" w:eastAsia="zh-CN"/>
              </w:rPr>
              <w:t>二</w:t>
            </w:r>
            <w:r>
              <w:rPr>
                <w:rFonts w:hint="eastAsia" w:ascii="宋体" w:hAnsi="宋体" w:eastAsia="宋体" w:cs="宋体"/>
                <w:color w:val="000000"/>
                <w:sz w:val="20"/>
              </w:rPr>
              <w:t>级项目</w:t>
            </w: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rPr>
              <w:t>项目资金</w:t>
            </w:r>
          </w:p>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(万元）</w:t>
            </w: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年度资金总额</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60</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其中：财政拨款</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60</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 xml:space="preserve">      其他资金</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val="en-US" w:eastAsia="zh-CN"/>
              </w:rPr>
            </w:pPr>
            <w:r>
              <w:rPr>
                <w:rFonts w:hint="eastAsia" w:ascii="宋体" w:hAnsi="宋体" w:eastAsia="宋体" w:cs="宋体"/>
                <w:color w:val="000000"/>
                <w:sz w:val="20"/>
                <w:lang w:val="en-US" w:eastAsia="zh-CN"/>
              </w:rPr>
              <w:t>0</w:t>
            </w:r>
          </w:p>
        </w:tc>
      </w:tr>
      <w:tr>
        <w:tblPrEx>
          <w:tblCellMar>
            <w:top w:w="15" w:type="dxa"/>
            <w:left w:w="15" w:type="dxa"/>
            <w:bottom w:w="15" w:type="dxa"/>
            <w:right w:w="15" w:type="dxa"/>
          </w:tblCellMar>
        </w:tblPrEx>
        <w:trPr>
          <w:trHeight w:val="1560" w:hRule="atLeast"/>
        </w:trPr>
        <w:tc>
          <w:tcPr>
            <w:tcW w:w="1069"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rPr>
              <w:t>年度绩效</w:t>
            </w:r>
          </w:p>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目标</w:t>
            </w:r>
          </w:p>
        </w:tc>
        <w:tc>
          <w:tcPr>
            <w:tcW w:w="8513" w:type="dxa"/>
            <w:gridSpan w:val="4"/>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通榆县公安局交警巡逻警察大队2024年，此项经费用于支付2024年节假日期间的相应补贴，为更好的工作提供条件。</w:t>
            </w: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绩效指标</w:t>
            </w:r>
          </w:p>
        </w:tc>
        <w:tc>
          <w:tcPr>
            <w:tcW w:w="176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一级指标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二级指标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三级指标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指标值</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产出指标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数量指标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eastAsia="zh-CN"/>
              </w:rPr>
              <w:t>民警人数</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val="en-US" w:eastAsia="zh-CN"/>
              </w:rPr>
            </w:pPr>
            <w:r>
              <w:rPr>
                <w:rFonts w:hint="eastAsia" w:ascii="宋体" w:hAnsi="宋体" w:eastAsia="宋体" w:cs="宋体"/>
                <w:color w:val="000000"/>
                <w:sz w:val="20"/>
                <w:lang w:val="en-US" w:eastAsia="zh-CN"/>
              </w:rPr>
              <w:t>=62人</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eastAsia="zh-CN"/>
              </w:rPr>
              <w:t>数量指标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eastAsia="zh-CN"/>
              </w:rPr>
              <w:t>补助发放月数</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val="en-US" w:eastAsia="zh-CN"/>
              </w:rPr>
            </w:pPr>
            <w:r>
              <w:rPr>
                <w:rFonts w:hint="eastAsia" w:ascii="宋体" w:hAnsi="宋体" w:eastAsia="宋体" w:cs="宋体"/>
                <w:color w:val="000000"/>
                <w:sz w:val="20"/>
                <w:lang w:val="en-US" w:eastAsia="zh-CN"/>
              </w:rPr>
              <w:t>=12月</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质量指标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eastAsia="zh-CN"/>
              </w:rPr>
              <w:t>补助发放准确率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=100%</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成本指标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eastAsia="zh-CN"/>
              </w:rPr>
              <w:t>加班补助发放成本</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val="en-US" w:eastAsia="zh-CN"/>
              </w:rPr>
            </w:pPr>
            <w:r>
              <w:rPr>
                <w:rFonts w:hint="eastAsia" w:ascii="宋体" w:hAnsi="宋体" w:eastAsia="宋体" w:cs="宋体"/>
                <w:color w:val="000000"/>
                <w:sz w:val="20"/>
                <w:lang w:val="en-US" w:eastAsia="zh-CN"/>
              </w:rPr>
              <w:t>&lt;=710元/人/月</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时效指标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eastAsia="zh-CN"/>
              </w:rPr>
              <w:t>补助款发放及时率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&gt;=95%</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效果指标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经济效益指标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eastAsia="zh-CN"/>
              </w:rPr>
              <w:t>民警生活水平</w:t>
            </w:r>
            <w:r>
              <w:rPr>
                <w:rFonts w:hint="eastAsia" w:ascii="宋体" w:hAnsi="宋体" w:eastAsia="宋体" w:cs="宋体"/>
                <w:color w:val="000000"/>
                <w:sz w:val="20"/>
                <w:lang w:val="en-US" w:eastAsia="zh-CN"/>
              </w:rPr>
              <w:t xml:space="preserve"> </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eastAsia="zh-CN"/>
              </w:rPr>
              <w:t>有所提高</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社会效益指标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生态效益指标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可持续影响指标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满意度指标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eastAsia="zh-CN"/>
              </w:rPr>
              <w:t>民警满意度</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&gt;=95%</w:t>
            </w:r>
          </w:p>
        </w:tc>
      </w:tr>
    </w:tbl>
    <w:p>
      <w:pPr>
        <w:spacing w:line="700" w:lineRule="exact"/>
        <w:ind w:firstLine="640" w:firstLineChars="200"/>
        <w:rPr>
          <w:rFonts w:eastAsia="楷体"/>
          <w:kern w:val="0"/>
          <w:szCs w:val="32"/>
        </w:rPr>
      </w:pPr>
    </w:p>
    <w:p>
      <w:pPr>
        <w:spacing w:line="700" w:lineRule="exact"/>
        <w:rPr>
          <w:rFonts w:hint="eastAsia" w:ascii="楷体" w:hAnsi="楷体" w:eastAsia="楷体" w:cs="楷体"/>
          <w:kern w:val="0"/>
          <w:sz w:val="24"/>
          <w:szCs w:val="24"/>
        </w:rPr>
      </w:pPr>
    </w:p>
    <w:p>
      <w:pPr>
        <w:spacing w:line="700" w:lineRule="exact"/>
        <w:ind w:firstLine="640" w:firstLineChars="200"/>
        <w:rPr>
          <w:rFonts w:hint="eastAsia" w:eastAsia="楷体"/>
          <w:kern w:val="0"/>
          <w:szCs w:val="32"/>
        </w:rPr>
      </w:pPr>
      <w:r>
        <w:rPr>
          <w:rFonts w:hint="eastAsia" w:eastAsia="楷体"/>
          <w:kern w:val="0"/>
          <w:szCs w:val="32"/>
        </w:rPr>
        <w:br w:type="page"/>
      </w:r>
    </w:p>
    <w:tbl>
      <w:tblPr>
        <w:tblStyle w:val="9"/>
        <w:tblpPr w:leftFromText="180" w:rightFromText="180" w:vertAnchor="text" w:horzAnchor="page" w:tblpX="1217" w:tblpY="483"/>
        <w:tblOverlap w:val="never"/>
        <w:tblW w:w="0" w:type="auto"/>
        <w:tblInd w:w="0" w:type="dxa"/>
        <w:tblLayout w:type="fixed"/>
        <w:tblCellMar>
          <w:top w:w="15" w:type="dxa"/>
          <w:left w:w="15" w:type="dxa"/>
          <w:bottom w:w="15" w:type="dxa"/>
          <w:right w:w="15" w:type="dxa"/>
        </w:tblCellMar>
      </w:tblPr>
      <w:tblGrid>
        <w:gridCol w:w="1069"/>
        <w:gridCol w:w="1763"/>
        <w:gridCol w:w="2043"/>
        <w:gridCol w:w="2315"/>
        <w:gridCol w:w="2392"/>
      </w:tblGrid>
      <w:tr>
        <w:tblPrEx>
          <w:tblCellMar>
            <w:top w:w="15" w:type="dxa"/>
            <w:left w:w="15" w:type="dxa"/>
            <w:bottom w:w="15" w:type="dxa"/>
            <w:right w:w="15" w:type="dxa"/>
          </w:tblCellMar>
        </w:tblPrEx>
        <w:trPr>
          <w:trHeight w:val="390" w:hRule="atLeast"/>
        </w:trPr>
        <w:tc>
          <w:tcPr>
            <w:tcW w:w="9582" w:type="dxa"/>
            <w:gridSpan w:val="5"/>
            <w:noWrap w:val="0"/>
            <w:vAlign w:val="center"/>
          </w:tcPr>
          <w:p>
            <w:pPr>
              <w:widowControl/>
              <w:jc w:val="center"/>
              <w:textAlignment w:val="center"/>
              <w:rPr>
                <w:rFonts w:ascii="黑体" w:hAnsi="宋体" w:eastAsia="黑体" w:cs="黑体"/>
                <w:color w:val="000000"/>
                <w:szCs w:val="32"/>
              </w:rPr>
            </w:pPr>
            <w:r>
              <w:rPr>
                <w:rFonts w:hint="eastAsia" w:eastAsia="方正小标宋简体"/>
                <w:kern w:val="0"/>
                <w:sz w:val="36"/>
                <w:szCs w:val="36"/>
              </w:rPr>
              <w:t>项目支出绩效目标表</w:t>
            </w: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项目名称</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通榆县公安局交通巡逻警察大队2024年办公经费</w:t>
            </w: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项目级次</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lang w:val="en-US" w:eastAsia="zh-CN"/>
              </w:rPr>
              <w:t>二</w:t>
            </w:r>
            <w:r>
              <w:rPr>
                <w:rFonts w:hint="eastAsia" w:ascii="宋体" w:hAnsi="宋体" w:eastAsia="宋体" w:cs="宋体"/>
                <w:color w:val="000000"/>
                <w:sz w:val="20"/>
              </w:rPr>
              <w:t>级项目</w:t>
            </w: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rPr>
              <w:t>项目资金</w:t>
            </w:r>
          </w:p>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(万元）</w:t>
            </w: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年度资金总额</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472.80</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其中：财政拨款</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472.80</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 xml:space="preserve">      其他资金</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val="en-US" w:eastAsia="zh-CN"/>
              </w:rPr>
            </w:pPr>
            <w:r>
              <w:rPr>
                <w:rFonts w:hint="eastAsia" w:ascii="宋体" w:hAnsi="宋体" w:eastAsia="宋体" w:cs="宋体"/>
                <w:color w:val="000000"/>
                <w:sz w:val="20"/>
                <w:lang w:val="en-US" w:eastAsia="zh-CN"/>
              </w:rPr>
              <w:t>0</w:t>
            </w:r>
          </w:p>
        </w:tc>
      </w:tr>
      <w:tr>
        <w:tblPrEx>
          <w:tblCellMar>
            <w:top w:w="15" w:type="dxa"/>
            <w:left w:w="15" w:type="dxa"/>
            <w:bottom w:w="15" w:type="dxa"/>
            <w:right w:w="15" w:type="dxa"/>
          </w:tblCellMar>
        </w:tblPrEx>
        <w:trPr>
          <w:trHeight w:val="1560" w:hRule="atLeast"/>
        </w:trPr>
        <w:tc>
          <w:tcPr>
            <w:tcW w:w="1069"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rPr>
              <w:t>年度绩效</w:t>
            </w:r>
          </w:p>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目标</w:t>
            </w:r>
          </w:p>
        </w:tc>
        <w:tc>
          <w:tcPr>
            <w:tcW w:w="8513" w:type="dxa"/>
            <w:gridSpan w:val="4"/>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eastAsia="zh-CN"/>
              </w:rPr>
              <w:t>通榆县公安局交通巡逻警察大队</w:t>
            </w:r>
            <w:r>
              <w:rPr>
                <w:rFonts w:hint="eastAsia" w:ascii="宋体" w:hAnsi="宋体" w:eastAsia="宋体" w:cs="宋体"/>
                <w:color w:val="000000"/>
                <w:sz w:val="20"/>
                <w:lang w:val="en-US" w:eastAsia="zh-CN"/>
              </w:rPr>
              <w:t>2024年日常经费申报，为更好的办公创造条件。</w:t>
            </w: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绩效指标</w:t>
            </w:r>
          </w:p>
        </w:tc>
        <w:tc>
          <w:tcPr>
            <w:tcW w:w="176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一级指标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二级指标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三级指标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指标值</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产出指标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数量指标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eastAsia="zh-CN"/>
              </w:rPr>
              <w:t>购买办公用品数量</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val="en-US" w:eastAsia="zh-CN"/>
              </w:rPr>
            </w:pPr>
            <w:r>
              <w:rPr>
                <w:rFonts w:hint="eastAsia" w:ascii="宋体" w:hAnsi="宋体" w:eastAsia="宋体" w:cs="宋体"/>
                <w:color w:val="000000"/>
                <w:sz w:val="20"/>
                <w:lang w:val="en-US" w:eastAsia="zh-CN"/>
              </w:rPr>
              <w:t>&gt;=800个</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数量指标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eastAsia="zh-CN"/>
              </w:rPr>
              <w:t>燃油数量</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&gt;=160000升</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质量指标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eastAsia="zh-CN"/>
              </w:rPr>
              <w:t>燃油质量达标率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=100%</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质量指标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eastAsia="zh-CN"/>
              </w:rPr>
              <w:t>购买办公设备合格率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&gt;=98%</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成本指标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eastAsia="zh-CN"/>
              </w:rPr>
              <w:t>燃油平均成本</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val="en-US" w:eastAsia="zh-CN"/>
              </w:rPr>
            </w:pPr>
            <w:r>
              <w:rPr>
                <w:rFonts w:hint="eastAsia" w:ascii="宋体" w:hAnsi="宋体" w:eastAsia="宋体" w:cs="宋体"/>
                <w:color w:val="000000"/>
                <w:sz w:val="20"/>
                <w:lang w:val="en-US" w:eastAsia="zh-CN"/>
              </w:rPr>
              <w:t>&lt;=7.85元/升</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成本指标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eastAsia="zh-CN"/>
              </w:rPr>
              <w:t>购买办公用品成本</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val="en-US" w:eastAsia="zh-CN"/>
              </w:rPr>
            </w:pPr>
            <w:r>
              <w:rPr>
                <w:rFonts w:hint="eastAsia" w:ascii="宋体" w:hAnsi="宋体" w:eastAsia="宋体" w:cs="宋体"/>
                <w:color w:val="000000"/>
                <w:sz w:val="20"/>
                <w:lang w:val="en-US" w:eastAsia="zh-CN"/>
              </w:rPr>
              <w:t>&lt;=3535元/个</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时效指标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eastAsia="zh-CN"/>
              </w:rPr>
              <w:t>办公用品更新及时率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&gt;=85%</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时效指标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eastAsia="zh-CN"/>
              </w:rPr>
              <w:t>车辆加油及时率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=100%</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效果指标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经济效益指标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社会效益指标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eastAsia="zh-CN"/>
              </w:rPr>
              <w:t>燃油保证车辆运行率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=100%</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社会效益指标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eastAsia="zh-CN"/>
              </w:rPr>
              <w:t>办公用品可持续使用年限</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val="en-US" w:eastAsia="zh-CN"/>
              </w:rPr>
            </w:pPr>
            <w:r>
              <w:rPr>
                <w:rFonts w:hint="eastAsia" w:ascii="宋体" w:hAnsi="宋体" w:eastAsia="宋体" w:cs="宋体"/>
                <w:color w:val="000000"/>
                <w:sz w:val="20"/>
                <w:lang w:val="en-US" w:eastAsia="zh-CN"/>
              </w:rPr>
              <w:t>&gt;=5年</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生态效益指标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可持续影响指标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满意度指标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eastAsia="zh-CN"/>
              </w:rPr>
              <w:t>民警满意度</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&gt;=95%</w:t>
            </w:r>
          </w:p>
        </w:tc>
      </w:tr>
    </w:tbl>
    <w:p>
      <w:pPr>
        <w:rPr>
          <w:rFonts w:eastAsia="黑体"/>
          <w:sz w:val="36"/>
          <w:szCs w:val="36"/>
        </w:rPr>
      </w:pPr>
      <w:r>
        <w:rPr>
          <w:rFonts w:eastAsia="黑体"/>
          <w:sz w:val="36"/>
          <w:szCs w:val="36"/>
        </w:rPr>
        <w:br w:type="page"/>
      </w:r>
    </w:p>
    <w:p>
      <w:pPr>
        <w:ind w:firstLine="720" w:firstLineChars="200"/>
        <w:jc w:val="center"/>
        <w:rPr>
          <w:rFonts w:eastAsia="黑体"/>
          <w:sz w:val="36"/>
          <w:szCs w:val="36"/>
        </w:rPr>
      </w:pPr>
      <w:r>
        <w:rPr>
          <w:rFonts w:eastAsia="黑体"/>
          <w:sz w:val="36"/>
          <w:szCs w:val="36"/>
        </w:rPr>
        <w:t>第三部分 情况说明</w:t>
      </w:r>
    </w:p>
    <w:p>
      <w:pPr>
        <w:rPr>
          <w:rFonts w:eastAsia="仿宋"/>
          <w:szCs w:val="32"/>
        </w:rPr>
      </w:pPr>
    </w:p>
    <w:p>
      <w:pPr>
        <w:ind w:firstLine="640" w:firstLineChars="200"/>
        <w:rPr>
          <w:rFonts w:eastAsia="黑体"/>
          <w:szCs w:val="32"/>
        </w:rPr>
      </w:pPr>
      <w:r>
        <w:rPr>
          <w:rFonts w:eastAsia="黑体"/>
          <w:szCs w:val="32"/>
        </w:rPr>
        <w:t>一、</w:t>
      </w:r>
      <w:r>
        <w:rPr>
          <w:rFonts w:hint="eastAsia" w:eastAsia="黑体"/>
          <w:szCs w:val="32"/>
          <w:lang w:eastAsia="zh-CN"/>
        </w:rPr>
        <w:t>2024</w:t>
      </w:r>
      <w:r>
        <w:rPr>
          <w:rFonts w:eastAsia="黑体"/>
          <w:szCs w:val="32"/>
        </w:rPr>
        <w:t>年收支预算总体情况</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按照综合预算的原则，所有收入和支出全部纳入部门预算管理。收入包括：一般公共预算拨款收入、政府性基金预算拨款收入、国有资本经营预算拨款收入、财政专户管理资金收入、事业收入、上级补助收入、附属单位上缴收入、事业单位经营收入、其他收入、用事业基金弥补收支差额、上年结转结余等；支出包括：一般公共服务支出、教育支出、科学技术支出、文化旅游体育与传媒支出、社会保障和就业支出、农林水支出、住房保障支出、结转下年支出等。</w:t>
      </w:r>
      <w:r>
        <w:rPr>
          <w:rFonts w:hint="eastAsia" w:ascii="仿宋_GB2312" w:hAnsi="仿宋_GB2312" w:cs="仿宋_GB2312"/>
          <w:sz w:val="32"/>
          <w:szCs w:val="32"/>
          <w:lang w:eastAsia="zh-CN"/>
        </w:rPr>
        <w:t>2024</w:t>
      </w:r>
      <w:r>
        <w:rPr>
          <w:rFonts w:hint="eastAsia" w:ascii="仿宋_GB2312" w:hAnsi="仿宋_GB2312" w:eastAsia="仿宋_GB2312" w:cs="仿宋_GB2312"/>
          <w:sz w:val="32"/>
          <w:szCs w:val="32"/>
        </w:rPr>
        <w:t>年收支总预算</w:t>
      </w:r>
      <w:r>
        <w:rPr>
          <w:rFonts w:hint="eastAsia" w:ascii="仿宋_GB2312" w:hAnsi="仿宋_GB2312" w:eastAsia="仿宋_GB2312" w:cs="仿宋_GB2312"/>
          <w:sz w:val="32"/>
          <w:szCs w:val="32"/>
          <w:u w:val="single"/>
        </w:rPr>
        <w:t>__</w:t>
      </w:r>
      <w:r>
        <w:rPr>
          <w:rFonts w:hint="eastAsia" w:eastAsia="宋体"/>
          <w:kern w:val="0"/>
          <w:sz w:val="32"/>
          <w:szCs w:val="32"/>
          <w:u w:val="single"/>
        </w:rPr>
        <w:t>1790.87</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lang w:eastAsia="zh-CN"/>
        </w:rPr>
        <w:t>，其中：当年预算</w:t>
      </w:r>
      <w:r>
        <w:rPr>
          <w:rFonts w:hint="eastAsia" w:eastAsia="宋体"/>
          <w:kern w:val="0"/>
          <w:sz w:val="32"/>
          <w:szCs w:val="32"/>
          <w:u w:val="single"/>
        </w:rPr>
        <w:t>1790.87</w:t>
      </w:r>
      <w:r>
        <w:rPr>
          <w:rFonts w:hint="eastAsia" w:ascii="仿宋_GB2312" w:hAnsi="仿宋_GB2312" w:eastAsia="仿宋_GB2312" w:cs="仿宋_GB2312"/>
          <w:sz w:val="32"/>
          <w:szCs w:val="32"/>
          <w:lang w:eastAsia="zh-CN"/>
        </w:rPr>
        <w:t>万元；上年结转</w:t>
      </w:r>
      <w:r>
        <w:rPr>
          <w:rFonts w:hint="eastAsia" w:ascii="仿宋_GB2312" w:hAnsi="仿宋_GB2312" w:cs="仿宋_GB2312"/>
          <w:sz w:val="32"/>
          <w:szCs w:val="32"/>
          <w:u w:val="single"/>
          <w:lang w:val="en-US" w:eastAsia="zh-CN"/>
        </w:rPr>
        <w:t>0</w:t>
      </w:r>
      <w:r>
        <w:rPr>
          <w:rFonts w:hint="eastAsia" w:ascii="仿宋_GB2312" w:hAnsi="仿宋_GB2312" w:eastAsia="仿宋_GB2312" w:cs="仿宋_GB2312"/>
          <w:sz w:val="32"/>
          <w:szCs w:val="32"/>
          <w:lang w:eastAsia="zh-CN"/>
        </w:rPr>
        <w:t>万元。</w:t>
      </w:r>
      <w:r>
        <w:rPr>
          <w:rFonts w:hint="eastAsia" w:ascii="仿宋_GB2312" w:hAnsi="仿宋_GB2312" w:cs="仿宋_GB2312"/>
          <w:sz w:val="32"/>
          <w:szCs w:val="32"/>
          <w:lang w:val="en-US" w:eastAsia="zh-CN"/>
        </w:rPr>
        <w:t>2024</w:t>
      </w:r>
      <w:r>
        <w:rPr>
          <w:rFonts w:hint="eastAsia" w:ascii="仿宋_GB2312" w:hAnsi="仿宋_GB2312" w:eastAsia="仿宋_GB2312" w:cs="仿宋_GB2312"/>
          <w:sz w:val="32"/>
          <w:szCs w:val="32"/>
          <w:lang w:val="en-US" w:eastAsia="zh-CN"/>
        </w:rPr>
        <w:t>年当年预算</w:t>
      </w:r>
      <w:r>
        <w:rPr>
          <w:rFonts w:hint="eastAsia" w:ascii="仿宋_GB2312" w:hAnsi="仿宋_GB2312" w:eastAsia="仿宋_GB2312" w:cs="仿宋_GB2312"/>
          <w:sz w:val="32"/>
          <w:szCs w:val="32"/>
        </w:rPr>
        <w:t>比</w:t>
      </w:r>
      <w:r>
        <w:rPr>
          <w:rFonts w:hint="eastAsia" w:ascii="仿宋_GB2312" w:hAnsi="仿宋_GB2312" w:cs="仿宋_GB2312"/>
          <w:sz w:val="32"/>
          <w:szCs w:val="32"/>
          <w:lang w:eastAsia="zh-CN"/>
        </w:rPr>
        <w:t>202</w:t>
      </w:r>
      <w:r>
        <w:rPr>
          <w:rFonts w:hint="eastAsia" w:ascii="仿宋_GB2312" w:hAnsi="仿宋_GB2312" w:cs="仿宋_GB2312"/>
          <w:sz w:val="32"/>
          <w:szCs w:val="32"/>
          <w:lang w:val="en-US" w:eastAsia="zh-CN"/>
        </w:rPr>
        <w:t>3</w:t>
      </w:r>
      <w:r>
        <w:rPr>
          <w:rFonts w:hint="eastAsia" w:ascii="仿宋_GB2312" w:hAnsi="仿宋_GB2312" w:eastAsia="仿宋_GB2312" w:cs="仿宋_GB2312"/>
          <w:sz w:val="32"/>
          <w:szCs w:val="32"/>
        </w:rPr>
        <w:t>年预算减少</w:t>
      </w:r>
      <w:r>
        <w:rPr>
          <w:rFonts w:hint="eastAsia" w:ascii="仿宋_GB2312" w:hAnsi="仿宋_GB2312" w:cs="仿宋_GB2312"/>
          <w:sz w:val="32"/>
          <w:szCs w:val="32"/>
          <w:u w:val="single"/>
          <w:lang w:val="en-US" w:eastAsia="zh-CN"/>
        </w:rPr>
        <w:t>508.27</w:t>
      </w:r>
      <w:r>
        <w:rPr>
          <w:rFonts w:hint="eastAsia" w:ascii="仿宋_GB2312" w:hAnsi="仿宋_GB2312" w:eastAsia="仿宋_GB2312" w:cs="仿宋_GB2312"/>
          <w:sz w:val="32"/>
          <w:szCs w:val="32"/>
        </w:rPr>
        <w:t>万元，主要原因是</w:t>
      </w:r>
      <w:r>
        <w:rPr>
          <w:rFonts w:hint="eastAsia" w:ascii="仿宋_GB2312" w:hAnsi="仿宋_GB2312" w:cs="仿宋_GB2312"/>
          <w:sz w:val="32"/>
          <w:szCs w:val="32"/>
          <w:u w:val="single"/>
          <w:lang w:eastAsia="zh-CN"/>
        </w:rPr>
        <w:t>响应国家号召，缩减开支</w:t>
      </w:r>
      <w:r>
        <w:rPr>
          <w:rFonts w:hint="eastAsia" w:ascii="仿宋_GB2312" w:hAnsi="仿宋_GB2312" w:eastAsia="仿宋_GB2312" w:cs="仿宋_GB2312"/>
          <w:sz w:val="32"/>
          <w:szCs w:val="32"/>
        </w:rPr>
        <w:t>。</w:t>
      </w:r>
    </w:p>
    <w:p>
      <w:pPr>
        <w:ind w:firstLine="600" w:firstLineChars="200"/>
        <w:rPr>
          <w:sz w:val="30"/>
          <w:szCs w:val="30"/>
        </w:rPr>
      </w:pPr>
    </w:p>
    <w:p>
      <w:pPr>
        <w:ind w:firstLine="600" w:firstLineChars="200"/>
        <w:rPr>
          <w:sz w:val="30"/>
          <w:szCs w:val="30"/>
        </w:rPr>
      </w:pPr>
    </w:p>
    <w:p>
      <w:pPr>
        <w:ind w:firstLine="600" w:firstLineChars="200"/>
        <w:rPr>
          <w:sz w:val="30"/>
          <w:szCs w:val="30"/>
        </w:rPr>
      </w:pPr>
    </w:p>
    <w:p>
      <w:pPr>
        <w:ind w:firstLine="600" w:firstLineChars="200"/>
        <w:rPr>
          <w:sz w:val="30"/>
          <w:szCs w:val="30"/>
        </w:rPr>
      </w:pPr>
    </w:p>
    <w:p>
      <w:pPr>
        <w:ind w:firstLine="640" w:firstLineChars="200"/>
        <w:rPr>
          <w:rFonts w:eastAsia="楷体"/>
          <w:szCs w:val="30"/>
        </w:rPr>
      </w:pPr>
    </w:p>
    <w:p>
      <w:pPr>
        <w:ind w:firstLine="640" w:firstLineChars="200"/>
        <w:rPr>
          <w:rFonts w:eastAsia="楷体"/>
          <w:szCs w:val="30"/>
        </w:rPr>
      </w:pPr>
      <w:r>
        <w:rPr>
          <w:rFonts w:eastAsia="楷体"/>
          <w:szCs w:val="30"/>
        </w:rPr>
        <w:t>注：收入和支出中包括的具体内容，按本部门《收支</w:t>
      </w:r>
      <w:r>
        <w:rPr>
          <w:rFonts w:hint="eastAsia" w:eastAsia="楷体"/>
          <w:szCs w:val="30"/>
        </w:rPr>
        <w:t>总</w:t>
      </w:r>
      <w:r>
        <w:rPr>
          <w:rFonts w:eastAsia="楷体"/>
          <w:szCs w:val="30"/>
        </w:rPr>
        <w:t>表》反映的实际情况取舍。</w:t>
      </w:r>
    </w:p>
    <w:p>
      <w:pPr>
        <w:ind w:firstLine="640" w:firstLineChars="200"/>
        <w:rPr>
          <w:rFonts w:eastAsia="黑体"/>
          <w:szCs w:val="32"/>
        </w:rPr>
      </w:pPr>
      <w:r>
        <w:rPr>
          <w:rFonts w:eastAsia="楷体"/>
          <w:szCs w:val="30"/>
        </w:rPr>
        <w:br w:type="page"/>
      </w:r>
      <w:r>
        <w:rPr>
          <w:rFonts w:hint="eastAsia" w:ascii="黑体" w:hAnsi="黑体" w:eastAsia="黑体" w:cs="黑体"/>
          <w:szCs w:val="32"/>
        </w:rPr>
        <w:t>二、</w:t>
      </w:r>
      <w:r>
        <w:rPr>
          <w:rFonts w:hint="eastAsia" w:ascii="黑体" w:hAnsi="黑体" w:eastAsia="黑体" w:cs="黑体"/>
          <w:szCs w:val="32"/>
          <w:lang w:eastAsia="zh-CN"/>
        </w:rPr>
        <w:t>2024</w:t>
      </w:r>
      <w:r>
        <w:rPr>
          <w:rFonts w:hint="eastAsia" w:ascii="黑体" w:hAnsi="黑体" w:eastAsia="黑体" w:cs="黑体"/>
          <w:szCs w:val="32"/>
        </w:rPr>
        <w:t>年收入预算情况</w:t>
      </w:r>
    </w:p>
    <w:p>
      <w:pPr>
        <w:ind w:firstLine="640" w:firstLineChars="200"/>
        <w:rPr>
          <w:rFonts w:hint="eastAsia" w:ascii="仿宋_GB2312" w:hAnsi="仿宋_GB2312" w:eastAsia="仿宋_GB2312" w:cs="仿宋_GB2312"/>
          <w:sz w:val="32"/>
          <w:szCs w:val="32"/>
        </w:rPr>
      </w:pPr>
      <w:r>
        <w:rPr>
          <w:rFonts w:hint="eastAsia" w:ascii="仿宋_GB2312" w:hAnsi="仿宋_GB2312" w:cs="仿宋_GB2312"/>
          <w:sz w:val="32"/>
          <w:szCs w:val="32"/>
          <w:lang w:eastAsia="zh-CN"/>
        </w:rPr>
        <w:t>2024</w:t>
      </w:r>
      <w:r>
        <w:rPr>
          <w:rFonts w:hint="eastAsia" w:ascii="仿宋_GB2312" w:hAnsi="仿宋_GB2312" w:eastAsia="仿宋_GB2312" w:cs="仿宋_GB2312"/>
          <w:sz w:val="32"/>
          <w:szCs w:val="32"/>
        </w:rPr>
        <w:t>年收入预算</w:t>
      </w:r>
      <w:r>
        <w:rPr>
          <w:rFonts w:hint="eastAsia" w:eastAsia="宋体"/>
          <w:kern w:val="0"/>
          <w:sz w:val="32"/>
          <w:szCs w:val="32"/>
          <w:u w:val="single"/>
        </w:rPr>
        <w:t>1790.87</w:t>
      </w:r>
      <w:r>
        <w:rPr>
          <w:rFonts w:hint="eastAsia" w:ascii="仿宋_GB2312" w:hAnsi="仿宋_GB2312" w:eastAsia="仿宋_GB2312" w:cs="仿宋_GB2312"/>
          <w:sz w:val="32"/>
          <w:szCs w:val="32"/>
        </w:rPr>
        <w:t>万元，其中：本年收入</w:t>
      </w:r>
      <w:r>
        <w:rPr>
          <w:rFonts w:hint="eastAsia" w:eastAsia="宋体"/>
          <w:kern w:val="0"/>
          <w:sz w:val="32"/>
          <w:szCs w:val="32"/>
          <w:u w:val="single"/>
        </w:rPr>
        <w:t>1790.87</w:t>
      </w:r>
      <w:r>
        <w:rPr>
          <w:rFonts w:hint="eastAsia" w:ascii="仿宋_GB2312" w:hAnsi="仿宋_GB2312" w:eastAsia="仿宋_GB2312" w:cs="仿宋_GB2312"/>
          <w:sz w:val="32"/>
          <w:szCs w:val="32"/>
        </w:rPr>
        <w:t>万元，占</w:t>
      </w:r>
      <w:r>
        <w:rPr>
          <w:rFonts w:hint="eastAsia" w:ascii="仿宋_GB2312" w:hAnsi="仿宋_GB2312" w:cs="仿宋_GB2312"/>
          <w:sz w:val="32"/>
          <w:szCs w:val="32"/>
          <w:u w:val="single"/>
          <w:lang w:val="en-US" w:eastAsia="zh-CN"/>
        </w:rPr>
        <w:t>100</w:t>
      </w:r>
      <w:r>
        <w:rPr>
          <w:rFonts w:hint="eastAsia" w:ascii="仿宋_GB2312" w:hAnsi="仿宋_GB2312" w:eastAsia="仿宋_GB2312" w:cs="仿宋_GB2312"/>
          <w:sz w:val="32"/>
          <w:szCs w:val="32"/>
        </w:rPr>
        <w:t>%；上年结转</w:t>
      </w:r>
      <w:r>
        <w:rPr>
          <w:rFonts w:hint="eastAsia" w:ascii="仿宋_GB2312" w:hAnsi="仿宋_GB2312" w:cs="仿宋_GB2312"/>
          <w:sz w:val="32"/>
          <w:szCs w:val="32"/>
          <w:u w:val="single"/>
          <w:lang w:val="en-US" w:eastAsia="zh-CN"/>
        </w:rPr>
        <w:t>0</w:t>
      </w:r>
      <w:r>
        <w:rPr>
          <w:rFonts w:hint="eastAsia" w:ascii="仿宋_GB2312" w:hAnsi="仿宋_GB2312" w:eastAsia="仿宋_GB2312" w:cs="仿宋_GB2312"/>
          <w:sz w:val="32"/>
          <w:szCs w:val="32"/>
        </w:rPr>
        <w:t>万元，占</w:t>
      </w:r>
      <w:r>
        <w:rPr>
          <w:rFonts w:hint="eastAsia" w:ascii="仿宋_GB2312" w:hAnsi="仿宋_GB2312" w:cs="仿宋_GB2312"/>
          <w:sz w:val="32"/>
          <w:szCs w:val="32"/>
          <w:u w:val="single"/>
          <w:lang w:val="en-US" w:eastAsia="zh-CN"/>
        </w:rPr>
        <w:t>0</w:t>
      </w:r>
      <w:r>
        <w:rPr>
          <w:rFonts w:hint="eastAsia" w:ascii="仿宋_GB2312" w:hAnsi="仿宋_GB2312" w:eastAsia="仿宋_GB2312" w:cs="仿宋_GB2312"/>
          <w:sz w:val="32"/>
          <w:szCs w:val="32"/>
        </w:rPr>
        <w:t>%。本年收入中，一般公共预算拨款收入</w:t>
      </w:r>
      <w:r>
        <w:rPr>
          <w:rFonts w:hint="eastAsia" w:eastAsia="宋体"/>
          <w:kern w:val="0"/>
          <w:sz w:val="32"/>
          <w:szCs w:val="32"/>
          <w:u w:val="single"/>
        </w:rPr>
        <w:t>1790.87</w:t>
      </w:r>
      <w:r>
        <w:rPr>
          <w:rFonts w:hint="eastAsia" w:ascii="仿宋_GB2312" w:hAnsi="仿宋_GB2312" w:eastAsia="仿宋_GB2312" w:cs="仿宋_GB2312"/>
          <w:sz w:val="32"/>
          <w:szCs w:val="32"/>
        </w:rPr>
        <w:t>万元，占</w:t>
      </w:r>
      <w:r>
        <w:rPr>
          <w:rFonts w:hint="eastAsia" w:ascii="仿宋_GB2312" w:hAnsi="仿宋_GB2312" w:cs="仿宋_GB2312"/>
          <w:sz w:val="32"/>
          <w:szCs w:val="32"/>
          <w:u w:val="single"/>
          <w:lang w:val="en-US" w:eastAsia="zh-CN"/>
        </w:rPr>
        <w:t>100</w:t>
      </w:r>
      <w:r>
        <w:rPr>
          <w:rFonts w:hint="eastAsia" w:ascii="仿宋_GB2312" w:hAnsi="仿宋_GB2312" w:eastAsia="仿宋_GB2312" w:cs="仿宋_GB2312"/>
          <w:sz w:val="32"/>
          <w:szCs w:val="32"/>
        </w:rPr>
        <w:t>%；政府性基金预算拨款收入</w:t>
      </w:r>
      <w:r>
        <w:rPr>
          <w:rFonts w:hint="eastAsia" w:ascii="仿宋_GB2312" w:hAnsi="仿宋_GB2312" w:cs="仿宋_GB2312"/>
          <w:sz w:val="32"/>
          <w:szCs w:val="32"/>
          <w:u w:val="single"/>
          <w:lang w:val="en-US" w:eastAsia="zh-CN"/>
        </w:rPr>
        <w:t>0</w:t>
      </w:r>
      <w:r>
        <w:rPr>
          <w:rFonts w:hint="eastAsia" w:ascii="仿宋_GB2312" w:hAnsi="仿宋_GB2312" w:eastAsia="仿宋_GB2312" w:cs="仿宋_GB2312"/>
          <w:sz w:val="32"/>
          <w:szCs w:val="32"/>
        </w:rPr>
        <w:t>万元，占</w:t>
      </w:r>
      <w:r>
        <w:rPr>
          <w:rFonts w:hint="eastAsia" w:ascii="仿宋_GB2312" w:hAnsi="仿宋_GB2312" w:cs="仿宋_GB2312"/>
          <w:sz w:val="32"/>
          <w:szCs w:val="32"/>
          <w:lang w:val="en-US" w:eastAsia="zh-CN"/>
        </w:rPr>
        <w:t>0</w:t>
      </w:r>
      <w:r>
        <w:rPr>
          <w:rFonts w:hint="eastAsia" w:ascii="仿宋_GB2312" w:hAnsi="仿宋_GB2312" w:eastAsia="仿宋_GB2312" w:cs="仿宋_GB2312"/>
          <w:sz w:val="32"/>
          <w:szCs w:val="32"/>
        </w:rPr>
        <w:t>%；国有资本经营预算拨款收入</w:t>
      </w:r>
      <w:r>
        <w:rPr>
          <w:rFonts w:hint="eastAsia" w:ascii="仿宋_GB2312" w:hAnsi="仿宋_GB2312" w:cs="仿宋_GB2312"/>
          <w:sz w:val="32"/>
          <w:szCs w:val="32"/>
          <w:u w:val="single"/>
          <w:lang w:val="en-US" w:eastAsia="zh-CN"/>
        </w:rPr>
        <w:t>0</w:t>
      </w:r>
      <w:r>
        <w:rPr>
          <w:rFonts w:hint="eastAsia" w:ascii="仿宋_GB2312" w:hAnsi="仿宋_GB2312" w:eastAsia="仿宋_GB2312" w:cs="仿宋_GB2312"/>
          <w:sz w:val="32"/>
          <w:szCs w:val="32"/>
        </w:rPr>
        <w:t>万元，占</w:t>
      </w:r>
      <w:r>
        <w:rPr>
          <w:rFonts w:hint="eastAsia" w:ascii="仿宋_GB2312" w:hAnsi="仿宋_GB2312" w:cs="仿宋_GB2312"/>
          <w:sz w:val="32"/>
          <w:szCs w:val="32"/>
          <w:u w:val="single"/>
          <w:lang w:val="en-US" w:eastAsia="zh-CN"/>
        </w:rPr>
        <w:t>0</w:t>
      </w:r>
      <w:r>
        <w:rPr>
          <w:rFonts w:hint="eastAsia" w:ascii="仿宋_GB2312" w:hAnsi="仿宋_GB2312" w:eastAsia="仿宋_GB2312" w:cs="仿宋_GB2312"/>
          <w:sz w:val="32"/>
          <w:szCs w:val="32"/>
        </w:rPr>
        <w:t>%；财政专户管理资金收入</w:t>
      </w:r>
      <w:r>
        <w:rPr>
          <w:rFonts w:hint="eastAsia" w:ascii="仿宋_GB2312" w:hAnsi="仿宋_GB2312" w:cs="仿宋_GB2312"/>
          <w:sz w:val="32"/>
          <w:szCs w:val="32"/>
          <w:u w:val="single"/>
          <w:lang w:val="en-US" w:eastAsia="zh-CN"/>
        </w:rPr>
        <w:t>0</w:t>
      </w:r>
      <w:r>
        <w:rPr>
          <w:rFonts w:hint="eastAsia" w:ascii="仿宋_GB2312" w:hAnsi="仿宋_GB2312" w:eastAsia="仿宋_GB2312" w:cs="仿宋_GB2312"/>
          <w:sz w:val="32"/>
          <w:szCs w:val="32"/>
        </w:rPr>
        <w:t>万元，占</w:t>
      </w:r>
      <w:r>
        <w:rPr>
          <w:rFonts w:hint="eastAsia" w:ascii="仿宋_GB2312" w:hAnsi="仿宋_GB2312" w:cs="仿宋_GB2312"/>
          <w:sz w:val="32"/>
          <w:szCs w:val="32"/>
          <w:u w:val="single"/>
          <w:lang w:val="en-US" w:eastAsia="zh-CN"/>
        </w:rPr>
        <w:t>0</w:t>
      </w:r>
      <w:r>
        <w:rPr>
          <w:rFonts w:hint="eastAsia" w:ascii="仿宋_GB2312" w:hAnsi="仿宋_GB2312" w:eastAsia="仿宋_GB2312" w:cs="仿宋_GB2312"/>
          <w:sz w:val="32"/>
          <w:szCs w:val="32"/>
        </w:rPr>
        <w:t>%；事业收入</w:t>
      </w:r>
      <w:r>
        <w:rPr>
          <w:rFonts w:hint="eastAsia" w:ascii="仿宋_GB2312" w:hAnsi="仿宋_GB2312" w:cs="仿宋_GB2312"/>
          <w:sz w:val="32"/>
          <w:szCs w:val="32"/>
          <w:u w:val="single"/>
          <w:lang w:val="en-US" w:eastAsia="zh-CN"/>
        </w:rPr>
        <w:t>0</w:t>
      </w:r>
      <w:r>
        <w:rPr>
          <w:rFonts w:hint="eastAsia" w:ascii="仿宋_GB2312" w:hAnsi="仿宋_GB2312" w:eastAsia="仿宋_GB2312" w:cs="仿宋_GB2312"/>
          <w:sz w:val="32"/>
          <w:szCs w:val="32"/>
        </w:rPr>
        <w:t>万元，占</w:t>
      </w:r>
      <w:r>
        <w:rPr>
          <w:rFonts w:hint="eastAsia" w:ascii="仿宋_GB2312" w:hAnsi="仿宋_GB2312" w:cs="仿宋_GB2312"/>
          <w:sz w:val="32"/>
          <w:szCs w:val="32"/>
          <w:u w:val="single"/>
          <w:lang w:val="en-US" w:eastAsia="zh-CN"/>
        </w:rPr>
        <w:t>0</w:t>
      </w:r>
      <w:r>
        <w:rPr>
          <w:rFonts w:hint="eastAsia" w:ascii="仿宋_GB2312" w:hAnsi="仿宋_GB2312" w:eastAsia="仿宋_GB2312" w:cs="仿宋_GB2312"/>
          <w:sz w:val="32"/>
          <w:szCs w:val="32"/>
        </w:rPr>
        <w:t>%；上级补助收入</w:t>
      </w:r>
      <w:r>
        <w:rPr>
          <w:rFonts w:hint="eastAsia" w:ascii="仿宋_GB2312" w:hAnsi="仿宋_GB2312" w:cs="仿宋_GB2312"/>
          <w:sz w:val="32"/>
          <w:szCs w:val="32"/>
          <w:u w:val="single"/>
          <w:lang w:val="en-US" w:eastAsia="zh-CN"/>
        </w:rPr>
        <w:t>0</w:t>
      </w:r>
      <w:r>
        <w:rPr>
          <w:rFonts w:hint="eastAsia" w:ascii="仿宋_GB2312" w:hAnsi="仿宋_GB2312" w:eastAsia="仿宋_GB2312" w:cs="仿宋_GB2312"/>
          <w:sz w:val="32"/>
          <w:szCs w:val="32"/>
        </w:rPr>
        <w:t>万元，占</w:t>
      </w:r>
      <w:r>
        <w:rPr>
          <w:rFonts w:hint="eastAsia" w:ascii="仿宋_GB2312" w:hAnsi="仿宋_GB2312" w:cs="仿宋_GB2312"/>
          <w:sz w:val="32"/>
          <w:szCs w:val="32"/>
          <w:u w:val="single"/>
          <w:lang w:val="en-US" w:eastAsia="zh-CN"/>
        </w:rPr>
        <w:t>0</w:t>
      </w:r>
      <w:r>
        <w:rPr>
          <w:rFonts w:hint="eastAsia" w:ascii="仿宋_GB2312" w:hAnsi="仿宋_GB2312" w:eastAsia="仿宋_GB2312" w:cs="仿宋_GB2312"/>
          <w:sz w:val="32"/>
          <w:szCs w:val="32"/>
        </w:rPr>
        <w:t>%；附属单位上缴收入</w:t>
      </w:r>
      <w:r>
        <w:rPr>
          <w:rFonts w:hint="eastAsia" w:ascii="仿宋_GB2312" w:hAnsi="仿宋_GB2312" w:cs="仿宋_GB2312"/>
          <w:sz w:val="32"/>
          <w:szCs w:val="32"/>
          <w:u w:val="single"/>
          <w:lang w:val="en-US" w:eastAsia="zh-CN"/>
        </w:rPr>
        <w:t>0</w:t>
      </w:r>
      <w:r>
        <w:rPr>
          <w:rFonts w:hint="eastAsia" w:ascii="仿宋_GB2312" w:hAnsi="仿宋_GB2312" w:eastAsia="仿宋_GB2312" w:cs="仿宋_GB2312"/>
          <w:sz w:val="32"/>
          <w:szCs w:val="32"/>
        </w:rPr>
        <w:t>万元，占</w:t>
      </w:r>
      <w:r>
        <w:rPr>
          <w:rFonts w:hint="eastAsia" w:ascii="仿宋_GB2312" w:hAnsi="仿宋_GB2312" w:cs="仿宋_GB2312"/>
          <w:sz w:val="32"/>
          <w:szCs w:val="32"/>
          <w:u w:val="single"/>
          <w:lang w:val="en-US" w:eastAsia="zh-CN"/>
        </w:rPr>
        <w:t>0</w:t>
      </w:r>
      <w:r>
        <w:rPr>
          <w:rFonts w:hint="eastAsia" w:ascii="仿宋_GB2312" w:hAnsi="仿宋_GB2312" w:eastAsia="仿宋_GB2312" w:cs="仿宋_GB2312"/>
          <w:sz w:val="32"/>
          <w:szCs w:val="32"/>
        </w:rPr>
        <w:t>%；事业单位经营收入</w:t>
      </w:r>
      <w:r>
        <w:rPr>
          <w:rFonts w:hint="eastAsia" w:ascii="仿宋_GB2312" w:hAnsi="仿宋_GB2312" w:cs="仿宋_GB2312"/>
          <w:sz w:val="32"/>
          <w:szCs w:val="32"/>
          <w:u w:val="single"/>
          <w:lang w:val="en-US" w:eastAsia="zh-CN"/>
        </w:rPr>
        <w:t>0</w:t>
      </w:r>
      <w:r>
        <w:rPr>
          <w:rFonts w:hint="eastAsia" w:ascii="仿宋_GB2312" w:hAnsi="仿宋_GB2312" w:eastAsia="仿宋_GB2312" w:cs="仿宋_GB2312"/>
          <w:sz w:val="32"/>
          <w:szCs w:val="32"/>
        </w:rPr>
        <w:t>万元，占</w:t>
      </w:r>
      <w:r>
        <w:rPr>
          <w:rFonts w:hint="eastAsia" w:ascii="仿宋_GB2312" w:hAnsi="仿宋_GB2312" w:cs="仿宋_GB2312"/>
          <w:sz w:val="32"/>
          <w:szCs w:val="32"/>
          <w:u w:val="single"/>
          <w:lang w:val="en-US" w:eastAsia="zh-CN"/>
        </w:rPr>
        <w:t>0</w:t>
      </w:r>
      <w:r>
        <w:rPr>
          <w:rFonts w:hint="eastAsia" w:ascii="仿宋_GB2312" w:hAnsi="仿宋_GB2312" w:eastAsia="仿宋_GB2312" w:cs="仿宋_GB2312"/>
          <w:sz w:val="32"/>
          <w:szCs w:val="32"/>
        </w:rPr>
        <w:t>%；其他收入</w:t>
      </w:r>
      <w:r>
        <w:rPr>
          <w:rFonts w:hint="eastAsia" w:ascii="仿宋_GB2312" w:hAnsi="仿宋_GB2312" w:cs="仿宋_GB2312"/>
          <w:sz w:val="32"/>
          <w:szCs w:val="32"/>
          <w:u w:val="single"/>
          <w:lang w:val="en-US" w:eastAsia="zh-CN"/>
        </w:rPr>
        <w:t>0</w:t>
      </w:r>
      <w:r>
        <w:rPr>
          <w:rFonts w:hint="eastAsia" w:ascii="仿宋_GB2312" w:hAnsi="仿宋_GB2312" w:eastAsia="仿宋_GB2312" w:cs="仿宋_GB2312"/>
          <w:sz w:val="32"/>
          <w:szCs w:val="32"/>
        </w:rPr>
        <w:t>万元，占</w:t>
      </w:r>
      <w:r>
        <w:rPr>
          <w:rFonts w:hint="eastAsia" w:ascii="仿宋_GB2312" w:hAnsi="仿宋_GB2312" w:cs="仿宋_GB2312"/>
          <w:sz w:val="32"/>
          <w:szCs w:val="32"/>
          <w:u w:val="single"/>
          <w:lang w:val="en-US" w:eastAsia="zh-CN"/>
        </w:rPr>
        <w:t>0</w:t>
      </w:r>
      <w:r>
        <w:rPr>
          <w:rFonts w:hint="eastAsia" w:ascii="仿宋_GB2312" w:hAnsi="仿宋_GB2312" w:eastAsia="仿宋_GB2312" w:cs="仿宋_GB2312"/>
          <w:sz w:val="32"/>
          <w:szCs w:val="32"/>
        </w:rPr>
        <w:t>%。上年结转中，一般公共预算拨款结转</w:t>
      </w:r>
      <w:r>
        <w:rPr>
          <w:rFonts w:hint="eastAsia" w:ascii="仿宋_GB2312" w:hAnsi="仿宋_GB2312" w:cs="仿宋_GB2312"/>
          <w:sz w:val="32"/>
          <w:szCs w:val="32"/>
          <w:u w:val="single"/>
          <w:lang w:val="en-US" w:eastAsia="zh-CN"/>
        </w:rPr>
        <w:t>0</w:t>
      </w:r>
      <w:r>
        <w:rPr>
          <w:rFonts w:hint="eastAsia" w:ascii="仿宋_GB2312" w:hAnsi="仿宋_GB2312" w:eastAsia="仿宋_GB2312" w:cs="仿宋_GB2312"/>
          <w:sz w:val="32"/>
          <w:szCs w:val="32"/>
        </w:rPr>
        <w:t>万元，占</w:t>
      </w:r>
      <w:r>
        <w:rPr>
          <w:rFonts w:hint="eastAsia" w:ascii="仿宋_GB2312" w:hAnsi="仿宋_GB2312" w:cs="仿宋_GB2312"/>
          <w:sz w:val="32"/>
          <w:szCs w:val="32"/>
          <w:u w:val="single"/>
          <w:lang w:val="en-US" w:eastAsia="zh-CN"/>
        </w:rPr>
        <w:t>0</w:t>
      </w:r>
      <w:r>
        <w:rPr>
          <w:rFonts w:hint="eastAsia" w:ascii="仿宋_GB2312" w:hAnsi="仿宋_GB2312" w:eastAsia="仿宋_GB2312" w:cs="仿宋_GB2312"/>
          <w:sz w:val="32"/>
          <w:szCs w:val="32"/>
        </w:rPr>
        <w:t>%；政府性基金预算拨款结转</w:t>
      </w:r>
      <w:r>
        <w:rPr>
          <w:rFonts w:hint="eastAsia" w:ascii="仿宋_GB2312" w:hAnsi="仿宋_GB2312" w:cs="仿宋_GB2312"/>
          <w:sz w:val="32"/>
          <w:szCs w:val="32"/>
          <w:u w:val="single"/>
          <w:lang w:val="en-US" w:eastAsia="zh-CN"/>
        </w:rPr>
        <w:t>0</w:t>
      </w:r>
      <w:r>
        <w:rPr>
          <w:rFonts w:hint="eastAsia" w:ascii="仿宋_GB2312" w:hAnsi="仿宋_GB2312" w:eastAsia="仿宋_GB2312" w:cs="仿宋_GB2312"/>
          <w:sz w:val="32"/>
          <w:szCs w:val="32"/>
        </w:rPr>
        <w:t>万元，占</w:t>
      </w:r>
      <w:r>
        <w:rPr>
          <w:rFonts w:hint="eastAsia" w:ascii="仿宋_GB2312" w:hAnsi="仿宋_GB2312" w:cs="仿宋_GB2312"/>
          <w:sz w:val="32"/>
          <w:szCs w:val="32"/>
          <w:u w:val="single"/>
          <w:lang w:val="en-US" w:eastAsia="zh-CN"/>
        </w:rPr>
        <w:t>0</w:t>
      </w:r>
      <w:r>
        <w:rPr>
          <w:rFonts w:hint="eastAsia" w:ascii="仿宋_GB2312" w:hAnsi="仿宋_GB2312" w:eastAsia="仿宋_GB2312" w:cs="仿宋_GB2312"/>
          <w:sz w:val="32"/>
          <w:szCs w:val="32"/>
        </w:rPr>
        <w:t>%；国有资本经营预算拨款结转</w:t>
      </w:r>
      <w:r>
        <w:rPr>
          <w:rFonts w:hint="eastAsia" w:ascii="仿宋_GB2312" w:hAnsi="仿宋_GB2312" w:cs="仿宋_GB2312"/>
          <w:sz w:val="32"/>
          <w:szCs w:val="32"/>
          <w:u w:val="single"/>
          <w:lang w:val="en-US" w:eastAsia="zh-CN"/>
        </w:rPr>
        <w:t>0</w:t>
      </w:r>
      <w:r>
        <w:rPr>
          <w:rFonts w:hint="eastAsia" w:ascii="仿宋_GB2312" w:hAnsi="仿宋_GB2312" w:eastAsia="仿宋_GB2312" w:cs="仿宋_GB2312"/>
          <w:sz w:val="32"/>
          <w:szCs w:val="32"/>
        </w:rPr>
        <w:t>万元，占</w:t>
      </w:r>
      <w:r>
        <w:rPr>
          <w:rFonts w:hint="eastAsia" w:ascii="仿宋_GB2312" w:hAnsi="仿宋_GB2312" w:cs="仿宋_GB2312"/>
          <w:sz w:val="32"/>
          <w:szCs w:val="32"/>
          <w:u w:val="single"/>
          <w:lang w:val="en-US" w:eastAsia="zh-CN"/>
        </w:rPr>
        <w:t>0</w:t>
      </w:r>
      <w:r>
        <w:rPr>
          <w:rFonts w:hint="eastAsia" w:ascii="仿宋_GB2312" w:hAnsi="仿宋_GB2312" w:eastAsia="仿宋_GB2312" w:cs="仿宋_GB2312"/>
          <w:sz w:val="32"/>
          <w:szCs w:val="32"/>
        </w:rPr>
        <w:t>%；财政专户管理资金结转结余</w:t>
      </w:r>
      <w:r>
        <w:rPr>
          <w:rFonts w:hint="eastAsia" w:ascii="仿宋_GB2312" w:hAnsi="仿宋_GB2312" w:cs="仿宋_GB2312"/>
          <w:sz w:val="32"/>
          <w:szCs w:val="32"/>
          <w:u w:val="single"/>
          <w:lang w:val="en-US" w:eastAsia="zh-CN"/>
        </w:rPr>
        <w:t>0</w:t>
      </w:r>
      <w:r>
        <w:rPr>
          <w:rFonts w:hint="eastAsia" w:ascii="仿宋_GB2312" w:hAnsi="仿宋_GB2312" w:eastAsia="仿宋_GB2312" w:cs="仿宋_GB2312"/>
          <w:sz w:val="32"/>
          <w:szCs w:val="32"/>
        </w:rPr>
        <w:t>万元，占</w:t>
      </w:r>
      <w:r>
        <w:rPr>
          <w:rFonts w:hint="eastAsia" w:ascii="仿宋_GB2312" w:hAnsi="仿宋_GB2312" w:cs="仿宋_GB2312"/>
          <w:sz w:val="32"/>
          <w:szCs w:val="32"/>
          <w:u w:val="single"/>
          <w:lang w:val="en-US" w:eastAsia="zh-CN"/>
        </w:rPr>
        <w:t>0</w:t>
      </w:r>
      <w:r>
        <w:rPr>
          <w:rFonts w:hint="eastAsia" w:ascii="仿宋_GB2312" w:hAnsi="仿宋_GB2312" w:eastAsia="仿宋_GB2312" w:cs="仿宋_GB2312"/>
          <w:sz w:val="32"/>
          <w:szCs w:val="32"/>
        </w:rPr>
        <w:t>%；单位资金结转</w:t>
      </w:r>
      <w:r>
        <w:rPr>
          <w:rFonts w:hint="eastAsia" w:ascii="仿宋_GB2312" w:hAnsi="仿宋_GB2312" w:cs="仿宋_GB2312"/>
          <w:sz w:val="32"/>
          <w:szCs w:val="32"/>
          <w:u w:val="single"/>
          <w:lang w:val="en-US" w:eastAsia="zh-CN"/>
        </w:rPr>
        <w:t>0</w:t>
      </w:r>
      <w:r>
        <w:rPr>
          <w:rFonts w:hint="eastAsia" w:ascii="仿宋_GB2312" w:hAnsi="仿宋_GB2312" w:eastAsia="仿宋_GB2312" w:cs="仿宋_GB2312"/>
          <w:sz w:val="32"/>
          <w:szCs w:val="32"/>
        </w:rPr>
        <w:t>万元，占</w:t>
      </w:r>
      <w:r>
        <w:rPr>
          <w:rFonts w:hint="eastAsia" w:ascii="仿宋_GB2312" w:hAnsi="仿宋_GB2312" w:cs="仿宋_GB2312"/>
          <w:sz w:val="32"/>
          <w:szCs w:val="32"/>
          <w:u w:val="single"/>
          <w:lang w:val="en-US" w:eastAsia="zh-CN"/>
        </w:rPr>
        <w:t>0</w:t>
      </w:r>
      <w:r>
        <w:rPr>
          <w:rFonts w:hint="eastAsia" w:ascii="仿宋_GB2312" w:hAnsi="仿宋_GB2312" w:eastAsia="仿宋_GB2312" w:cs="仿宋_GB2312"/>
          <w:sz w:val="32"/>
          <w:szCs w:val="32"/>
        </w:rPr>
        <w:t>%；用事业基金弥补收支差额</w:t>
      </w:r>
      <w:r>
        <w:rPr>
          <w:rFonts w:hint="eastAsia" w:ascii="仿宋_GB2312" w:hAnsi="仿宋_GB2312" w:cs="仿宋_GB2312"/>
          <w:sz w:val="32"/>
          <w:szCs w:val="32"/>
          <w:u w:val="single"/>
          <w:lang w:val="en-US" w:eastAsia="zh-CN"/>
        </w:rPr>
        <w:t>0</w:t>
      </w:r>
      <w:r>
        <w:rPr>
          <w:rFonts w:hint="eastAsia" w:ascii="仿宋_GB2312" w:hAnsi="仿宋_GB2312" w:eastAsia="仿宋_GB2312" w:cs="仿宋_GB2312"/>
          <w:sz w:val="32"/>
          <w:szCs w:val="32"/>
        </w:rPr>
        <w:t>万元，占</w:t>
      </w:r>
      <w:r>
        <w:rPr>
          <w:rFonts w:hint="eastAsia" w:ascii="仿宋_GB2312" w:hAnsi="仿宋_GB2312" w:cs="仿宋_GB2312"/>
          <w:sz w:val="32"/>
          <w:szCs w:val="32"/>
          <w:u w:val="single"/>
          <w:lang w:val="en-US" w:eastAsia="zh-CN"/>
        </w:rPr>
        <w:t>0</w:t>
      </w:r>
      <w:r>
        <w:rPr>
          <w:rFonts w:hint="eastAsia" w:ascii="仿宋_GB2312" w:hAnsi="仿宋_GB2312" w:eastAsia="仿宋_GB2312" w:cs="仿宋_GB2312"/>
          <w:sz w:val="32"/>
          <w:szCs w:val="32"/>
        </w:rPr>
        <w:t>%。</w:t>
      </w:r>
    </w:p>
    <w:p>
      <w:pPr>
        <w:ind w:firstLine="640" w:firstLineChars="200"/>
        <w:rPr>
          <w:rFonts w:eastAsia="楷体"/>
          <w:szCs w:val="30"/>
        </w:rPr>
      </w:pPr>
    </w:p>
    <w:p>
      <w:pPr>
        <w:ind w:firstLine="640" w:firstLineChars="200"/>
        <w:rPr>
          <w:rFonts w:eastAsia="楷体"/>
          <w:szCs w:val="30"/>
        </w:rPr>
      </w:pPr>
    </w:p>
    <w:p>
      <w:pPr>
        <w:ind w:firstLine="640" w:firstLineChars="200"/>
        <w:rPr>
          <w:rFonts w:eastAsia="楷体"/>
          <w:szCs w:val="30"/>
        </w:rPr>
      </w:pPr>
    </w:p>
    <w:p>
      <w:pPr>
        <w:ind w:firstLine="640" w:firstLineChars="200"/>
        <w:rPr>
          <w:rFonts w:hint="default" w:eastAsia="楷体"/>
          <w:szCs w:val="30"/>
          <w:lang w:val="en-US" w:eastAsia="zh-CN"/>
        </w:rPr>
      </w:pPr>
      <w:r>
        <w:rPr>
          <w:rFonts w:eastAsia="楷体"/>
          <w:szCs w:val="30"/>
        </w:rPr>
        <w:t>注：收入中包括的具体内容，按本部门《收入</w:t>
      </w:r>
      <w:r>
        <w:rPr>
          <w:rFonts w:hint="eastAsia" w:eastAsia="楷体"/>
          <w:szCs w:val="30"/>
        </w:rPr>
        <w:t>总</w:t>
      </w:r>
      <w:r>
        <w:rPr>
          <w:rFonts w:eastAsia="楷体"/>
          <w:szCs w:val="30"/>
        </w:rPr>
        <w:t>表》反映的实际情况取舍。</w:t>
      </w:r>
      <w:r>
        <w:rPr>
          <w:rFonts w:hint="eastAsia" w:eastAsia="楷体"/>
          <w:szCs w:val="30"/>
          <w:lang w:val="en-US" w:eastAsia="zh-CN"/>
        </w:rPr>
        <w:t>未涉及到的资金填“0”。</w:t>
      </w:r>
    </w:p>
    <w:p>
      <w:pPr>
        <w:ind w:firstLine="640" w:firstLineChars="200"/>
        <w:rPr>
          <w:rFonts w:hint="eastAsia" w:ascii="黑体" w:hAnsi="黑体" w:eastAsia="黑体" w:cs="黑体"/>
          <w:szCs w:val="32"/>
        </w:rPr>
      </w:pPr>
      <w:r>
        <w:rPr>
          <w:rFonts w:eastAsia="楷体"/>
          <w:szCs w:val="30"/>
        </w:rPr>
        <w:br w:type="page"/>
      </w:r>
      <w:r>
        <w:rPr>
          <w:rFonts w:hint="eastAsia" w:ascii="黑体" w:hAnsi="黑体" w:eastAsia="黑体" w:cs="黑体"/>
          <w:szCs w:val="32"/>
        </w:rPr>
        <w:t>三、</w:t>
      </w:r>
      <w:r>
        <w:rPr>
          <w:rFonts w:hint="eastAsia" w:ascii="黑体" w:hAnsi="黑体" w:eastAsia="黑体" w:cs="黑体"/>
          <w:szCs w:val="32"/>
          <w:lang w:eastAsia="zh-CN"/>
        </w:rPr>
        <w:t>2024</w:t>
      </w:r>
      <w:r>
        <w:rPr>
          <w:rFonts w:hint="eastAsia" w:ascii="黑体" w:hAnsi="黑体" w:eastAsia="黑体" w:cs="黑体"/>
          <w:szCs w:val="32"/>
        </w:rPr>
        <w:t>年支出预算情况</w:t>
      </w:r>
    </w:p>
    <w:p>
      <w:pPr>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年支出预算</w:t>
      </w:r>
      <w:r>
        <w:rPr>
          <w:rFonts w:hint="eastAsia" w:eastAsia="宋体"/>
          <w:kern w:val="0"/>
          <w:sz w:val="32"/>
          <w:szCs w:val="32"/>
          <w:u w:val="single"/>
        </w:rPr>
        <w:t>1790.87</w:t>
      </w:r>
      <w:r>
        <w:rPr>
          <w:rFonts w:hint="eastAsia" w:ascii="仿宋_GB2312" w:hAnsi="仿宋_GB2312" w:eastAsia="仿宋_GB2312" w:cs="仿宋_GB2312"/>
          <w:szCs w:val="32"/>
        </w:rPr>
        <w:t>万元，其中：基本支出</w:t>
      </w:r>
      <w:r>
        <w:rPr>
          <w:rFonts w:hint="eastAsia" w:ascii="仿宋_GB2312" w:hAnsi="仿宋_GB2312" w:cs="仿宋_GB2312"/>
          <w:szCs w:val="32"/>
          <w:u w:val="single"/>
          <w:lang w:val="en-US" w:eastAsia="zh-CN"/>
        </w:rPr>
        <w:t>1243.67</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69.4</w:t>
      </w:r>
      <w:r>
        <w:rPr>
          <w:rFonts w:hint="eastAsia" w:ascii="仿宋_GB2312" w:hAnsi="仿宋_GB2312" w:eastAsia="仿宋_GB2312" w:cs="仿宋_GB2312"/>
          <w:szCs w:val="32"/>
        </w:rPr>
        <w:t>%；项目支出</w:t>
      </w:r>
      <w:r>
        <w:rPr>
          <w:rFonts w:hint="eastAsia" w:ascii="仿宋_GB2312" w:hAnsi="仿宋_GB2312" w:cs="仿宋_GB2312"/>
          <w:szCs w:val="32"/>
          <w:u w:val="single"/>
          <w:lang w:val="en-US" w:eastAsia="zh-CN"/>
        </w:rPr>
        <w:t>547.20</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30.6</w:t>
      </w:r>
      <w:r>
        <w:rPr>
          <w:rFonts w:hint="eastAsia" w:ascii="仿宋_GB2312" w:hAnsi="仿宋_GB2312" w:eastAsia="仿宋_GB2312" w:cs="仿宋_GB2312"/>
          <w:szCs w:val="32"/>
        </w:rPr>
        <w:t>%；事业单位经营支出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%；上缴上级支出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%；对附属单位补助支出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w:t>
      </w:r>
    </w:p>
    <w:p>
      <w:pPr>
        <w:rPr>
          <w:szCs w:val="32"/>
        </w:rPr>
      </w:pPr>
    </w:p>
    <w:p>
      <w:pPr>
        <w:rPr>
          <w:szCs w:val="32"/>
        </w:rPr>
      </w:pPr>
    </w:p>
    <w:p>
      <w:pPr>
        <w:ind w:firstLine="600"/>
        <w:rPr>
          <w:rFonts w:eastAsia="楷体"/>
          <w:szCs w:val="32"/>
        </w:rPr>
      </w:pPr>
      <w:r>
        <w:rPr>
          <w:rFonts w:eastAsia="楷体"/>
          <w:szCs w:val="32"/>
        </w:rPr>
        <w:t>注：支出中包括的具体内容，按本部门《支出</w:t>
      </w:r>
      <w:r>
        <w:rPr>
          <w:rFonts w:hint="eastAsia" w:eastAsia="楷体"/>
          <w:szCs w:val="32"/>
        </w:rPr>
        <w:t>总</w:t>
      </w:r>
      <w:r>
        <w:rPr>
          <w:rFonts w:eastAsia="楷体"/>
          <w:szCs w:val="32"/>
        </w:rPr>
        <w:t>表》反映的实际情况取舍。</w:t>
      </w:r>
    </w:p>
    <w:p>
      <w:pPr>
        <w:ind w:firstLine="640" w:firstLineChars="200"/>
        <w:rPr>
          <w:rFonts w:hint="eastAsia" w:ascii="黑体" w:hAnsi="黑体" w:eastAsia="黑体" w:cs="黑体"/>
          <w:szCs w:val="32"/>
        </w:rPr>
      </w:pPr>
      <w:r>
        <w:rPr>
          <w:rFonts w:hint="eastAsia" w:ascii="黑体" w:hAnsi="黑体" w:eastAsia="黑体" w:cs="黑体"/>
          <w:szCs w:val="32"/>
        </w:rPr>
        <w:t>四、</w:t>
      </w:r>
      <w:r>
        <w:rPr>
          <w:rFonts w:hint="eastAsia" w:ascii="黑体" w:hAnsi="黑体" w:eastAsia="黑体" w:cs="黑体"/>
          <w:szCs w:val="32"/>
          <w:lang w:eastAsia="zh-CN"/>
        </w:rPr>
        <w:t>2024</w:t>
      </w:r>
      <w:r>
        <w:rPr>
          <w:rFonts w:hint="eastAsia" w:ascii="黑体" w:hAnsi="黑体" w:eastAsia="黑体" w:cs="黑体"/>
          <w:szCs w:val="32"/>
        </w:rPr>
        <w:t>年财政拨款收支预算情况</w:t>
      </w:r>
    </w:p>
    <w:p>
      <w:pPr>
        <w:ind w:firstLine="600"/>
        <w:rPr>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年财政拨款收支总预算</w:t>
      </w:r>
      <w:r>
        <w:rPr>
          <w:rFonts w:hint="eastAsia" w:eastAsia="宋体"/>
          <w:kern w:val="0"/>
          <w:sz w:val="32"/>
          <w:szCs w:val="32"/>
          <w:u w:val="single"/>
        </w:rPr>
        <w:t>1790.87</w:t>
      </w:r>
      <w:r>
        <w:rPr>
          <w:rFonts w:hint="eastAsia" w:ascii="仿宋_GB2312" w:hAnsi="仿宋_GB2312" w:eastAsia="仿宋_GB2312" w:cs="仿宋_GB2312"/>
          <w:szCs w:val="32"/>
        </w:rPr>
        <w:t>万元，其中：本年收入</w:t>
      </w:r>
      <w:r>
        <w:rPr>
          <w:rFonts w:hint="eastAsia" w:eastAsia="宋体"/>
          <w:kern w:val="0"/>
          <w:sz w:val="32"/>
          <w:szCs w:val="32"/>
          <w:u w:val="single"/>
        </w:rPr>
        <w:t>1790.87</w:t>
      </w:r>
      <w:r>
        <w:rPr>
          <w:rFonts w:hint="eastAsia" w:ascii="仿宋_GB2312" w:hAnsi="仿宋_GB2312" w:eastAsia="仿宋_GB2312" w:cs="仿宋_GB2312"/>
          <w:szCs w:val="32"/>
        </w:rPr>
        <w:t>万元，上年结转</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万元。支出包括：</w:t>
      </w:r>
      <w:r>
        <w:rPr>
          <w:rFonts w:hint="eastAsia" w:ascii="仿宋_GB2312" w:hAnsi="仿宋_GB2312" w:eastAsia="仿宋_GB2312" w:cs="仿宋_GB2312"/>
          <w:kern w:val="0"/>
          <w:szCs w:val="32"/>
        </w:rPr>
        <w:t>一般公共服务支出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国防支出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公共安全支出</w:t>
      </w:r>
      <w:r>
        <w:rPr>
          <w:rFonts w:hint="eastAsia" w:eastAsia="宋体"/>
          <w:kern w:val="0"/>
          <w:sz w:val="32"/>
          <w:szCs w:val="32"/>
          <w:u w:val="single"/>
          <w:lang w:val="en-US" w:eastAsia="zh-CN"/>
        </w:rPr>
        <w:t>1524.58</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教育支出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科学技术支出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文化旅游体育与传媒支出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社会保障和就业支出</w:t>
      </w:r>
      <w:r>
        <w:rPr>
          <w:rFonts w:hint="eastAsia" w:ascii="仿宋_GB2312" w:hAnsi="仿宋_GB2312" w:cs="仿宋_GB2312"/>
          <w:szCs w:val="32"/>
          <w:u w:val="single"/>
          <w:lang w:val="en-US" w:eastAsia="zh-CN"/>
        </w:rPr>
        <w:t>133.56</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社会保险基金支出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卫生健康支出</w:t>
      </w:r>
      <w:r>
        <w:rPr>
          <w:rFonts w:hint="eastAsia" w:ascii="仿宋_GB2312" w:hAnsi="仿宋_GB2312" w:cs="仿宋_GB2312"/>
          <w:szCs w:val="32"/>
          <w:u w:val="single"/>
          <w:lang w:val="en-US" w:eastAsia="zh-CN"/>
        </w:rPr>
        <w:t>52.11</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节能环保支出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城乡社区支出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农林水支出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交通运输支出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资源勘探信息等支出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商业服务业等支出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金融支出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援助其他地区支出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自然资源海洋气象等支出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住房保障支出</w:t>
      </w:r>
      <w:r>
        <w:rPr>
          <w:rFonts w:hint="eastAsia" w:ascii="仿宋_GB2312" w:hAnsi="仿宋_GB2312" w:cs="仿宋_GB2312"/>
          <w:szCs w:val="32"/>
          <w:u w:val="single"/>
          <w:lang w:val="en-US" w:eastAsia="zh-CN"/>
        </w:rPr>
        <w:t>80.63</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粮油物资储备支出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万元，灾害防治及应急管理支出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其他支出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结转下年支出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w:t>
      </w:r>
    </w:p>
    <w:p>
      <w:pPr>
        <w:ind w:firstLine="600"/>
        <w:rPr>
          <w:szCs w:val="32"/>
        </w:rPr>
      </w:pPr>
    </w:p>
    <w:p>
      <w:pPr>
        <w:ind w:firstLine="600"/>
        <w:rPr>
          <w:szCs w:val="32"/>
        </w:rPr>
      </w:pPr>
    </w:p>
    <w:p>
      <w:pPr>
        <w:ind w:firstLine="600"/>
        <w:rPr>
          <w:szCs w:val="32"/>
        </w:rPr>
      </w:pPr>
    </w:p>
    <w:p>
      <w:pPr>
        <w:ind w:firstLine="600"/>
        <w:rPr>
          <w:rFonts w:eastAsia="楷体"/>
          <w:szCs w:val="32"/>
        </w:rPr>
      </w:pPr>
      <w:r>
        <w:rPr>
          <w:rFonts w:eastAsia="楷体"/>
          <w:szCs w:val="32"/>
        </w:rPr>
        <w:t>注：财政拨款收支中包括的具体内容，按本部门《</w:t>
      </w:r>
      <w:r>
        <w:rPr>
          <w:rFonts w:hint="eastAsia" w:eastAsia="楷体"/>
          <w:szCs w:val="32"/>
        </w:rPr>
        <w:t>财政拨款收支总表</w:t>
      </w:r>
      <w:r>
        <w:rPr>
          <w:rFonts w:eastAsia="楷体"/>
          <w:szCs w:val="32"/>
        </w:rPr>
        <w:t>》反映的实际情况取舍。</w:t>
      </w:r>
      <w:r>
        <w:rPr>
          <w:rFonts w:hint="eastAsia" w:eastAsia="楷体"/>
          <w:szCs w:val="30"/>
          <w:lang w:val="en-US" w:eastAsia="zh-CN"/>
        </w:rPr>
        <w:t>未涉及到的资金填“0”。</w:t>
      </w:r>
    </w:p>
    <w:p>
      <w:pPr>
        <w:ind w:firstLine="640" w:firstLineChars="200"/>
        <w:rPr>
          <w:rFonts w:eastAsia="黑体"/>
          <w:szCs w:val="30"/>
        </w:rPr>
      </w:pPr>
      <w:r>
        <w:rPr>
          <w:rFonts w:hint="eastAsia" w:ascii="黑体" w:hAnsi="黑体" w:eastAsia="黑体" w:cs="黑体"/>
          <w:szCs w:val="30"/>
        </w:rPr>
        <w:t>五、</w:t>
      </w:r>
      <w:r>
        <w:rPr>
          <w:rFonts w:hint="eastAsia" w:ascii="黑体" w:hAnsi="黑体" w:eastAsia="黑体" w:cs="黑体"/>
          <w:szCs w:val="30"/>
          <w:lang w:eastAsia="zh-CN"/>
        </w:rPr>
        <w:t>2024</w:t>
      </w:r>
      <w:r>
        <w:rPr>
          <w:rFonts w:hint="eastAsia" w:ascii="黑体" w:hAnsi="黑体" w:eastAsia="黑体" w:cs="黑体"/>
          <w:szCs w:val="30"/>
        </w:rPr>
        <w:t>年一般公共预算支出情况</w:t>
      </w:r>
    </w:p>
    <w:p>
      <w:pPr>
        <w:spacing w:line="520" w:lineRule="exact"/>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年一般公共预算拨款</w:t>
      </w:r>
      <w:r>
        <w:rPr>
          <w:rFonts w:hint="eastAsia" w:eastAsia="宋体"/>
          <w:kern w:val="0"/>
          <w:sz w:val="32"/>
          <w:szCs w:val="32"/>
          <w:u w:val="single"/>
        </w:rPr>
        <w:t>1790.87</w:t>
      </w:r>
      <w:r>
        <w:rPr>
          <w:rFonts w:hint="eastAsia" w:ascii="仿宋_GB2312" w:hAnsi="仿宋_GB2312" w:eastAsia="仿宋_GB2312" w:cs="仿宋_GB2312"/>
          <w:szCs w:val="32"/>
        </w:rPr>
        <w:t>万元，其中：基本支出</w:t>
      </w:r>
      <w:r>
        <w:rPr>
          <w:rFonts w:hint="eastAsia" w:ascii="仿宋_GB2312" w:hAnsi="仿宋_GB2312" w:cs="仿宋_GB2312"/>
          <w:szCs w:val="32"/>
          <w:u w:val="single"/>
          <w:lang w:val="en-US" w:eastAsia="zh-CN"/>
        </w:rPr>
        <w:t>1243.67</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69.4</w:t>
      </w:r>
      <w:r>
        <w:rPr>
          <w:rFonts w:hint="eastAsia" w:ascii="仿宋_GB2312" w:hAnsi="仿宋_GB2312" w:eastAsia="仿宋_GB2312" w:cs="仿宋_GB2312"/>
          <w:szCs w:val="32"/>
        </w:rPr>
        <w:t>%；项目支出</w:t>
      </w:r>
      <w:r>
        <w:rPr>
          <w:rFonts w:hint="eastAsia" w:ascii="仿宋_GB2312" w:hAnsi="仿宋_GB2312" w:cs="仿宋_GB2312"/>
          <w:szCs w:val="32"/>
          <w:u w:val="single"/>
          <w:lang w:val="en-US" w:eastAsia="zh-CN"/>
        </w:rPr>
        <w:t>547.20</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30.60</w:t>
      </w:r>
      <w:r>
        <w:rPr>
          <w:rFonts w:hint="eastAsia" w:ascii="仿宋_GB2312" w:hAnsi="仿宋_GB2312" w:eastAsia="仿宋_GB2312" w:cs="仿宋_GB2312"/>
          <w:szCs w:val="32"/>
        </w:rPr>
        <w:t>%。基本支出中，人员经费</w:t>
      </w:r>
      <w:r>
        <w:rPr>
          <w:rFonts w:hint="eastAsia" w:ascii="仿宋_GB2312" w:hAnsi="仿宋_GB2312" w:cs="仿宋_GB2312"/>
          <w:szCs w:val="32"/>
          <w:u w:val="single"/>
          <w:lang w:val="en-US" w:eastAsia="zh-CN"/>
        </w:rPr>
        <w:t>266.30</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21.4</w:t>
      </w:r>
      <w:r>
        <w:rPr>
          <w:rFonts w:hint="eastAsia" w:ascii="仿宋_GB2312" w:hAnsi="仿宋_GB2312" w:eastAsia="仿宋_GB2312" w:cs="仿宋_GB2312"/>
          <w:szCs w:val="32"/>
        </w:rPr>
        <w:t>%；公用经费</w:t>
      </w:r>
      <w:r>
        <w:rPr>
          <w:rFonts w:hint="eastAsia" w:ascii="仿宋_GB2312" w:hAnsi="仿宋_GB2312" w:cs="仿宋_GB2312"/>
          <w:szCs w:val="32"/>
          <w:u w:val="single"/>
          <w:lang w:val="en-US" w:eastAsia="zh-CN"/>
        </w:rPr>
        <w:t>977.38</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78.6</w:t>
      </w:r>
      <w:r>
        <w:rPr>
          <w:rFonts w:hint="eastAsia" w:ascii="仿宋_GB2312" w:hAnsi="仿宋_GB2312" w:eastAsia="仿宋_GB2312" w:cs="仿宋_GB2312"/>
          <w:szCs w:val="32"/>
        </w:rPr>
        <w:t>%。</w:t>
      </w:r>
    </w:p>
    <w:p>
      <w:pPr>
        <w:spacing w:line="520" w:lineRule="exact"/>
        <w:ind w:firstLine="200"/>
        <w:rPr>
          <w:rFonts w:hint="eastAsia" w:ascii="仿宋_GB2312" w:hAnsi="仿宋_GB2312" w:cs="仿宋_GB2312"/>
          <w:szCs w:val="32"/>
          <w:lang w:eastAsia="zh-CN"/>
        </w:rPr>
      </w:pP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一般公共服务（类）支出</w:t>
      </w:r>
      <w:r>
        <w:rPr>
          <w:rFonts w:hint="eastAsia" w:eastAsia="宋体"/>
          <w:kern w:val="0"/>
          <w:sz w:val="32"/>
          <w:szCs w:val="32"/>
          <w:u w:val="single"/>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%，主要用于</w:t>
      </w:r>
      <w:r>
        <w:rPr>
          <w:rFonts w:hint="eastAsia" w:ascii="仿宋_GB2312" w:hAnsi="仿宋_GB2312" w:cs="仿宋_GB2312"/>
          <w:szCs w:val="32"/>
          <w:lang w:val="en-US" w:eastAsia="zh-CN"/>
        </w:rPr>
        <w:t>_________。</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国防（类）支出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%，主要用于_____________________。</w:t>
      </w:r>
    </w:p>
    <w:p>
      <w:pPr>
        <w:spacing w:line="520" w:lineRule="exact"/>
        <w:ind w:firstLine="200"/>
        <w:rPr>
          <w:rFonts w:hint="eastAsia" w:ascii="仿宋_GB2312" w:hAnsi="仿宋_GB2312" w:eastAsia="仿宋_GB2312" w:cs="仿宋_GB2312"/>
          <w:szCs w:val="32"/>
        </w:rPr>
      </w:pPr>
      <w:r>
        <w:rPr>
          <w:rFonts w:hint="eastAsia" w:ascii="仿宋_GB2312" w:hAnsi="仿宋_GB2312" w:cs="仿宋_GB2312"/>
          <w:szCs w:val="32"/>
          <w:lang w:eastAsia="zh-CN"/>
        </w:rPr>
        <w:t>公共安全</w:t>
      </w:r>
      <w:r>
        <w:rPr>
          <w:rFonts w:hint="eastAsia" w:ascii="仿宋_GB2312" w:hAnsi="仿宋_GB2312" w:eastAsia="仿宋_GB2312" w:cs="仿宋_GB2312"/>
          <w:szCs w:val="32"/>
        </w:rPr>
        <w:t>支出</w:t>
      </w:r>
      <w:r>
        <w:rPr>
          <w:rFonts w:hint="eastAsia" w:eastAsia="宋体"/>
          <w:kern w:val="0"/>
          <w:sz w:val="32"/>
          <w:szCs w:val="32"/>
          <w:u w:val="single"/>
          <w:lang w:val="en-US" w:eastAsia="zh-CN"/>
        </w:rPr>
        <w:t>1524.58</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85.1</w:t>
      </w:r>
      <w:r>
        <w:rPr>
          <w:rFonts w:hint="eastAsia" w:ascii="仿宋_GB2312" w:hAnsi="仿宋_GB2312" w:eastAsia="仿宋_GB2312" w:cs="仿宋_GB2312"/>
          <w:szCs w:val="32"/>
        </w:rPr>
        <w:t>%，主要用于</w:t>
      </w:r>
      <w:r>
        <w:rPr>
          <w:rFonts w:hint="eastAsia" w:ascii="仿宋_GB2312" w:hAnsi="仿宋_GB2312" w:cs="仿宋_GB2312"/>
          <w:szCs w:val="32"/>
          <w:u w:val="single"/>
          <w:lang w:val="en-US" w:eastAsia="zh-CN"/>
        </w:rPr>
        <w:t>公共安全支出</w:t>
      </w:r>
      <w:r>
        <w:rPr>
          <w:rFonts w:hint="eastAsia" w:ascii="仿宋_GB2312" w:hAnsi="仿宋_GB2312" w:eastAsia="仿宋_GB2312" w:cs="仿宋_GB2312"/>
          <w:szCs w:val="32"/>
        </w:rPr>
        <w:t>。</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教育（类）支出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%，主要用于_____________________。</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科学技术（类）支出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%，主要用于_____________________。</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文化旅游体育与传媒（类）支出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%，主要用于_____________________。</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社会保障和就业（类）支出</w:t>
      </w:r>
      <w:r>
        <w:rPr>
          <w:rFonts w:hint="eastAsia" w:ascii="仿宋_GB2312" w:hAnsi="仿宋_GB2312" w:cs="仿宋_GB2312"/>
          <w:szCs w:val="32"/>
          <w:u w:val="single"/>
          <w:lang w:val="en-US" w:eastAsia="zh-CN"/>
        </w:rPr>
        <w:t>133.56</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7.5</w:t>
      </w:r>
      <w:r>
        <w:rPr>
          <w:rFonts w:hint="eastAsia" w:ascii="仿宋_GB2312" w:hAnsi="仿宋_GB2312" w:eastAsia="仿宋_GB2312" w:cs="仿宋_GB2312"/>
          <w:szCs w:val="32"/>
        </w:rPr>
        <w:t>%，主要用于</w:t>
      </w:r>
      <w:r>
        <w:rPr>
          <w:rFonts w:hint="eastAsia" w:ascii="仿宋_GB2312" w:hAnsi="仿宋_GB2312" w:cs="仿宋_GB2312"/>
          <w:szCs w:val="32"/>
          <w:u w:val="single"/>
          <w:lang w:eastAsia="zh-CN"/>
        </w:rPr>
        <w:t>社会保障</w:t>
      </w:r>
      <w:r>
        <w:rPr>
          <w:rFonts w:hint="eastAsia" w:ascii="仿宋_GB2312" w:hAnsi="仿宋_GB2312" w:eastAsia="仿宋_GB2312" w:cs="仿宋_GB2312"/>
          <w:szCs w:val="32"/>
        </w:rPr>
        <w:t>。</w:t>
      </w:r>
    </w:p>
    <w:p>
      <w:pPr>
        <w:spacing w:line="520" w:lineRule="exact"/>
        <w:ind w:firstLine="200"/>
        <w:rPr>
          <w:rFonts w:hint="eastAsia" w:ascii="仿宋_GB2312" w:hAnsi="仿宋_GB2312" w:eastAsia="仿宋_GB2312" w:cs="仿宋_GB2312"/>
          <w:szCs w:val="32"/>
        </w:rPr>
      </w:pPr>
      <w:r>
        <w:rPr>
          <w:rFonts w:hint="eastAsia" w:ascii="仿宋_GB2312" w:hAnsi="仿宋_GB2312" w:cs="仿宋_GB2312"/>
          <w:szCs w:val="32"/>
          <w:lang w:eastAsia="zh-CN"/>
        </w:rPr>
        <w:t>卫生健康</w:t>
      </w:r>
      <w:r>
        <w:rPr>
          <w:rFonts w:hint="eastAsia" w:ascii="仿宋_GB2312" w:hAnsi="仿宋_GB2312" w:eastAsia="仿宋_GB2312" w:cs="仿宋_GB2312"/>
          <w:szCs w:val="32"/>
        </w:rPr>
        <w:t>（类）支出</w:t>
      </w:r>
      <w:r>
        <w:rPr>
          <w:rFonts w:hint="eastAsia" w:ascii="仿宋_GB2312" w:hAnsi="仿宋_GB2312" w:cs="仿宋_GB2312"/>
          <w:szCs w:val="32"/>
          <w:u w:val="single"/>
          <w:lang w:val="en-US" w:eastAsia="zh-CN"/>
        </w:rPr>
        <w:t>52.11</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3.0</w:t>
      </w:r>
      <w:r>
        <w:rPr>
          <w:rFonts w:hint="eastAsia" w:ascii="仿宋_GB2312" w:hAnsi="仿宋_GB2312" w:eastAsia="仿宋_GB2312" w:cs="仿宋_GB2312"/>
          <w:szCs w:val="32"/>
        </w:rPr>
        <w:t>%，主要用于</w:t>
      </w:r>
      <w:r>
        <w:rPr>
          <w:rFonts w:hint="eastAsia" w:ascii="仿宋_GB2312" w:hAnsi="仿宋_GB2312" w:cs="仿宋_GB2312"/>
          <w:szCs w:val="32"/>
          <w:u w:val="single"/>
          <w:lang w:eastAsia="zh-CN"/>
        </w:rPr>
        <w:t>医疗保障</w:t>
      </w:r>
      <w:r>
        <w:rPr>
          <w:rFonts w:hint="eastAsia" w:ascii="仿宋_GB2312" w:hAnsi="仿宋_GB2312" w:eastAsia="仿宋_GB2312" w:cs="仿宋_GB2312"/>
          <w:szCs w:val="32"/>
        </w:rPr>
        <w:t>。</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农林水支出（类）支出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%，主要用于_____________________。</w:t>
      </w:r>
    </w:p>
    <w:p>
      <w:pPr>
        <w:spacing w:line="520" w:lineRule="exact"/>
        <w:ind w:firstLine="200"/>
        <w:rPr>
          <w:rFonts w:hint="eastAsia"/>
          <w:szCs w:val="32"/>
        </w:rPr>
      </w:pPr>
      <w:r>
        <w:rPr>
          <w:rFonts w:hint="eastAsia" w:ascii="仿宋_GB2312" w:hAnsi="仿宋_GB2312" w:eastAsia="仿宋_GB2312" w:cs="仿宋_GB2312"/>
          <w:szCs w:val="32"/>
        </w:rPr>
        <w:t>住房保障（类）支出</w:t>
      </w:r>
      <w:r>
        <w:rPr>
          <w:rFonts w:hint="eastAsia" w:ascii="仿宋_GB2312" w:hAnsi="仿宋_GB2312" w:cs="仿宋_GB2312"/>
          <w:szCs w:val="32"/>
          <w:u w:val="single"/>
          <w:lang w:val="en-US" w:eastAsia="zh-CN"/>
        </w:rPr>
        <w:t>80.63</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4.4</w:t>
      </w:r>
      <w:r>
        <w:rPr>
          <w:rFonts w:hint="eastAsia" w:ascii="仿宋_GB2312" w:hAnsi="仿宋_GB2312" w:eastAsia="仿宋_GB2312" w:cs="仿宋_GB2312"/>
          <w:szCs w:val="32"/>
        </w:rPr>
        <w:t>%，主要用于</w:t>
      </w:r>
      <w:r>
        <w:rPr>
          <w:rFonts w:hint="eastAsia" w:ascii="仿宋_GB2312" w:hAnsi="仿宋_GB2312" w:cs="仿宋_GB2312"/>
          <w:szCs w:val="32"/>
          <w:u w:val="single"/>
          <w:lang w:eastAsia="zh-CN"/>
        </w:rPr>
        <w:t>住房公积金的支出</w:t>
      </w:r>
      <w:r>
        <w:rPr>
          <w:rFonts w:hint="eastAsia" w:ascii="仿宋_GB2312" w:hAnsi="仿宋_GB2312" w:eastAsia="仿宋_GB2312" w:cs="仿宋_GB2312"/>
          <w:szCs w:val="32"/>
        </w:rPr>
        <w:t>。</w:t>
      </w:r>
    </w:p>
    <w:p>
      <w:pPr>
        <w:spacing w:line="520" w:lineRule="exact"/>
        <w:ind w:firstLine="640" w:firstLineChars="200"/>
        <w:rPr>
          <w:rFonts w:eastAsia="楷体"/>
          <w:szCs w:val="32"/>
        </w:rPr>
      </w:pPr>
      <w:r>
        <w:rPr>
          <w:rFonts w:eastAsia="楷体"/>
          <w:szCs w:val="32"/>
        </w:rPr>
        <w:t>注：一般公共预算拨款中包括的具体内容，按本部门《</w:t>
      </w:r>
      <w:r>
        <w:rPr>
          <w:rFonts w:hint="eastAsia" w:eastAsia="楷体"/>
          <w:szCs w:val="32"/>
        </w:rPr>
        <w:t>一般公共预算支出表</w:t>
      </w:r>
      <w:r>
        <w:rPr>
          <w:rFonts w:eastAsia="楷体"/>
          <w:szCs w:val="32"/>
        </w:rPr>
        <w:t>》反映的实际情况取舍。没有一般公共预算拨款的，直接表述为“本部门无一般公共预算拨款”</w:t>
      </w:r>
      <w:r>
        <w:rPr>
          <w:rFonts w:hint="eastAsia" w:eastAsia="楷体"/>
          <w:szCs w:val="32"/>
        </w:rPr>
        <w:t>，不得直接删除</w:t>
      </w:r>
      <w:r>
        <w:rPr>
          <w:rFonts w:eastAsia="楷体"/>
          <w:szCs w:val="32"/>
        </w:rPr>
        <w:t>。</w:t>
      </w:r>
    </w:p>
    <w:p>
      <w:pPr>
        <w:spacing w:line="520" w:lineRule="exact"/>
        <w:ind w:firstLine="640" w:firstLineChars="200"/>
        <w:rPr>
          <w:rFonts w:hint="eastAsia" w:ascii="黑体" w:hAnsi="黑体" w:eastAsia="黑体" w:cs="黑体"/>
          <w:szCs w:val="32"/>
        </w:rPr>
      </w:pPr>
      <w:r>
        <w:rPr>
          <w:rFonts w:hint="eastAsia" w:ascii="黑体" w:hAnsi="黑体" w:eastAsia="黑体" w:cs="黑体"/>
          <w:szCs w:val="32"/>
        </w:rPr>
        <w:t>六、</w:t>
      </w:r>
      <w:r>
        <w:rPr>
          <w:rFonts w:hint="eastAsia" w:ascii="黑体" w:hAnsi="黑体" w:eastAsia="黑体" w:cs="黑体"/>
          <w:szCs w:val="32"/>
          <w:lang w:eastAsia="zh-CN"/>
        </w:rPr>
        <w:t>2024</w:t>
      </w:r>
      <w:r>
        <w:rPr>
          <w:rFonts w:hint="eastAsia" w:ascii="黑体" w:hAnsi="黑体" w:eastAsia="黑体" w:cs="黑体"/>
          <w:szCs w:val="32"/>
        </w:rPr>
        <w:t>年一般公共预算基本支出情况</w:t>
      </w:r>
    </w:p>
    <w:p>
      <w:pPr>
        <w:ind w:firstLine="64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年一般公共预算基本支出</w:t>
      </w:r>
      <w:r>
        <w:rPr>
          <w:rFonts w:hint="eastAsia" w:eastAsia="宋体"/>
          <w:kern w:val="0"/>
          <w:sz w:val="32"/>
          <w:szCs w:val="32"/>
          <w:u w:val="single"/>
          <w:lang w:val="en-US" w:eastAsia="zh-CN"/>
        </w:rPr>
        <w:t>1243.67</w:t>
      </w:r>
      <w:r>
        <w:rPr>
          <w:rFonts w:hint="eastAsia" w:ascii="仿宋_GB2312" w:hAnsi="仿宋_GB2312" w:eastAsia="仿宋_GB2312" w:cs="仿宋_GB2312"/>
          <w:szCs w:val="32"/>
        </w:rPr>
        <w:t>万元，其中：</w:t>
      </w:r>
    </w:p>
    <w:p>
      <w:pPr>
        <w:ind w:firstLine="640" w:firstLineChars="200"/>
        <w:rPr>
          <w:rFonts w:hint="eastAsia" w:ascii="仿宋_GB2312" w:hAnsi="仿宋_GB2312" w:eastAsia="仿宋_GB2312" w:cs="仿宋_GB2312"/>
          <w:kern w:val="0"/>
          <w:szCs w:val="32"/>
        </w:rPr>
      </w:pPr>
      <w:r>
        <w:rPr>
          <w:rFonts w:hint="eastAsia" w:ascii="仿宋_GB2312" w:hAnsi="仿宋_GB2312" w:eastAsia="仿宋_GB2312" w:cs="仿宋_GB2312"/>
          <w:szCs w:val="32"/>
        </w:rPr>
        <w:t>人员经费</w:t>
      </w:r>
      <w:r>
        <w:rPr>
          <w:rFonts w:hint="eastAsia" w:ascii="仿宋_GB2312" w:hAnsi="仿宋_GB2312" w:cs="仿宋_GB2312"/>
          <w:szCs w:val="32"/>
          <w:u w:val="single"/>
          <w:lang w:val="en-US" w:eastAsia="zh-CN"/>
        </w:rPr>
        <w:t>1047.11</w:t>
      </w:r>
      <w:r>
        <w:rPr>
          <w:rFonts w:hint="eastAsia" w:ascii="仿宋_GB2312" w:hAnsi="仿宋_GB2312" w:eastAsia="仿宋_GB2312" w:cs="仿宋_GB2312"/>
          <w:szCs w:val="32"/>
        </w:rPr>
        <w:t>万元，主要包括：</w:t>
      </w:r>
      <w:r>
        <w:rPr>
          <w:rFonts w:hint="eastAsia" w:ascii="仿宋_GB2312" w:hAnsi="仿宋_GB2312" w:eastAsia="仿宋_GB2312" w:cs="仿宋_GB2312"/>
          <w:kern w:val="0"/>
          <w:szCs w:val="32"/>
        </w:rPr>
        <w:t>基本工资、津贴补贴</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奖金</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社会保障缴费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其他工资福利支出</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离休费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退休费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抚恤金</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生活补助</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助学金</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住房公积金</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采暖补贴</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其他对个人和家庭的补助支出。</w:t>
      </w:r>
    </w:p>
    <w:p>
      <w:pPr>
        <w:ind w:firstLine="640" w:firstLineChars="200"/>
        <w:rPr>
          <w:szCs w:val="32"/>
        </w:rPr>
      </w:pPr>
      <w:r>
        <w:rPr>
          <w:rFonts w:hint="eastAsia" w:ascii="仿宋_GB2312" w:hAnsi="仿宋_GB2312" w:eastAsia="仿宋_GB2312" w:cs="仿宋_GB2312"/>
          <w:kern w:val="0"/>
          <w:szCs w:val="32"/>
        </w:rPr>
        <w:t>公用经费</w:t>
      </w:r>
      <w:r>
        <w:rPr>
          <w:rFonts w:hint="eastAsia" w:ascii="仿宋_GB2312" w:hAnsi="仿宋_GB2312" w:cs="仿宋_GB2312"/>
          <w:szCs w:val="32"/>
          <w:u w:val="single"/>
          <w:lang w:val="en-US" w:eastAsia="zh-CN"/>
        </w:rPr>
        <w:t>196.56</w:t>
      </w:r>
      <w:r>
        <w:rPr>
          <w:rFonts w:hint="eastAsia" w:ascii="仿宋_GB2312" w:hAnsi="仿宋_GB2312" w:eastAsia="仿宋_GB2312" w:cs="仿宋_GB2312"/>
          <w:szCs w:val="32"/>
        </w:rPr>
        <w:t>万元，主要包括：</w:t>
      </w:r>
      <w:r>
        <w:rPr>
          <w:rFonts w:hint="eastAsia" w:ascii="仿宋_GB2312" w:hAnsi="仿宋_GB2312" w:eastAsia="仿宋_GB2312" w:cs="仿宋_GB2312"/>
          <w:kern w:val="0"/>
          <w:szCs w:val="32"/>
        </w:rPr>
        <w:t>办公费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印刷费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水费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电费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邮电费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取暖费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物业管理费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差旅费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维修（护）费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会议费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培训费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公务接待费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工会经费、福利费</w:t>
      </w:r>
      <w:r>
        <w:rPr>
          <w:rFonts w:hint="eastAsia" w:ascii="仿宋_GB2312" w:hAnsi="仿宋_GB2312" w:eastAsia="仿宋_GB2312" w:cs="仿宋_GB2312"/>
          <w:szCs w:val="32"/>
        </w:rPr>
        <w:t>、公</w:t>
      </w:r>
      <w:r>
        <w:rPr>
          <w:rFonts w:hint="eastAsia" w:ascii="仿宋_GB2312" w:hAnsi="仿宋_GB2312" w:eastAsia="仿宋_GB2312" w:cs="仿宋_GB2312"/>
          <w:kern w:val="0"/>
          <w:szCs w:val="32"/>
        </w:rPr>
        <w:t>务用车运行维护费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其他交通补助</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其他商品和服务支出。</w:t>
      </w:r>
    </w:p>
    <w:p>
      <w:pPr>
        <w:ind w:firstLine="640" w:firstLineChars="200"/>
        <w:rPr>
          <w:szCs w:val="32"/>
        </w:rPr>
      </w:pPr>
    </w:p>
    <w:p>
      <w:pPr>
        <w:ind w:firstLine="640" w:firstLineChars="200"/>
        <w:rPr>
          <w:szCs w:val="32"/>
        </w:rPr>
      </w:pPr>
    </w:p>
    <w:p>
      <w:pPr>
        <w:ind w:firstLine="640" w:firstLineChars="200"/>
        <w:rPr>
          <w:szCs w:val="32"/>
        </w:rPr>
      </w:pPr>
    </w:p>
    <w:p>
      <w:pPr>
        <w:ind w:firstLine="640" w:firstLineChars="200"/>
        <w:rPr>
          <w:szCs w:val="32"/>
        </w:rPr>
      </w:pPr>
    </w:p>
    <w:p>
      <w:pPr>
        <w:ind w:firstLine="640" w:firstLineChars="200"/>
        <w:rPr>
          <w:szCs w:val="32"/>
        </w:rPr>
      </w:pPr>
    </w:p>
    <w:p>
      <w:pPr>
        <w:ind w:firstLine="640" w:firstLineChars="200"/>
        <w:rPr>
          <w:szCs w:val="32"/>
        </w:rPr>
      </w:pPr>
    </w:p>
    <w:p>
      <w:pPr>
        <w:ind w:firstLine="640" w:firstLineChars="200"/>
        <w:rPr>
          <w:szCs w:val="32"/>
        </w:rPr>
      </w:pPr>
    </w:p>
    <w:p>
      <w:pPr>
        <w:ind w:firstLine="640" w:firstLineChars="200"/>
        <w:rPr>
          <w:rFonts w:eastAsia="楷体"/>
          <w:szCs w:val="32"/>
        </w:rPr>
      </w:pPr>
      <w:r>
        <w:rPr>
          <w:rFonts w:eastAsia="楷体"/>
          <w:szCs w:val="32"/>
        </w:rPr>
        <w:t>注：一般公共预算基本支出中包括的具体内容，按本部门《</w:t>
      </w:r>
      <w:r>
        <w:rPr>
          <w:rFonts w:hint="eastAsia" w:eastAsia="楷体"/>
          <w:szCs w:val="32"/>
        </w:rPr>
        <w:t>一般公共预算基本支出表</w:t>
      </w:r>
      <w:r>
        <w:rPr>
          <w:rFonts w:eastAsia="楷体"/>
          <w:szCs w:val="32"/>
        </w:rPr>
        <w:t>》反映的</w:t>
      </w:r>
      <w:r>
        <w:rPr>
          <w:rFonts w:hint="eastAsia" w:eastAsia="楷体"/>
          <w:szCs w:val="32"/>
        </w:rPr>
        <w:t>基本支出</w:t>
      </w:r>
      <w:r>
        <w:rPr>
          <w:rFonts w:eastAsia="楷体"/>
          <w:szCs w:val="32"/>
        </w:rPr>
        <w:t>实际情况取舍。没有一般公共预算拨款的，直接表述为“本部门无一般公共预算拨款”</w:t>
      </w:r>
      <w:r>
        <w:rPr>
          <w:rFonts w:hint="eastAsia" w:eastAsia="楷体"/>
          <w:szCs w:val="32"/>
        </w:rPr>
        <w:t>，不得直接删除</w:t>
      </w:r>
      <w:r>
        <w:rPr>
          <w:rFonts w:eastAsia="楷体"/>
          <w:szCs w:val="32"/>
        </w:rPr>
        <w:t>。</w:t>
      </w:r>
    </w:p>
    <w:p>
      <w:pPr>
        <w:ind w:firstLine="640" w:firstLineChars="200"/>
        <w:rPr>
          <w:rFonts w:eastAsia="黑体"/>
          <w:szCs w:val="30"/>
        </w:rPr>
      </w:pPr>
      <w:r>
        <w:rPr>
          <w:rFonts w:hint="eastAsia" w:ascii="黑体" w:hAnsi="黑体" w:eastAsia="黑体" w:cs="黑体"/>
          <w:szCs w:val="30"/>
        </w:rPr>
        <w:t>七、</w:t>
      </w:r>
      <w:r>
        <w:rPr>
          <w:rFonts w:hint="eastAsia" w:ascii="黑体" w:hAnsi="黑体" w:eastAsia="黑体" w:cs="黑体"/>
          <w:szCs w:val="30"/>
          <w:lang w:eastAsia="zh-CN"/>
        </w:rPr>
        <w:t>2024</w:t>
      </w:r>
      <w:r>
        <w:rPr>
          <w:rFonts w:hint="eastAsia" w:ascii="黑体" w:hAnsi="黑体" w:eastAsia="黑体" w:cs="黑体"/>
          <w:szCs w:val="30"/>
        </w:rPr>
        <w:t>年一般公共预算财政拨款“三公”经费情况</w:t>
      </w:r>
    </w:p>
    <w:p>
      <w:pPr>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年“三公”经费预算数为</w:t>
      </w:r>
      <w:r>
        <w:rPr>
          <w:rFonts w:hint="eastAsia" w:ascii="仿宋_GB2312" w:hAnsi="仿宋_GB2312" w:cs="仿宋_GB2312"/>
          <w:szCs w:val="32"/>
          <w:u w:val="single"/>
          <w:lang w:val="en-US" w:eastAsia="zh-CN"/>
        </w:rPr>
        <w:t>190</w:t>
      </w:r>
      <w:r>
        <w:rPr>
          <w:rFonts w:hint="eastAsia" w:ascii="仿宋_GB2312" w:hAnsi="仿宋_GB2312" w:eastAsia="仿宋_GB2312" w:cs="仿宋_GB2312"/>
          <w:szCs w:val="32"/>
        </w:rPr>
        <w:t>万元，</w:t>
      </w:r>
      <w:r>
        <w:rPr>
          <w:rFonts w:hint="eastAsia" w:ascii="仿宋_GB2312" w:hAnsi="仿宋_GB2312" w:eastAsia="仿宋_GB2312" w:cs="仿宋_GB2312"/>
          <w:szCs w:val="32"/>
          <w:lang w:eastAsia="zh-CN"/>
        </w:rPr>
        <w:t>其中</w:t>
      </w:r>
      <w:r>
        <w:rPr>
          <w:rFonts w:hint="eastAsia" w:ascii="仿宋_GB2312" w:hAnsi="仿宋_GB2312" w:eastAsia="仿宋_GB2312" w:cs="仿宋_GB2312"/>
          <w:szCs w:val="32"/>
          <w:lang w:val="en-US" w:eastAsia="zh-CN"/>
        </w:rPr>
        <w:t>:</w:t>
      </w:r>
      <w:r>
        <w:rPr>
          <w:rFonts w:hint="eastAsia" w:ascii="仿宋_GB2312" w:hAnsi="仿宋_GB2312" w:eastAsia="仿宋_GB2312" w:cs="仿宋_GB2312"/>
          <w:szCs w:val="32"/>
          <w:lang w:eastAsia="zh-CN"/>
        </w:rPr>
        <w:t>当年预算</w:t>
      </w:r>
      <w:r>
        <w:rPr>
          <w:rFonts w:hint="eastAsia" w:ascii="仿宋_GB2312" w:hAnsi="仿宋_GB2312" w:cs="仿宋_GB2312"/>
          <w:szCs w:val="32"/>
          <w:u w:val="single"/>
          <w:lang w:val="en-US" w:eastAsia="zh-CN"/>
        </w:rPr>
        <w:t>190</w:t>
      </w:r>
      <w:r>
        <w:rPr>
          <w:rFonts w:hint="eastAsia" w:ascii="仿宋_GB2312" w:hAnsi="仿宋_GB2312" w:eastAsia="仿宋_GB2312" w:cs="仿宋_GB2312"/>
          <w:szCs w:val="32"/>
          <w:lang w:eastAsia="zh-CN"/>
        </w:rPr>
        <w:t>万元；上年结转</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年当年预算数</w:t>
      </w:r>
      <w:r>
        <w:rPr>
          <w:rFonts w:hint="eastAsia" w:ascii="仿宋_GB2312" w:hAnsi="仿宋_GB2312" w:eastAsia="仿宋_GB2312" w:cs="仿宋_GB2312"/>
          <w:szCs w:val="32"/>
        </w:rPr>
        <w:t>比</w:t>
      </w:r>
      <w:r>
        <w:rPr>
          <w:rFonts w:hint="eastAsia" w:ascii="仿宋_GB2312" w:hAnsi="仿宋_GB2312" w:cs="仿宋_GB2312"/>
          <w:szCs w:val="32"/>
          <w:lang w:eastAsia="zh-CN"/>
        </w:rPr>
        <w:t>202</w:t>
      </w:r>
      <w:r>
        <w:rPr>
          <w:rFonts w:hint="eastAsia" w:ascii="仿宋_GB2312" w:hAnsi="仿宋_GB2312" w:cs="仿宋_GB2312"/>
          <w:szCs w:val="32"/>
          <w:lang w:val="en-US" w:eastAsia="zh-CN"/>
        </w:rPr>
        <w:t>3</w:t>
      </w:r>
      <w:r>
        <w:rPr>
          <w:rFonts w:hint="eastAsia" w:ascii="仿宋_GB2312" w:hAnsi="仿宋_GB2312" w:eastAsia="仿宋_GB2312" w:cs="仿宋_GB2312"/>
          <w:szCs w:val="32"/>
        </w:rPr>
        <w:t>年预算数增加</w:t>
      </w:r>
      <w:r>
        <w:rPr>
          <w:rFonts w:hint="eastAsia" w:ascii="仿宋_GB2312" w:hAnsi="仿宋_GB2312" w:cs="仿宋_GB2312"/>
          <w:szCs w:val="32"/>
          <w:u w:val="single"/>
          <w:lang w:val="en-US" w:eastAsia="zh-CN"/>
        </w:rPr>
        <w:t>190</w:t>
      </w:r>
      <w:r>
        <w:rPr>
          <w:rFonts w:hint="eastAsia" w:ascii="仿宋_GB2312" w:hAnsi="仿宋_GB2312" w:eastAsia="仿宋_GB2312" w:cs="仿宋_GB2312"/>
          <w:szCs w:val="32"/>
        </w:rPr>
        <w:t>万元。其中：</w:t>
      </w:r>
    </w:p>
    <w:p>
      <w:pPr>
        <w:ind w:firstLine="640" w:firstLineChars="200"/>
        <w:jc w:val="both"/>
        <w:rPr>
          <w:rFonts w:hint="eastAsia" w:ascii="仿宋_GB2312" w:hAnsi="仿宋_GB2312" w:eastAsia="仿宋_GB2312" w:cs="仿宋_GB2312"/>
          <w:szCs w:val="32"/>
          <w:lang w:val="en-US" w:eastAsia="zh-CN"/>
        </w:rPr>
      </w:pPr>
      <w:r>
        <w:rPr>
          <w:rFonts w:hint="eastAsia" w:ascii="仿宋_GB2312" w:hAnsi="仿宋_GB2312" w:eastAsia="仿宋_GB2312" w:cs="仿宋_GB2312"/>
          <w:szCs w:val="32"/>
        </w:rPr>
        <w:t>1.因公出国（境）费</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szCs w:val="32"/>
          <w:lang w:eastAsia="zh-CN"/>
        </w:rPr>
        <w:t>其中：当年预算</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lang w:eastAsia="zh-CN"/>
        </w:rPr>
        <w:t>万元；上年结转</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年当年预算数</w:t>
      </w:r>
      <w:r>
        <w:rPr>
          <w:rFonts w:hint="eastAsia" w:ascii="仿宋_GB2312" w:hAnsi="仿宋_GB2312" w:eastAsia="仿宋_GB2312" w:cs="仿宋_GB2312"/>
          <w:szCs w:val="32"/>
        </w:rPr>
        <w:t>比</w:t>
      </w:r>
      <w:r>
        <w:rPr>
          <w:rFonts w:hint="eastAsia" w:ascii="仿宋_GB2312" w:hAnsi="仿宋_GB2312" w:cs="仿宋_GB2312"/>
          <w:szCs w:val="32"/>
          <w:lang w:eastAsia="zh-CN"/>
        </w:rPr>
        <w:t>2023</w:t>
      </w:r>
      <w:r>
        <w:rPr>
          <w:rFonts w:hint="eastAsia" w:ascii="仿宋_GB2312" w:hAnsi="仿宋_GB2312" w:eastAsia="仿宋_GB2312" w:cs="仿宋_GB2312"/>
          <w:szCs w:val="32"/>
        </w:rPr>
        <w:t>年预算数增加（减少）</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万元，主要原因是_______________</w:t>
      </w:r>
      <w:r>
        <w:rPr>
          <w:rFonts w:hint="eastAsia" w:ascii="仿宋_GB2312" w:hAnsi="仿宋_GB2312" w:eastAsia="仿宋_GB2312" w:cs="仿宋_GB2312"/>
          <w:szCs w:val="32"/>
          <w:lang w:eastAsia="zh-CN"/>
        </w:rPr>
        <w:t>。</w:t>
      </w:r>
    </w:p>
    <w:p>
      <w:pPr>
        <w:ind w:firstLine="640" w:firstLineChars="200"/>
        <w:rPr>
          <w:rFonts w:hint="eastAsia" w:ascii="仿宋_GB2312" w:hAnsi="仿宋_GB2312" w:eastAsia="仿宋_GB2312" w:cs="仿宋_GB2312"/>
          <w:szCs w:val="32"/>
          <w:lang w:eastAsia="zh-CN"/>
        </w:rPr>
      </w:pPr>
      <w:r>
        <w:rPr>
          <w:rFonts w:hint="eastAsia" w:ascii="仿宋_GB2312" w:hAnsi="仿宋_GB2312" w:eastAsia="仿宋_GB2312" w:cs="仿宋_GB2312"/>
          <w:szCs w:val="32"/>
        </w:rPr>
        <w:t>2.公务接待费</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szCs w:val="32"/>
          <w:lang w:eastAsia="zh-CN"/>
        </w:rPr>
        <w:t>其中：当年预算</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lang w:eastAsia="zh-CN"/>
        </w:rPr>
        <w:t>万元；上年结转</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年当年预算数</w:t>
      </w:r>
      <w:r>
        <w:rPr>
          <w:rFonts w:hint="eastAsia" w:ascii="仿宋_GB2312" w:hAnsi="仿宋_GB2312" w:eastAsia="仿宋_GB2312" w:cs="仿宋_GB2312"/>
          <w:szCs w:val="32"/>
        </w:rPr>
        <w:t>比</w:t>
      </w:r>
      <w:r>
        <w:rPr>
          <w:rFonts w:hint="eastAsia" w:ascii="仿宋_GB2312" w:hAnsi="仿宋_GB2312" w:cs="仿宋_GB2312"/>
          <w:szCs w:val="32"/>
          <w:lang w:eastAsia="zh-CN"/>
        </w:rPr>
        <w:t>2023</w:t>
      </w:r>
      <w:r>
        <w:rPr>
          <w:rFonts w:hint="eastAsia" w:ascii="仿宋_GB2312" w:hAnsi="仿宋_GB2312" w:eastAsia="仿宋_GB2312" w:cs="仿宋_GB2312"/>
          <w:szCs w:val="32"/>
        </w:rPr>
        <w:t>年预算数增加（减少）</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万元，主要原因是__________________</w:t>
      </w:r>
      <w:r>
        <w:rPr>
          <w:rFonts w:hint="eastAsia" w:ascii="仿宋_GB2312" w:hAnsi="仿宋_GB2312" w:eastAsia="仿宋_GB2312" w:cs="仿宋_GB2312"/>
          <w:szCs w:val="32"/>
          <w:lang w:eastAsia="zh-CN"/>
        </w:rPr>
        <w:t>。</w:t>
      </w:r>
    </w:p>
    <w:p>
      <w:pPr>
        <w:ind w:firstLine="640" w:firstLineChars="200"/>
        <w:rPr>
          <w:rFonts w:hint="eastAsia" w:ascii="仿宋_GB2312" w:hAnsi="仿宋_GB2312" w:eastAsia="仿宋_GB2312" w:cs="仿宋_GB2312"/>
          <w:szCs w:val="32"/>
        </w:rPr>
      </w:pPr>
      <w:r>
        <w:rPr>
          <w:rFonts w:hint="eastAsia" w:ascii="仿宋_GB2312" w:hAnsi="仿宋_GB2312" w:eastAsia="仿宋_GB2312" w:cs="仿宋_GB2312"/>
          <w:szCs w:val="32"/>
        </w:rPr>
        <w:t>3.公务用车购置及运行费</w:t>
      </w:r>
      <w:r>
        <w:rPr>
          <w:rFonts w:hint="eastAsia" w:ascii="仿宋_GB2312" w:hAnsi="仿宋_GB2312" w:cs="仿宋_GB2312"/>
          <w:szCs w:val="32"/>
          <w:u w:val="single"/>
          <w:lang w:val="en-US" w:eastAsia="zh-CN"/>
        </w:rPr>
        <w:t>190</w:t>
      </w:r>
      <w:r>
        <w:rPr>
          <w:rFonts w:hint="eastAsia" w:ascii="仿宋_GB2312" w:hAnsi="仿宋_GB2312" w:eastAsia="仿宋_GB2312" w:cs="仿宋_GB2312"/>
          <w:szCs w:val="32"/>
        </w:rPr>
        <w:t>万元，</w:t>
      </w:r>
      <w:r>
        <w:rPr>
          <w:rFonts w:hint="eastAsia" w:ascii="仿宋_GB2312" w:hAnsi="仿宋_GB2312" w:eastAsia="仿宋_GB2312" w:cs="仿宋_GB2312"/>
          <w:szCs w:val="32"/>
          <w:lang w:eastAsia="zh-CN"/>
        </w:rPr>
        <w:t>其中：当年预算</w:t>
      </w:r>
      <w:r>
        <w:rPr>
          <w:rFonts w:hint="eastAsia" w:ascii="仿宋_GB2312" w:hAnsi="仿宋_GB2312" w:cs="仿宋_GB2312"/>
          <w:szCs w:val="32"/>
          <w:u w:val="single"/>
          <w:lang w:val="en-US" w:eastAsia="zh-CN"/>
        </w:rPr>
        <w:t>190</w:t>
      </w:r>
      <w:r>
        <w:rPr>
          <w:rFonts w:hint="eastAsia" w:ascii="仿宋_GB2312" w:hAnsi="仿宋_GB2312" w:eastAsia="仿宋_GB2312" w:cs="仿宋_GB2312"/>
          <w:szCs w:val="32"/>
          <w:lang w:eastAsia="zh-CN"/>
        </w:rPr>
        <w:t>万元；上年结转</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年当年预算数</w:t>
      </w:r>
      <w:r>
        <w:rPr>
          <w:rFonts w:hint="eastAsia" w:ascii="仿宋_GB2312" w:hAnsi="仿宋_GB2312" w:eastAsia="仿宋_GB2312" w:cs="仿宋_GB2312"/>
          <w:szCs w:val="32"/>
        </w:rPr>
        <w:t>比</w:t>
      </w:r>
      <w:r>
        <w:rPr>
          <w:rFonts w:hint="eastAsia" w:ascii="仿宋_GB2312" w:hAnsi="仿宋_GB2312" w:cs="仿宋_GB2312"/>
          <w:szCs w:val="32"/>
          <w:lang w:eastAsia="zh-CN"/>
        </w:rPr>
        <w:t>2023</w:t>
      </w:r>
      <w:r>
        <w:rPr>
          <w:rFonts w:hint="eastAsia" w:ascii="仿宋_GB2312" w:hAnsi="仿宋_GB2312" w:eastAsia="仿宋_GB2312" w:cs="仿宋_GB2312"/>
          <w:szCs w:val="32"/>
        </w:rPr>
        <w:t>年预算数增加</w:t>
      </w:r>
      <w:r>
        <w:rPr>
          <w:rFonts w:hint="eastAsia" w:ascii="仿宋_GB2312" w:hAnsi="仿宋_GB2312" w:cs="仿宋_GB2312"/>
          <w:szCs w:val="32"/>
          <w:u w:val="single"/>
          <w:lang w:val="en-US" w:eastAsia="zh-CN"/>
        </w:rPr>
        <w:t>190</w:t>
      </w:r>
      <w:r>
        <w:rPr>
          <w:rFonts w:hint="eastAsia" w:ascii="仿宋_GB2312" w:hAnsi="仿宋_GB2312" w:eastAsia="仿宋_GB2312" w:cs="仿宋_GB2312"/>
          <w:szCs w:val="32"/>
        </w:rPr>
        <w:t>万元。公务用车运行维护费</w:t>
      </w:r>
      <w:r>
        <w:rPr>
          <w:rFonts w:hint="eastAsia" w:ascii="仿宋_GB2312" w:hAnsi="仿宋_GB2312" w:cs="仿宋_GB2312"/>
          <w:szCs w:val="32"/>
          <w:u w:val="single"/>
          <w:lang w:val="en-US" w:eastAsia="zh-CN"/>
        </w:rPr>
        <w:t>190</w:t>
      </w:r>
      <w:r>
        <w:rPr>
          <w:rFonts w:hint="eastAsia" w:ascii="仿宋_GB2312" w:hAnsi="仿宋_GB2312" w:eastAsia="仿宋_GB2312" w:cs="仿宋_GB2312"/>
          <w:szCs w:val="32"/>
        </w:rPr>
        <w:t>万元，</w:t>
      </w:r>
      <w:r>
        <w:rPr>
          <w:rFonts w:hint="eastAsia" w:ascii="仿宋_GB2312" w:hAnsi="仿宋_GB2312" w:eastAsia="仿宋_GB2312" w:cs="仿宋_GB2312"/>
          <w:szCs w:val="32"/>
          <w:lang w:eastAsia="zh-CN"/>
        </w:rPr>
        <w:t>其中：当年预算</w:t>
      </w:r>
      <w:r>
        <w:rPr>
          <w:rFonts w:hint="eastAsia" w:ascii="仿宋_GB2312" w:hAnsi="仿宋_GB2312" w:cs="仿宋_GB2312"/>
          <w:szCs w:val="32"/>
          <w:u w:val="single"/>
          <w:lang w:val="en-US" w:eastAsia="zh-CN"/>
        </w:rPr>
        <w:t>190</w:t>
      </w:r>
      <w:r>
        <w:rPr>
          <w:rFonts w:hint="eastAsia" w:ascii="仿宋_GB2312" w:hAnsi="仿宋_GB2312" w:eastAsia="仿宋_GB2312" w:cs="仿宋_GB2312"/>
          <w:szCs w:val="32"/>
          <w:lang w:eastAsia="zh-CN"/>
        </w:rPr>
        <w:t>万元；上年结转</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年当年预算数</w:t>
      </w:r>
      <w:r>
        <w:rPr>
          <w:rFonts w:hint="eastAsia" w:ascii="仿宋_GB2312" w:hAnsi="仿宋_GB2312" w:eastAsia="仿宋_GB2312" w:cs="仿宋_GB2312"/>
          <w:szCs w:val="32"/>
        </w:rPr>
        <w:t>比</w:t>
      </w:r>
      <w:r>
        <w:rPr>
          <w:rFonts w:hint="eastAsia" w:ascii="仿宋_GB2312" w:hAnsi="仿宋_GB2312" w:cs="仿宋_GB2312"/>
          <w:szCs w:val="32"/>
          <w:lang w:eastAsia="zh-CN"/>
        </w:rPr>
        <w:t>2023</w:t>
      </w:r>
      <w:r>
        <w:rPr>
          <w:rFonts w:hint="eastAsia" w:ascii="仿宋_GB2312" w:hAnsi="仿宋_GB2312" w:eastAsia="仿宋_GB2312" w:cs="仿宋_GB2312"/>
          <w:szCs w:val="32"/>
        </w:rPr>
        <w:t>年预算数增加</w:t>
      </w:r>
      <w:r>
        <w:rPr>
          <w:rFonts w:hint="eastAsia" w:ascii="仿宋_GB2312" w:hAnsi="仿宋_GB2312" w:cs="仿宋_GB2312"/>
          <w:szCs w:val="32"/>
          <w:u w:val="single"/>
          <w:lang w:val="en-US" w:eastAsia="zh-CN"/>
        </w:rPr>
        <w:t>190</w:t>
      </w:r>
      <w:r>
        <w:rPr>
          <w:rFonts w:hint="eastAsia" w:ascii="仿宋_GB2312" w:hAnsi="仿宋_GB2312" w:eastAsia="仿宋_GB2312" w:cs="仿宋_GB2312"/>
          <w:szCs w:val="32"/>
        </w:rPr>
        <w:t>万元，主要原因是</w:t>
      </w:r>
      <w:r>
        <w:rPr>
          <w:rFonts w:hint="eastAsia" w:ascii="仿宋_GB2312" w:hAnsi="仿宋_GB2312" w:cs="仿宋_GB2312"/>
          <w:szCs w:val="32"/>
          <w:u w:val="single"/>
          <w:lang w:eastAsia="zh-CN"/>
        </w:rPr>
        <w:t>巡逻力度加大</w:t>
      </w:r>
      <w:r>
        <w:rPr>
          <w:rFonts w:hint="eastAsia" w:ascii="仿宋_GB2312" w:hAnsi="仿宋_GB2312" w:eastAsia="仿宋_GB2312" w:cs="仿宋_GB2312"/>
          <w:szCs w:val="32"/>
        </w:rPr>
        <w:t>；公务用车购置费</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szCs w:val="32"/>
          <w:lang w:eastAsia="zh-CN"/>
        </w:rPr>
        <w:t>其中：当年预算</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lang w:eastAsia="zh-CN"/>
        </w:rPr>
        <w:t>万元；上年结转</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年当年预算数</w:t>
      </w:r>
      <w:r>
        <w:rPr>
          <w:rFonts w:hint="eastAsia" w:ascii="仿宋_GB2312" w:hAnsi="仿宋_GB2312" w:eastAsia="仿宋_GB2312" w:cs="仿宋_GB2312"/>
          <w:szCs w:val="32"/>
        </w:rPr>
        <w:t>比</w:t>
      </w:r>
      <w:r>
        <w:rPr>
          <w:rFonts w:hint="eastAsia" w:ascii="仿宋_GB2312" w:hAnsi="仿宋_GB2312" w:cs="仿宋_GB2312"/>
          <w:szCs w:val="32"/>
          <w:lang w:eastAsia="zh-CN"/>
        </w:rPr>
        <w:t>2023</w:t>
      </w:r>
      <w:r>
        <w:rPr>
          <w:rFonts w:hint="eastAsia" w:ascii="仿宋_GB2312" w:hAnsi="仿宋_GB2312" w:eastAsia="仿宋_GB2312" w:cs="仿宋_GB2312"/>
          <w:szCs w:val="32"/>
        </w:rPr>
        <w:t>年预算数增加</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万元，主要原因是_____________。</w:t>
      </w:r>
    </w:p>
    <w:p>
      <w:pPr>
        <w:ind w:firstLine="640" w:firstLineChars="200"/>
        <w:rPr>
          <w:rFonts w:eastAsia="楷体"/>
          <w:szCs w:val="32"/>
        </w:rPr>
      </w:pPr>
      <w:r>
        <w:rPr>
          <w:rFonts w:eastAsia="楷体"/>
          <w:szCs w:val="32"/>
        </w:rPr>
        <w:t>注：“三公”经费中包括的具体内容，按本部门《一般公共预算“三公”经费支出表》反映的实际情况</w:t>
      </w:r>
      <w:r>
        <w:rPr>
          <w:rFonts w:hint="eastAsia" w:eastAsia="楷体"/>
          <w:szCs w:val="32"/>
        </w:rPr>
        <w:t>填写</w:t>
      </w:r>
      <w:r>
        <w:rPr>
          <w:rFonts w:eastAsia="楷体"/>
          <w:szCs w:val="32"/>
        </w:rPr>
        <w:t>。</w:t>
      </w:r>
      <w:r>
        <w:rPr>
          <w:rFonts w:hint="eastAsia" w:eastAsia="楷体"/>
          <w:szCs w:val="32"/>
          <w:lang w:eastAsia="zh-CN"/>
        </w:rPr>
        <w:t>2024</w:t>
      </w:r>
      <w:r>
        <w:rPr>
          <w:rFonts w:eastAsia="楷体"/>
          <w:szCs w:val="32"/>
        </w:rPr>
        <w:t>年预算数要与当年公开数额保持一致。没有一般公共预算拨款的，直接表述为“本部门无一般公共预算拨款”</w:t>
      </w:r>
      <w:r>
        <w:rPr>
          <w:rFonts w:hint="eastAsia" w:eastAsia="楷体"/>
          <w:szCs w:val="32"/>
        </w:rPr>
        <w:t>，不得直接删除</w:t>
      </w:r>
      <w:r>
        <w:rPr>
          <w:rFonts w:eastAsia="楷体"/>
          <w:szCs w:val="32"/>
        </w:rPr>
        <w:t>。</w:t>
      </w:r>
    </w:p>
    <w:p>
      <w:pPr>
        <w:ind w:firstLine="640" w:firstLineChars="200"/>
        <w:rPr>
          <w:rFonts w:hint="eastAsia" w:ascii="黑体" w:hAnsi="黑体" w:eastAsia="黑体" w:cs="黑体"/>
          <w:szCs w:val="32"/>
        </w:rPr>
      </w:pPr>
      <w:bookmarkStart w:id="0" w:name="_GoBack"/>
      <w:bookmarkEnd w:id="0"/>
      <w:r>
        <w:rPr>
          <w:rFonts w:hint="eastAsia" w:ascii="黑体" w:hAnsi="黑体" w:eastAsia="黑体" w:cs="黑体"/>
          <w:szCs w:val="32"/>
        </w:rPr>
        <w:t>八、</w:t>
      </w:r>
      <w:r>
        <w:rPr>
          <w:rFonts w:hint="eastAsia" w:ascii="黑体" w:hAnsi="黑体" w:eastAsia="黑体" w:cs="黑体"/>
          <w:szCs w:val="32"/>
          <w:lang w:eastAsia="zh-CN"/>
        </w:rPr>
        <w:t>2024</w:t>
      </w:r>
      <w:r>
        <w:rPr>
          <w:rFonts w:hint="eastAsia" w:ascii="黑体" w:hAnsi="黑体" w:eastAsia="黑体" w:cs="黑体"/>
          <w:szCs w:val="32"/>
        </w:rPr>
        <w:t>年政府性基金预算支出情况</w:t>
      </w:r>
    </w:p>
    <w:p>
      <w:pPr>
        <w:ind w:firstLine="640" w:firstLineChars="200"/>
        <w:rPr>
          <w:rFonts w:hint="eastAsia" w:ascii="黑体" w:hAnsi="黑体" w:eastAsia="黑体" w:cs="黑体"/>
          <w:szCs w:val="32"/>
        </w:rPr>
      </w:pPr>
      <w:r>
        <w:rPr>
          <w:rFonts w:eastAsia="楷体"/>
          <w:szCs w:val="32"/>
        </w:rPr>
        <w:t>本部门无政府性基金预算拨款</w:t>
      </w:r>
    </w:p>
    <w:p>
      <w:pPr>
        <w:ind w:firstLine="64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年政府性基金预算支出__________万元，其中：基本支出_________万元，占______%；项目支出_________万元，占______%。基本支出中，人员经费_________万元，占_______%；公用经费_________万元，占______%。</w:t>
      </w:r>
    </w:p>
    <w:p>
      <w:pPr>
        <w:ind w:firstLine="640"/>
        <w:rPr>
          <w:rFonts w:hint="eastAsia" w:ascii="仿宋_GB2312" w:hAnsi="仿宋_GB2312" w:eastAsia="仿宋_GB2312" w:cs="仿宋_GB2312"/>
          <w:szCs w:val="32"/>
          <w:highlight w:val="none"/>
        </w:rPr>
      </w:pPr>
      <w:r>
        <w:rPr>
          <w:rFonts w:hint="eastAsia" w:ascii="仿宋_GB2312" w:hAnsi="仿宋_GB2312" w:eastAsia="仿宋_GB2312" w:cs="仿宋_GB2312"/>
          <w:szCs w:val="32"/>
          <w:highlight w:val="none"/>
        </w:rPr>
        <w:t>科学技术（类）支出________万元，占________%，主要用于_____________________。</w:t>
      </w:r>
    </w:p>
    <w:p>
      <w:pPr>
        <w:ind w:firstLine="640"/>
        <w:rPr>
          <w:rFonts w:hint="eastAsia" w:ascii="仿宋_GB2312" w:hAnsi="仿宋_GB2312" w:eastAsia="仿宋_GB2312" w:cs="仿宋_GB2312"/>
          <w:szCs w:val="32"/>
          <w:highlight w:val="none"/>
        </w:rPr>
      </w:pPr>
      <w:r>
        <w:rPr>
          <w:rFonts w:hint="eastAsia" w:ascii="仿宋_GB2312" w:hAnsi="仿宋_GB2312" w:eastAsia="仿宋_GB2312" w:cs="仿宋_GB2312"/>
          <w:szCs w:val="32"/>
          <w:highlight w:val="none"/>
        </w:rPr>
        <w:t>文化旅游体育与传媒（类）支出________万元，占________%，主要用于_____________________。</w:t>
      </w:r>
    </w:p>
    <w:p>
      <w:pPr>
        <w:ind w:firstLine="640"/>
        <w:rPr>
          <w:rFonts w:hint="eastAsia" w:ascii="仿宋_GB2312" w:hAnsi="仿宋_GB2312" w:eastAsia="仿宋_GB2312" w:cs="仿宋_GB2312"/>
          <w:szCs w:val="32"/>
          <w:highlight w:val="none"/>
        </w:rPr>
      </w:pPr>
      <w:r>
        <w:rPr>
          <w:rFonts w:hint="eastAsia" w:ascii="仿宋_GB2312" w:hAnsi="仿宋_GB2312" w:eastAsia="仿宋_GB2312" w:cs="仿宋_GB2312"/>
          <w:szCs w:val="32"/>
          <w:highlight w:val="none"/>
        </w:rPr>
        <w:t>社会保障和就业（类）支出________万元，占________%，主要用于_____________________。</w:t>
      </w:r>
    </w:p>
    <w:p>
      <w:pPr>
        <w:ind w:firstLine="640"/>
        <w:rPr>
          <w:rFonts w:hint="eastAsia" w:ascii="仿宋_GB2312" w:hAnsi="仿宋_GB2312" w:eastAsia="仿宋_GB2312" w:cs="仿宋_GB2312"/>
          <w:szCs w:val="32"/>
          <w:highlight w:val="none"/>
        </w:rPr>
      </w:pPr>
      <w:r>
        <w:rPr>
          <w:rFonts w:hint="eastAsia" w:ascii="仿宋_GB2312" w:hAnsi="仿宋_GB2312" w:eastAsia="仿宋_GB2312" w:cs="仿宋_GB2312"/>
          <w:szCs w:val="32"/>
          <w:highlight w:val="none"/>
        </w:rPr>
        <w:t>农林水支出（类）支出________万元，占________%，主要用于_____________________。</w:t>
      </w:r>
    </w:p>
    <w:p>
      <w:pPr>
        <w:ind w:firstLine="640"/>
        <w:rPr>
          <w:szCs w:val="32"/>
        </w:rPr>
      </w:pPr>
    </w:p>
    <w:p>
      <w:pPr>
        <w:ind w:firstLine="640"/>
        <w:rPr>
          <w:szCs w:val="32"/>
        </w:rPr>
      </w:pPr>
    </w:p>
    <w:p>
      <w:pPr>
        <w:ind w:firstLine="640"/>
        <w:rPr>
          <w:szCs w:val="32"/>
        </w:rPr>
      </w:pPr>
    </w:p>
    <w:p>
      <w:pPr>
        <w:ind w:firstLine="640"/>
        <w:rPr>
          <w:szCs w:val="32"/>
        </w:rPr>
      </w:pPr>
    </w:p>
    <w:p>
      <w:pPr>
        <w:ind w:firstLine="640" w:firstLineChars="200"/>
        <w:rPr>
          <w:rFonts w:eastAsia="楷体"/>
          <w:szCs w:val="32"/>
        </w:rPr>
      </w:pPr>
      <w:r>
        <w:rPr>
          <w:rFonts w:eastAsia="楷体"/>
          <w:szCs w:val="32"/>
        </w:rPr>
        <w:t>注：政府性基金预算支出中包括的具体内容，按本部门《</w:t>
      </w:r>
      <w:r>
        <w:rPr>
          <w:rFonts w:hint="eastAsia" w:eastAsia="楷体"/>
          <w:szCs w:val="32"/>
        </w:rPr>
        <w:t>政府性基金预算支出表</w:t>
      </w:r>
      <w:r>
        <w:rPr>
          <w:rFonts w:eastAsia="楷体"/>
          <w:szCs w:val="32"/>
        </w:rPr>
        <w:t>》反映的实际情况取舍。没有政府性基金预算拨款的，直接表述为“本部门无政府性基金预算拨款”</w:t>
      </w:r>
      <w:r>
        <w:rPr>
          <w:rFonts w:hint="eastAsia" w:eastAsia="楷体"/>
          <w:szCs w:val="32"/>
        </w:rPr>
        <w:t>，不得直接删除</w:t>
      </w:r>
      <w:r>
        <w:rPr>
          <w:rFonts w:eastAsia="楷体"/>
          <w:szCs w:val="32"/>
        </w:rPr>
        <w:t>。</w:t>
      </w:r>
    </w:p>
    <w:p>
      <w:pPr>
        <w:ind w:firstLine="640" w:firstLineChars="200"/>
        <w:rPr>
          <w:rFonts w:eastAsia="楷体"/>
          <w:szCs w:val="32"/>
        </w:rPr>
      </w:pPr>
    </w:p>
    <w:p>
      <w:pPr>
        <w:ind w:firstLine="640" w:firstLineChars="200"/>
        <w:rPr>
          <w:rFonts w:hint="eastAsia" w:ascii="黑体" w:hAnsi="黑体" w:eastAsia="黑体" w:cs="黑体"/>
          <w:szCs w:val="32"/>
          <w:highlight w:val="none"/>
        </w:rPr>
      </w:pPr>
      <w:r>
        <w:rPr>
          <w:rFonts w:hint="eastAsia" w:ascii="黑体" w:hAnsi="黑体" w:eastAsia="黑体" w:cs="黑体"/>
          <w:szCs w:val="32"/>
          <w:highlight w:val="none"/>
        </w:rPr>
        <w:t>九、</w:t>
      </w:r>
      <w:r>
        <w:rPr>
          <w:rFonts w:hint="eastAsia" w:ascii="黑体" w:hAnsi="黑体" w:eastAsia="黑体" w:cs="黑体"/>
          <w:szCs w:val="32"/>
          <w:highlight w:val="none"/>
          <w:lang w:eastAsia="zh-CN"/>
        </w:rPr>
        <w:t>2024</w:t>
      </w:r>
      <w:r>
        <w:rPr>
          <w:rFonts w:hint="eastAsia" w:ascii="黑体" w:hAnsi="黑体" w:eastAsia="黑体" w:cs="黑体"/>
          <w:szCs w:val="32"/>
          <w:highlight w:val="none"/>
        </w:rPr>
        <w:t>年国有资本经营预算支出情况</w:t>
      </w:r>
    </w:p>
    <w:p>
      <w:pPr>
        <w:ind w:firstLine="640" w:firstLineChars="200"/>
        <w:rPr>
          <w:rFonts w:hint="eastAsia" w:ascii="黑体" w:hAnsi="黑体" w:eastAsia="黑体" w:cs="黑体"/>
          <w:szCs w:val="32"/>
          <w:highlight w:val="none"/>
        </w:rPr>
      </w:pPr>
      <w:r>
        <w:rPr>
          <w:rFonts w:eastAsia="楷体"/>
          <w:szCs w:val="32"/>
        </w:rPr>
        <w:t>本部门无</w:t>
      </w:r>
      <w:r>
        <w:rPr>
          <w:rFonts w:hint="eastAsia" w:eastAsia="楷体"/>
          <w:szCs w:val="32"/>
        </w:rPr>
        <w:t>国有资本经营</w:t>
      </w:r>
      <w:r>
        <w:rPr>
          <w:rFonts w:eastAsia="楷体"/>
          <w:szCs w:val="32"/>
        </w:rPr>
        <w:t>预算拨款</w:t>
      </w:r>
    </w:p>
    <w:p>
      <w:pPr>
        <w:ind w:firstLine="640"/>
        <w:rPr>
          <w:rFonts w:hint="eastAsia" w:ascii="仿宋_GB2312" w:hAnsi="仿宋_GB2312" w:eastAsia="仿宋_GB2312" w:cs="仿宋_GB2312"/>
          <w:szCs w:val="32"/>
          <w:highlight w:val="none"/>
        </w:rPr>
      </w:pPr>
      <w:r>
        <w:rPr>
          <w:rFonts w:hint="eastAsia" w:ascii="仿宋_GB2312" w:hAnsi="仿宋_GB2312" w:cs="仿宋_GB2312"/>
          <w:szCs w:val="32"/>
          <w:highlight w:val="none"/>
          <w:lang w:eastAsia="zh-CN"/>
        </w:rPr>
        <w:t>2024</w:t>
      </w:r>
      <w:r>
        <w:rPr>
          <w:rFonts w:hint="eastAsia" w:ascii="仿宋_GB2312" w:hAnsi="仿宋_GB2312" w:eastAsia="仿宋_GB2312" w:cs="仿宋_GB2312"/>
          <w:szCs w:val="32"/>
          <w:highlight w:val="none"/>
        </w:rPr>
        <w:t>年国有资本经营预算支出__________万元，其中：基本支出_________万元，占______%；项目支出_________万元，占______%。</w:t>
      </w:r>
    </w:p>
    <w:p>
      <w:pPr>
        <w:ind w:firstLine="640"/>
        <w:rPr>
          <w:rFonts w:hint="eastAsia" w:ascii="仿宋_GB2312" w:hAnsi="仿宋_GB2312" w:eastAsia="仿宋_GB2312" w:cs="仿宋_GB2312"/>
          <w:szCs w:val="32"/>
          <w:highlight w:val="none"/>
        </w:rPr>
      </w:pPr>
      <w:r>
        <w:rPr>
          <w:rFonts w:hint="eastAsia" w:ascii="仿宋_GB2312" w:hAnsi="仿宋_GB2312" w:eastAsia="仿宋_GB2312" w:cs="仿宋_GB2312"/>
          <w:szCs w:val="32"/>
          <w:highlight w:val="none"/>
        </w:rPr>
        <w:t>解决历史遗留问题及改革（款）支出________万元，占________%，主要用于_____________________。</w:t>
      </w:r>
    </w:p>
    <w:p>
      <w:pPr>
        <w:ind w:firstLine="640"/>
        <w:rPr>
          <w:rFonts w:hint="eastAsia" w:ascii="仿宋_GB2312" w:hAnsi="仿宋_GB2312" w:eastAsia="仿宋_GB2312" w:cs="仿宋_GB2312"/>
          <w:szCs w:val="32"/>
          <w:highlight w:val="none"/>
        </w:rPr>
      </w:pPr>
      <w:r>
        <w:rPr>
          <w:rFonts w:hint="eastAsia" w:ascii="仿宋_GB2312" w:hAnsi="仿宋_GB2312" w:eastAsia="仿宋_GB2312" w:cs="仿宋_GB2312"/>
          <w:szCs w:val="32"/>
          <w:highlight w:val="none"/>
        </w:rPr>
        <w:t>国有企业资本金注入（款）支出________万元，占________%，主要用于_____________________。</w:t>
      </w:r>
    </w:p>
    <w:p>
      <w:pPr>
        <w:ind w:firstLine="640"/>
        <w:rPr>
          <w:rFonts w:hint="eastAsia" w:ascii="仿宋_GB2312" w:hAnsi="仿宋_GB2312" w:eastAsia="仿宋_GB2312" w:cs="仿宋_GB2312"/>
          <w:szCs w:val="32"/>
          <w:highlight w:val="none"/>
        </w:rPr>
      </w:pPr>
      <w:r>
        <w:rPr>
          <w:rFonts w:hint="eastAsia" w:ascii="仿宋_GB2312" w:hAnsi="仿宋_GB2312" w:eastAsia="仿宋_GB2312" w:cs="仿宋_GB2312"/>
          <w:szCs w:val="32"/>
          <w:highlight w:val="none"/>
        </w:rPr>
        <w:t>国有企业政策性补贴（款）支出________万元，占________%，主要用于_____________________。</w:t>
      </w:r>
    </w:p>
    <w:p>
      <w:pPr>
        <w:ind w:firstLine="640"/>
        <w:rPr>
          <w:rFonts w:hint="eastAsia" w:ascii="仿宋_GB2312" w:hAnsi="仿宋_GB2312" w:eastAsia="仿宋_GB2312" w:cs="仿宋_GB2312"/>
          <w:szCs w:val="32"/>
          <w:highlight w:val="none"/>
        </w:rPr>
      </w:pPr>
      <w:r>
        <w:rPr>
          <w:rFonts w:hint="eastAsia" w:ascii="仿宋_GB2312" w:hAnsi="仿宋_GB2312" w:eastAsia="仿宋_GB2312" w:cs="仿宋_GB2312"/>
          <w:szCs w:val="32"/>
          <w:highlight w:val="none"/>
        </w:rPr>
        <w:t>其他国有资本经营预算（款）支出________万元，占________%，主要用于_____________________。</w:t>
      </w:r>
    </w:p>
    <w:p>
      <w:pPr>
        <w:ind w:firstLine="640"/>
        <w:rPr>
          <w:szCs w:val="32"/>
        </w:rPr>
      </w:pPr>
    </w:p>
    <w:p>
      <w:pPr>
        <w:ind w:firstLine="640"/>
        <w:rPr>
          <w:szCs w:val="32"/>
        </w:rPr>
      </w:pPr>
    </w:p>
    <w:p>
      <w:pPr>
        <w:ind w:firstLine="640"/>
        <w:rPr>
          <w:szCs w:val="32"/>
        </w:rPr>
      </w:pPr>
    </w:p>
    <w:p>
      <w:pPr>
        <w:ind w:firstLine="640"/>
        <w:rPr>
          <w:szCs w:val="32"/>
        </w:rPr>
      </w:pPr>
    </w:p>
    <w:p>
      <w:pPr>
        <w:ind w:firstLine="640"/>
        <w:rPr>
          <w:rFonts w:eastAsia="楷体"/>
          <w:szCs w:val="32"/>
        </w:rPr>
      </w:pPr>
    </w:p>
    <w:p>
      <w:pPr>
        <w:ind w:firstLine="640"/>
        <w:rPr>
          <w:rFonts w:eastAsia="楷体"/>
          <w:szCs w:val="32"/>
        </w:rPr>
      </w:pPr>
      <w:r>
        <w:rPr>
          <w:rFonts w:eastAsia="楷体"/>
          <w:szCs w:val="32"/>
        </w:rPr>
        <w:t>注：</w:t>
      </w:r>
      <w:r>
        <w:rPr>
          <w:rFonts w:hint="eastAsia" w:eastAsia="楷体"/>
          <w:szCs w:val="32"/>
        </w:rPr>
        <w:t>国有资本经营预算</w:t>
      </w:r>
      <w:r>
        <w:rPr>
          <w:rFonts w:eastAsia="楷体"/>
          <w:szCs w:val="32"/>
        </w:rPr>
        <w:t>支出中包括的具体内容，按本部门《</w:t>
      </w:r>
      <w:r>
        <w:rPr>
          <w:rFonts w:hint="eastAsia" w:eastAsia="楷体"/>
          <w:szCs w:val="32"/>
        </w:rPr>
        <w:t>国有资本经营预算支出表</w:t>
      </w:r>
      <w:r>
        <w:rPr>
          <w:rFonts w:eastAsia="楷体"/>
          <w:szCs w:val="32"/>
        </w:rPr>
        <w:t>》反映的实际情况取舍。没有</w:t>
      </w:r>
      <w:r>
        <w:rPr>
          <w:rFonts w:hint="eastAsia" w:eastAsia="楷体"/>
          <w:szCs w:val="32"/>
        </w:rPr>
        <w:t>国有资本经营</w:t>
      </w:r>
      <w:r>
        <w:rPr>
          <w:rFonts w:eastAsia="楷体"/>
          <w:szCs w:val="32"/>
        </w:rPr>
        <w:t>预算拨款的，直接表述为“本部门无</w:t>
      </w:r>
      <w:r>
        <w:rPr>
          <w:rFonts w:hint="eastAsia" w:eastAsia="楷体"/>
          <w:szCs w:val="32"/>
        </w:rPr>
        <w:t>国有资本经营</w:t>
      </w:r>
      <w:r>
        <w:rPr>
          <w:rFonts w:eastAsia="楷体"/>
          <w:szCs w:val="32"/>
        </w:rPr>
        <w:t>预算拨款”</w:t>
      </w:r>
      <w:r>
        <w:rPr>
          <w:rFonts w:hint="eastAsia" w:eastAsia="楷体"/>
          <w:szCs w:val="32"/>
        </w:rPr>
        <w:t>，不得直接删除</w:t>
      </w:r>
      <w:r>
        <w:rPr>
          <w:rFonts w:eastAsia="楷体"/>
          <w:szCs w:val="32"/>
        </w:rPr>
        <w:t>。</w:t>
      </w:r>
    </w:p>
    <w:p>
      <w:pPr>
        <w:rPr>
          <w:rFonts w:eastAsia="楷体"/>
          <w:szCs w:val="32"/>
        </w:rPr>
      </w:pPr>
    </w:p>
    <w:p>
      <w:pPr>
        <w:ind w:firstLine="640"/>
        <w:rPr>
          <w:rFonts w:eastAsia="黑体"/>
          <w:szCs w:val="32"/>
        </w:rPr>
      </w:pPr>
      <w:r>
        <w:rPr>
          <w:rFonts w:hint="eastAsia" w:eastAsia="黑体"/>
          <w:szCs w:val="32"/>
        </w:rPr>
        <w:t>十</w:t>
      </w:r>
      <w:r>
        <w:rPr>
          <w:rFonts w:eastAsia="黑体"/>
          <w:szCs w:val="32"/>
        </w:rPr>
        <w:t>、其他重要事项的说明情况</w:t>
      </w:r>
    </w:p>
    <w:p>
      <w:pPr>
        <w:spacing w:line="540" w:lineRule="exact"/>
        <w:ind w:firstLine="640" w:firstLineChars="200"/>
        <w:rPr>
          <w:rFonts w:eastAsia="楷体"/>
          <w:szCs w:val="32"/>
        </w:rPr>
      </w:pPr>
      <w:r>
        <w:rPr>
          <w:rFonts w:eastAsia="楷体"/>
          <w:szCs w:val="32"/>
        </w:rPr>
        <w:t>（一）机关运行经费</w:t>
      </w:r>
    </w:p>
    <w:p>
      <w:pPr>
        <w:spacing w:line="540" w:lineRule="exact"/>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年部门本级、</w:t>
      </w:r>
      <w:r>
        <w:rPr>
          <w:rFonts w:hint="eastAsia" w:ascii="仿宋_GB2312" w:hAnsi="仿宋_GB2312" w:cs="仿宋_GB2312"/>
          <w:szCs w:val="32"/>
          <w:u w:val="single"/>
          <w:lang w:val="en-US" w:eastAsia="zh-CN"/>
        </w:rPr>
        <w:t>2</w:t>
      </w:r>
      <w:r>
        <w:rPr>
          <w:rFonts w:hint="eastAsia" w:ascii="仿宋_GB2312" w:hAnsi="仿宋_GB2312" w:eastAsia="仿宋_GB2312" w:cs="仿宋_GB2312"/>
          <w:szCs w:val="32"/>
        </w:rPr>
        <w:t>等</w:t>
      </w:r>
      <w:r>
        <w:rPr>
          <w:rFonts w:hint="eastAsia" w:ascii="仿宋_GB2312" w:hAnsi="仿宋_GB2312" w:cs="仿宋_GB2312"/>
          <w:szCs w:val="32"/>
          <w:u w:val="single"/>
          <w:lang w:val="en-US" w:eastAsia="zh-CN"/>
        </w:rPr>
        <w:t>1</w:t>
      </w:r>
      <w:r>
        <w:rPr>
          <w:rFonts w:hint="eastAsia" w:ascii="仿宋_GB2312" w:hAnsi="仿宋_GB2312" w:eastAsia="仿宋_GB2312" w:cs="仿宋_GB2312"/>
          <w:szCs w:val="32"/>
        </w:rPr>
        <w:t>家行政单位以及</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等</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家参公管理事业单位的机关运行经费财政拨款预算</w:t>
      </w:r>
      <w:r>
        <w:rPr>
          <w:rFonts w:hint="eastAsia" w:ascii="仿宋_GB2312" w:hAnsi="仿宋_GB2312" w:cs="仿宋_GB2312"/>
          <w:szCs w:val="32"/>
          <w:u w:val="single"/>
          <w:lang w:val="en-US" w:eastAsia="zh-CN"/>
        </w:rPr>
        <w:t>196.56</w:t>
      </w:r>
      <w:r>
        <w:rPr>
          <w:rFonts w:hint="eastAsia" w:ascii="仿宋_GB2312" w:hAnsi="仿宋_GB2312" w:eastAsia="仿宋_GB2312" w:cs="仿宋_GB2312"/>
          <w:szCs w:val="32"/>
        </w:rPr>
        <w:t>万元，比</w:t>
      </w:r>
      <w:r>
        <w:rPr>
          <w:rFonts w:hint="eastAsia" w:ascii="仿宋_GB2312" w:hAnsi="仿宋_GB2312" w:cs="仿宋_GB2312"/>
          <w:szCs w:val="32"/>
          <w:lang w:eastAsia="zh-CN"/>
        </w:rPr>
        <w:t>2023</w:t>
      </w:r>
      <w:r>
        <w:rPr>
          <w:rFonts w:hint="eastAsia" w:ascii="仿宋_GB2312" w:hAnsi="仿宋_GB2312" w:eastAsia="仿宋_GB2312" w:cs="仿宋_GB2312"/>
          <w:szCs w:val="32"/>
        </w:rPr>
        <w:t>年预算增加</w:t>
      </w:r>
      <w:r>
        <w:rPr>
          <w:rFonts w:hint="eastAsia" w:ascii="仿宋_GB2312" w:hAnsi="仿宋_GB2312" w:cs="仿宋_GB2312"/>
          <w:szCs w:val="32"/>
          <w:u w:val="single"/>
          <w:lang w:val="en-US" w:eastAsia="zh-CN"/>
        </w:rPr>
        <w:t>47.76</w:t>
      </w:r>
      <w:r>
        <w:rPr>
          <w:rFonts w:hint="eastAsia" w:ascii="仿宋_GB2312" w:hAnsi="仿宋_GB2312" w:eastAsia="仿宋_GB2312" w:cs="仿宋_GB2312"/>
          <w:szCs w:val="32"/>
        </w:rPr>
        <w:t>万元，增长</w:t>
      </w:r>
      <w:r>
        <w:rPr>
          <w:rFonts w:hint="eastAsia" w:ascii="仿宋_GB2312" w:hAnsi="仿宋_GB2312" w:cs="仿宋_GB2312"/>
          <w:szCs w:val="32"/>
          <w:lang w:val="en-US" w:eastAsia="zh-CN"/>
        </w:rPr>
        <w:t>32</w:t>
      </w:r>
      <w:r>
        <w:rPr>
          <w:rFonts w:hint="eastAsia" w:ascii="仿宋_GB2312" w:hAnsi="仿宋_GB2312" w:eastAsia="仿宋_GB2312" w:cs="仿宋_GB2312"/>
          <w:szCs w:val="32"/>
        </w:rPr>
        <w:t>%，主要原因是</w:t>
      </w:r>
      <w:r>
        <w:rPr>
          <w:rFonts w:hint="eastAsia" w:ascii="仿宋_GB2312" w:hAnsi="仿宋_GB2312" w:cs="仿宋_GB2312"/>
          <w:szCs w:val="32"/>
          <w:u w:val="single"/>
          <w:lang w:eastAsia="zh-CN"/>
        </w:rPr>
        <w:t>机关事务量增加</w:t>
      </w:r>
      <w:r>
        <w:rPr>
          <w:rFonts w:hint="eastAsia" w:ascii="仿宋_GB2312" w:hAnsi="仿宋_GB2312" w:eastAsia="仿宋_GB2312" w:cs="仿宋_GB2312"/>
          <w:szCs w:val="32"/>
        </w:rPr>
        <w:t>。</w:t>
      </w:r>
    </w:p>
    <w:p>
      <w:pPr>
        <w:spacing w:line="540" w:lineRule="exact"/>
        <w:ind w:firstLine="640" w:firstLineChars="200"/>
        <w:rPr>
          <w:rFonts w:hint="eastAsia" w:ascii="仿宋_GB2312" w:hAnsi="仿宋_GB2312" w:eastAsia="仿宋_GB2312" w:cs="仿宋_GB2312"/>
          <w:szCs w:val="32"/>
        </w:rPr>
      </w:pPr>
      <w:r>
        <w:rPr>
          <w:rFonts w:hint="eastAsia" w:ascii="仿宋_GB2312" w:hAnsi="仿宋_GB2312" w:eastAsia="仿宋_GB2312" w:cs="仿宋_GB2312"/>
          <w:szCs w:val="32"/>
        </w:rPr>
        <w:t>（二）政府采购情况</w:t>
      </w:r>
    </w:p>
    <w:p>
      <w:pPr>
        <w:spacing w:line="540" w:lineRule="exact"/>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年政府采购预算总额</w:t>
      </w:r>
      <w:r>
        <w:rPr>
          <w:rFonts w:hint="eastAsia" w:ascii="仿宋_GB2312" w:hAnsi="仿宋_GB2312" w:cs="仿宋_GB2312"/>
          <w:szCs w:val="32"/>
          <w:u w:val="single"/>
          <w:lang w:val="en-US" w:eastAsia="zh-CN"/>
        </w:rPr>
        <w:t>150</w:t>
      </w:r>
      <w:r>
        <w:rPr>
          <w:rFonts w:hint="eastAsia" w:ascii="仿宋_GB2312" w:hAnsi="仿宋_GB2312" w:eastAsia="仿宋_GB2312" w:cs="仿宋_GB2312"/>
          <w:szCs w:val="32"/>
        </w:rPr>
        <w:t>万元，其中：政府采购货物预算</w:t>
      </w:r>
      <w:r>
        <w:rPr>
          <w:rFonts w:hint="eastAsia" w:ascii="仿宋_GB2312" w:hAnsi="仿宋_GB2312" w:cs="仿宋_GB2312"/>
          <w:szCs w:val="32"/>
          <w:u w:val="single"/>
          <w:lang w:val="en-US" w:eastAsia="zh-CN"/>
        </w:rPr>
        <w:t>100</w:t>
      </w:r>
      <w:r>
        <w:rPr>
          <w:rFonts w:hint="eastAsia" w:ascii="仿宋_GB2312" w:hAnsi="仿宋_GB2312" w:eastAsia="仿宋_GB2312" w:cs="仿宋_GB2312"/>
          <w:szCs w:val="32"/>
        </w:rPr>
        <w:t>万元、政府采购工程预算</w:t>
      </w:r>
      <w:r>
        <w:rPr>
          <w:rFonts w:hint="eastAsia" w:ascii="仿宋_GB2312" w:hAnsi="仿宋_GB2312" w:cs="仿宋_GB2312"/>
          <w:szCs w:val="32"/>
          <w:u w:val="single"/>
          <w:lang w:val="en-US" w:eastAsia="zh-CN"/>
        </w:rPr>
        <w:t>50</w:t>
      </w:r>
      <w:r>
        <w:rPr>
          <w:rFonts w:hint="eastAsia" w:ascii="仿宋_GB2312" w:hAnsi="仿宋_GB2312" w:eastAsia="仿宋_GB2312" w:cs="仿宋_GB2312"/>
          <w:szCs w:val="32"/>
        </w:rPr>
        <w:t>万元、政府采购服务预算</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w:t>
      </w:r>
    </w:p>
    <w:p>
      <w:pPr>
        <w:spacing w:line="540" w:lineRule="exact"/>
        <w:ind w:firstLine="640" w:firstLineChars="200"/>
        <w:rPr>
          <w:rFonts w:eastAsia="楷体"/>
          <w:szCs w:val="32"/>
        </w:rPr>
      </w:pPr>
      <w:r>
        <w:rPr>
          <w:rFonts w:eastAsia="楷体"/>
          <w:szCs w:val="32"/>
        </w:rPr>
        <w:t>（三）国有资产占有使用情况</w:t>
      </w:r>
    </w:p>
    <w:p>
      <w:pPr>
        <w:spacing w:line="540" w:lineRule="exact"/>
        <w:ind w:firstLine="640" w:firstLineChars="200"/>
        <w:rPr>
          <w:rFonts w:hint="eastAsia" w:ascii="仿宋_GB2312" w:hAnsi="仿宋_GB2312" w:eastAsia="仿宋_GB2312" w:cs="仿宋_GB2312"/>
          <w:szCs w:val="32"/>
        </w:rPr>
      </w:pPr>
      <w:r>
        <w:rPr>
          <w:rFonts w:hint="eastAsia" w:ascii="仿宋_GB2312" w:hAnsi="仿宋_GB2312" w:eastAsia="仿宋_GB2312" w:cs="仿宋_GB2312"/>
          <w:szCs w:val="32"/>
        </w:rPr>
        <w:t>截至</w:t>
      </w:r>
      <w:r>
        <w:rPr>
          <w:rFonts w:hint="eastAsia" w:ascii="仿宋_GB2312" w:hAnsi="仿宋_GB2312" w:cs="仿宋_GB2312"/>
          <w:szCs w:val="32"/>
          <w:lang w:eastAsia="zh-CN"/>
        </w:rPr>
        <w:t>2023</w:t>
      </w:r>
      <w:r>
        <w:rPr>
          <w:rFonts w:hint="eastAsia" w:ascii="仿宋_GB2312" w:hAnsi="仿宋_GB2312" w:eastAsia="仿宋_GB2312" w:cs="仿宋_GB2312"/>
          <w:szCs w:val="32"/>
        </w:rPr>
        <w:t>年8月底，部门本级和所属各预算单位共有车辆</w:t>
      </w:r>
      <w:r>
        <w:rPr>
          <w:rFonts w:hint="eastAsia" w:ascii="仿宋_GB2312" w:hAnsi="仿宋_GB2312" w:cs="仿宋_GB2312"/>
          <w:szCs w:val="32"/>
          <w:u w:val="single"/>
          <w:lang w:val="en-US" w:eastAsia="zh-CN"/>
        </w:rPr>
        <w:t>34</w:t>
      </w:r>
      <w:r>
        <w:rPr>
          <w:rFonts w:hint="eastAsia" w:ascii="仿宋_GB2312" w:hAnsi="仿宋_GB2312" w:eastAsia="仿宋_GB2312" w:cs="仿宋_GB2312"/>
          <w:szCs w:val="32"/>
        </w:rPr>
        <w:t>辆，土地</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平方米，房屋</w:t>
      </w:r>
      <w:r>
        <w:rPr>
          <w:rFonts w:hint="eastAsia" w:ascii="仿宋_GB2312" w:hAnsi="仿宋_GB2312" w:cs="仿宋_GB2312"/>
          <w:szCs w:val="32"/>
          <w:u w:val="single"/>
          <w:lang w:val="en-US" w:eastAsia="zh-CN"/>
        </w:rPr>
        <w:t>8618.22</w:t>
      </w:r>
      <w:r>
        <w:rPr>
          <w:rFonts w:hint="eastAsia" w:ascii="仿宋_GB2312" w:hAnsi="仿宋_GB2312" w:eastAsia="仿宋_GB2312" w:cs="仿宋_GB2312"/>
          <w:szCs w:val="32"/>
        </w:rPr>
        <w:t>平方米，单价</w:t>
      </w:r>
      <w:r>
        <w:rPr>
          <w:rFonts w:hint="eastAsia" w:ascii="仿宋_GB2312" w:hAnsi="仿宋_GB2312" w:eastAsia="仿宋_GB2312" w:cs="仿宋_GB2312"/>
          <w:szCs w:val="32"/>
          <w:u w:val="single"/>
        </w:rPr>
        <w:t>50</w:t>
      </w:r>
      <w:r>
        <w:rPr>
          <w:rFonts w:hint="eastAsia" w:ascii="仿宋_GB2312" w:hAnsi="仿宋_GB2312" w:eastAsia="仿宋_GB2312" w:cs="仿宋_GB2312"/>
          <w:szCs w:val="32"/>
        </w:rPr>
        <w:t>万元及以上的通用设备</w:t>
      </w:r>
      <w:r>
        <w:rPr>
          <w:rFonts w:hint="eastAsia" w:ascii="仿宋_GB2312" w:hAnsi="仿宋_GB2312" w:cs="仿宋_GB2312"/>
          <w:szCs w:val="32"/>
          <w:lang w:val="en-US" w:eastAsia="zh-CN"/>
        </w:rPr>
        <w:t>2</w:t>
      </w:r>
      <w:r>
        <w:rPr>
          <w:rFonts w:hint="eastAsia" w:ascii="仿宋_GB2312" w:hAnsi="仿宋_GB2312" w:eastAsia="仿宋_GB2312" w:cs="仿宋_GB2312"/>
          <w:szCs w:val="32"/>
        </w:rPr>
        <w:t>台/套，单价</w:t>
      </w:r>
      <w:r>
        <w:rPr>
          <w:rFonts w:hint="eastAsia" w:ascii="仿宋_GB2312" w:hAnsi="仿宋_GB2312" w:eastAsia="仿宋_GB2312" w:cs="仿宋_GB2312"/>
          <w:szCs w:val="32"/>
          <w:u w:val="single"/>
        </w:rPr>
        <w:t>100</w:t>
      </w:r>
      <w:r>
        <w:rPr>
          <w:rFonts w:hint="eastAsia" w:ascii="仿宋_GB2312" w:hAnsi="仿宋_GB2312" w:eastAsia="仿宋_GB2312" w:cs="仿宋_GB2312"/>
          <w:szCs w:val="32"/>
        </w:rPr>
        <w:t>万元及以上的专用设备实有数</w:t>
      </w:r>
      <w:r>
        <w:rPr>
          <w:rFonts w:hint="eastAsia" w:ascii="仿宋_GB2312" w:hAnsi="仿宋_GB2312" w:cs="仿宋_GB2312"/>
          <w:szCs w:val="32"/>
          <w:u w:val="single"/>
          <w:lang w:val="en-US" w:eastAsia="zh-CN"/>
        </w:rPr>
        <w:t>6</w:t>
      </w:r>
      <w:r>
        <w:rPr>
          <w:rFonts w:hint="eastAsia" w:ascii="仿宋_GB2312" w:hAnsi="仿宋_GB2312" w:eastAsia="仿宋_GB2312" w:cs="仿宋_GB2312"/>
          <w:szCs w:val="32"/>
        </w:rPr>
        <w:t>台/套。</w:t>
      </w:r>
    </w:p>
    <w:p>
      <w:pPr>
        <w:spacing w:line="540" w:lineRule="exact"/>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年部门预算安排购置车辆</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辆，安排购置土地</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平方米，安排购置房屋</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平方米，计划新增单价50万元及以上的通用设备</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台/套，计划新增单价100万元及以上的专用设备实有数</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台/套。</w:t>
      </w:r>
    </w:p>
    <w:p>
      <w:pPr>
        <w:numPr>
          <w:ilvl w:val="0"/>
          <w:numId w:val="1"/>
        </w:numPr>
        <w:spacing w:line="540" w:lineRule="exact"/>
        <w:ind w:firstLine="640" w:firstLineChars="200"/>
        <w:rPr>
          <w:rFonts w:hint="eastAsia" w:eastAsia="楷体"/>
          <w:szCs w:val="32"/>
          <w:highlight w:val="none"/>
        </w:rPr>
      </w:pPr>
      <w:r>
        <w:rPr>
          <w:rFonts w:hint="eastAsia" w:eastAsia="楷体"/>
          <w:szCs w:val="32"/>
          <w:highlight w:val="none"/>
        </w:rPr>
        <w:t>项目支出情况说明</w:t>
      </w:r>
    </w:p>
    <w:p>
      <w:pPr>
        <w:spacing w:line="540" w:lineRule="exact"/>
        <w:ind w:firstLine="640" w:firstLineChars="200"/>
        <w:rPr>
          <w:rFonts w:hint="eastAsia" w:ascii="仿宋_GB2312" w:hAnsi="仿宋_GB2312" w:eastAsia="仿宋_GB2312" w:cs="仿宋_GB2312"/>
          <w:highlight w:val="none"/>
        </w:rPr>
      </w:pPr>
      <w:r>
        <w:rPr>
          <w:rFonts w:hint="eastAsia" w:ascii="仿宋_GB2312" w:hAnsi="仿宋_GB2312" w:cs="仿宋_GB2312"/>
          <w:highlight w:val="none"/>
          <w:lang w:eastAsia="zh-CN"/>
        </w:rPr>
        <w:t>2024</w:t>
      </w:r>
      <w:r>
        <w:rPr>
          <w:rFonts w:hint="eastAsia" w:ascii="仿宋_GB2312" w:hAnsi="仿宋_GB2312" w:eastAsia="仿宋_GB2312" w:cs="仿宋_GB2312"/>
          <w:highlight w:val="none"/>
        </w:rPr>
        <w:t>年部门项目支出</w:t>
      </w:r>
      <w:r>
        <w:rPr>
          <w:rFonts w:hint="eastAsia" w:ascii="仿宋_GB2312" w:hAnsi="仿宋_GB2312" w:cs="仿宋_GB2312"/>
          <w:szCs w:val="32"/>
          <w:highlight w:val="none"/>
          <w:u w:val="single"/>
          <w:lang w:val="en-US" w:eastAsia="zh-CN"/>
        </w:rPr>
        <w:t>547.20</w:t>
      </w:r>
      <w:r>
        <w:rPr>
          <w:rFonts w:hint="eastAsia" w:ascii="仿宋_GB2312" w:hAnsi="仿宋_GB2312" w:eastAsia="仿宋_GB2312" w:cs="仿宋_GB2312"/>
          <w:szCs w:val="32"/>
          <w:highlight w:val="none"/>
        </w:rPr>
        <w:t>万元，其中：一级项目</w:t>
      </w:r>
      <w:r>
        <w:rPr>
          <w:rFonts w:hint="eastAsia" w:ascii="仿宋_GB2312" w:hAnsi="仿宋_GB2312" w:cs="仿宋_GB2312"/>
          <w:szCs w:val="32"/>
          <w:highlight w:val="none"/>
          <w:u w:val="single"/>
          <w:lang w:val="en-US" w:eastAsia="zh-CN"/>
        </w:rPr>
        <w:t>3</w:t>
      </w:r>
      <w:r>
        <w:rPr>
          <w:rFonts w:hint="eastAsia" w:ascii="仿宋_GB2312" w:hAnsi="仿宋_GB2312" w:eastAsia="仿宋_GB2312" w:cs="仿宋_GB2312"/>
          <w:szCs w:val="32"/>
          <w:highlight w:val="none"/>
        </w:rPr>
        <w:t>个，二级项目</w:t>
      </w:r>
      <w:r>
        <w:rPr>
          <w:rFonts w:hint="eastAsia" w:ascii="仿宋_GB2312" w:hAnsi="仿宋_GB2312" w:cs="仿宋_GB2312"/>
          <w:szCs w:val="32"/>
          <w:highlight w:val="none"/>
          <w:u w:val="single"/>
          <w:lang w:val="en-US" w:eastAsia="zh-CN"/>
        </w:rPr>
        <w:t>3</w:t>
      </w:r>
      <w:r>
        <w:rPr>
          <w:rFonts w:hint="eastAsia" w:ascii="仿宋_GB2312" w:hAnsi="仿宋_GB2312" w:eastAsia="仿宋_GB2312" w:cs="仿宋_GB2312"/>
          <w:szCs w:val="32"/>
          <w:highlight w:val="none"/>
        </w:rPr>
        <w:t>个；使用本年拨款</w:t>
      </w:r>
      <w:r>
        <w:rPr>
          <w:rFonts w:hint="eastAsia" w:ascii="仿宋_GB2312" w:hAnsi="仿宋_GB2312" w:cs="仿宋_GB2312"/>
          <w:szCs w:val="32"/>
          <w:highlight w:val="none"/>
          <w:u w:val="single"/>
          <w:lang w:val="en-US" w:eastAsia="zh-CN"/>
        </w:rPr>
        <w:t>547.20</w:t>
      </w:r>
      <w:r>
        <w:rPr>
          <w:rFonts w:hint="eastAsia" w:ascii="仿宋_GB2312" w:hAnsi="仿宋_GB2312" w:eastAsia="仿宋_GB2312" w:cs="仿宋_GB2312"/>
          <w:szCs w:val="32"/>
          <w:highlight w:val="none"/>
        </w:rPr>
        <w:t>万元，财政拨款结转</w:t>
      </w:r>
      <w:r>
        <w:rPr>
          <w:rFonts w:hint="eastAsia" w:ascii="仿宋_GB2312" w:hAnsi="仿宋_GB2312" w:cs="仿宋_GB2312"/>
          <w:szCs w:val="32"/>
          <w:highlight w:val="none"/>
          <w:u w:val="single"/>
          <w:lang w:val="en-US" w:eastAsia="zh-CN"/>
        </w:rPr>
        <w:t>0</w:t>
      </w:r>
      <w:r>
        <w:rPr>
          <w:rFonts w:hint="eastAsia" w:ascii="仿宋_GB2312" w:hAnsi="仿宋_GB2312" w:eastAsia="仿宋_GB2312" w:cs="仿宋_GB2312"/>
          <w:szCs w:val="32"/>
          <w:highlight w:val="none"/>
        </w:rPr>
        <w:t>万元。</w:t>
      </w:r>
    </w:p>
    <w:p>
      <w:pPr>
        <w:spacing w:line="540" w:lineRule="exact"/>
        <w:ind w:firstLine="640" w:firstLineChars="200"/>
        <w:rPr>
          <w:rFonts w:eastAsia="楷体"/>
          <w:szCs w:val="32"/>
        </w:rPr>
      </w:pPr>
      <w:r>
        <w:rPr>
          <w:rFonts w:hint="eastAsia" w:eastAsia="楷体"/>
          <w:szCs w:val="32"/>
        </w:rPr>
        <w:t>（五）项目支出绩效目标情况说明</w:t>
      </w:r>
    </w:p>
    <w:p>
      <w:pPr>
        <w:ind w:firstLine="645"/>
        <w:rPr>
          <w:rFonts w:hint="eastAsia" w:ascii="仿宋_GB2312" w:hAnsi="仿宋_GB2312" w:eastAsia="仿宋_GB2312" w:cs="仿宋_GB2312"/>
          <w:szCs w:val="32"/>
        </w:rPr>
      </w:pPr>
      <w:r>
        <w:rPr>
          <w:rFonts w:hint="eastAsia" w:ascii="仿宋_GB2312" w:hAnsi="仿宋_GB2312" w:eastAsia="仿宋_GB2312" w:cs="仿宋_GB2312"/>
        </w:rPr>
        <w:t>按照全面实施预算绩效管理的要求，结合本部门职能和重点工作，</w:t>
      </w:r>
      <w:r>
        <w:rPr>
          <w:rFonts w:hint="eastAsia" w:ascii="仿宋_GB2312" w:hAnsi="仿宋_GB2312" w:cs="仿宋_GB2312"/>
          <w:lang w:eastAsia="zh-CN"/>
        </w:rPr>
        <w:t>2024</w:t>
      </w:r>
      <w:r>
        <w:rPr>
          <w:rFonts w:hint="eastAsia" w:ascii="仿宋_GB2312" w:hAnsi="仿宋_GB2312" w:eastAsia="仿宋_GB2312" w:cs="仿宋_GB2312"/>
        </w:rPr>
        <w:t>年确定</w:t>
      </w:r>
      <w:r>
        <w:rPr>
          <w:rFonts w:hint="eastAsia" w:ascii="仿宋_GB2312" w:hAnsi="仿宋_GB2312" w:cs="仿宋_GB2312"/>
          <w:szCs w:val="32"/>
          <w:u w:val="single"/>
          <w:lang w:val="en-US" w:eastAsia="zh-CN"/>
        </w:rPr>
        <w:t>3</w:t>
      </w:r>
      <w:r>
        <w:rPr>
          <w:rFonts w:hint="eastAsia" w:ascii="仿宋_GB2312" w:hAnsi="仿宋_GB2312" w:eastAsia="仿宋_GB2312" w:cs="仿宋_GB2312"/>
        </w:rPr>
        <w:t>个</w:t>
      </w:r>
      <w:r>
        <w:rPr>
          <w:rFonts w:hint="eastAsia" w:ascii="仿宋_GB2312" w:hAnsi="仿宋_GB2312" w:cs="仿宋_GB2312"/>
          <w:lang w:val="en-US" w:eastAsia="zh-CN"/>
        </w:rPr>
        <w:t>二</w:t>
      </w:r>
      <w:r>
        <w:rPr>
          <w:rFonts w:hint="eastAsia" w:ascii="仿宋_GB2312" w:hAnsi="仿宋_GB2312" w:eastAsia="仿宋_GB2312" w:cs="仿宋_GB2312"/>
        </w:rPr>
        <w:t>级项目支出的绩效目标和指标向社会公开，涉及金额</w:t>
      </w:r>
      <w:r>
        <w:rPr>
          <w:rFonts w:hint="eastAsia" w:ascii="仿宋_GB2312" w:hAnsi="仿宋_GB2312" w:cs="仿宋_GB2312"/>
          <w:szCs w:val="32"/>
          <w:u w:val="single"/>
          <w:lang w:val="en-US" w:eastAsia="zh-CN"/>
        </w:rPr>
        <w:t>547.20</w:t>
      </w:r>
      <w:r>
        <w:rPr>
          <w:rFonts w:hint="eastAsia" w:ascii="仿宋_GB2312" w:hAnsi="仿宋_GB2312" w:eastAsia="仿宋_GB2312" w:cs="仿宋_GB2312"/>
        </w:rPr>
        <w:t>万元。</w:t>
      </w:r>
    </w:p>
    <w:p>
      <w:pPr>
        <w:ind w:firstLine="645"/>
        <w:rPr>
          <w:rFonts w:eastAsia="楷体"/>
          <w:szCs w:val="32"/>
        </w:rPr>
      </w:pPr>
    </w:p>
    <w:p>
      <w:pPr>
        <w:spacing w:line="540" w:lineRule="exact"/>
        <w:ind w:firstLine="640" w:firstLineChars="200"/>
        <w:rPr>
          <w:rFonts w:eastAsia="楷体"/>
          <w:szCs w:val="32"/>
        </w:rPr>
      </w:pPr>
      <w:r>
        <w:rPr>
          <w:rFonts w:eastAsia="楷体"/>
          <w:szCs w:val="32"/>
        </w:rPr>
        <w:t>注：没有需要按规定说明情况的，直接表述为“本部门无______”，不得直接删除。</w:t>
      </w:r>
    </w:p>
    <w:p>
      <w:pPr>
        <w:spacing w:line="540" w:lineRule="exact"/>
        <w:ind w:firstLine="640" w:firstLineChars="200"/>
        <w:rPr>
          <w:szCs w:val="32"/>
        </w:rPr>
      </w:pPr>
      <w:r>
        <w:rPr>
          <w:rFonts w:eastAsia="楷体"/>
          <w:szCs w:val="32"/>
        </w:rPr>
        <w:br w:type="page"/>
      </w:r>
    </w:p>
    <w:p>
      <w:pPr>
        <w:ind w:firstLine="640" w:firstLineChars="200"/>
        <w:jc w:val="center"/>
        <w:rPr>
          <w:rFonts w:eastAsia="黑体"/>
        </w:rPr>
      </w:pPr>
      <w:r>
        <w:rPr>
          <w:rFonts w:eastAsia="黑体"/>
        </w:rPr>
        <w:t>第四部分 名词解释</w:t>
      </w:r>
    </w:p>
    <w:p>
      <w:pPr>
        <w:ind w:firstLine="640" w:firstLineChars="200"/>
        <w:jc w:val="center"/>
        <w:rPr>
          <w:rFonts w:eastAsia="黑体"/>
        </w:rPr>
      </w:pPr>
    </w:p>
    <w:p>
      <w:pPr>
        <w:ind w:firstLine="640" w:firstLineChars="200"/>
        <w:rPr>
          <w:szCs w:val="32"/>
        </w:rPr>
      </w:pPr>
      <w:r>
        <w:rPr>
          <w:rFonts w:eastAsia="楷体"/>
          <w:szCs w:val="32"/>
        </w:rPr>
        <w:t>（一）一般公共预算拨款收入：</w:t>
      </w:r>
      <w:r>
        <w:rPr>
          <w:szCs w:val="32"/>
        </w:rPr>
        <w:t>指省级财政通过当年一般公共预算拨付的资金。</w:t>
      </w:r>
    </w:p>
    <w:p>
      <w:pPr>
        <w:ind w:firstLine="640" w:firstLineChars="200"/>
        <w:rPr>
          <w:szCs w:val="32"/>
        </w:rPr>
      </w:pPr>
      <w:r>
        <w:rPr>
          <w:rFonts w:eastAsia="楷体"/>
          <w:szCs w:val="32"/>
        </w:rPr>
        <w:t>（二）</w:t>
      </w:r>
      <w:r>
        <w:rPr>
          <w:rFonts w:hint="eastAsia" w:eastAsia="楷体"/>
          <w:szCs w:val="32"/>
        </w:rPr>
        <w:t>政府性基金预算拨款收入：</w:t>
      </w:r>
      <w:r>
        <w:rPr>
          <w:szCs w:val="32"/>
        </w:rPr>
        <w:t>指省级财政通过当年</w:t>
      </w:r>
      <w:r>
        <w:rPr>
          <w:rFonts w:hint="eastAsia"/>
          <w:szCs w:val="32"/>
        </w:rPr>
        <w:t>政府性基金</w:t>
      </w:r>
      <w:r>
        <w:rPr>
          <w:szCs w:val="32"/>
        </w:rPr>
        <w:t>预算拨付的资金。</w:t>
      </w:r>
    </w:p>
    <w:p>
      <w:pPr>
        <w:ind w:firstLine="640" w:firstLineChars="200"/>
        <w:rPr>
          <w:szCs w:val="32"/>
        </w:rPr>
      </w:pPr>
      <w:r>
        <w:rPr>
          <w:rFonts w:eastAsia="楷体"/>
          <w:szCs w:val="32"/>
        </w:rPr>
        <w:t>（</w:t>
      </w:r>
      <w:r>
        <w:rPr>
          <w:rFonts w:hint="eastAsia" w:eastAsia="楷体"/>
          <w:szCs w:val="32"/>
        </w:rPr>
        <w:t>三</w:t>
      </w:r>
      <w:r>
        <w:rPr>
          <w:rFonts w:eastAsia="楷体"/>
          <w:szCs w:val="32"/>
        </w:rPr>
        <w:t>）</w:t>
      </w:r>
      <w:r>
        <w:rPr>
          <w:rFonts w:hint="eastAsia" w:eastAsia="楷体"/>
          <w:szCs w:val="32"/>
        </w:rPr>
        <w:t>国有资本经营预算拨款收入：</w:t>
      </w:r>
      <w:r>
        <w:rPr>
          <w:szCs w:val="32"/>
        </w:rPr>
        <w:t>指省级财政通过当年</w:t>
      </w:r>
      <w:r>
        <w:rPr>
          <w:rFonts w:hint="eastAsia"/>
          <w:szCs w:val="32"/>
        </w:rPr>
        <w:t>国有资本经营</w:t>
      </w:r>
      <w:r>
        <w:rPr>
          <w:szCs w:val="32"/>
        </w:rPr>
        <w:t>预算拨付的资金。</w:t>
      </w:r>
    </w:p>
    <w:p>
      <w:pPr>
        <w:ind w:firstLine="640"/>
        <w:rPr>
          <w:rFonts w:hint="eastAsia"/>
          <w:szCs w:val="32"/>
        </w:rPr>
      </w:pPr>
      <w:r>
        <w:rPr>
          <w:rFonts w:eastAsia="楷体"/>
          <w:szCs w:val="32"/>
        </w:rPr>
        <w:t>（</w:t>
      </w:r>
      <w:r>
        <w:rPr>
          <w:rFonts w:hint="eastAsia" w:eastAsia="楷体"/>
          <w:szCs w:val="32"/>
        </w:rPr>
        <w:t>四</w:t>
      </w:r>
      <w:r>
        <w:rPr>
          <w:rFonts w:eastAsia="楷体"/>
          <w:szCs w:val="32"/>
        </w:rPr>
        <w:t>）</w:t>
      </w:r>
      <w:r>
        <w:rPr>
          <w:rFonts w:hint="eastAsia" w:eastAsia="楷体"/>
          <w:szCs w:val="32"/>
        </w:rPr>
        <w:t>财政专户管理资金收入</w:t>
      </w:r>
      <w:r>
        <w:rPr>
          <w:rFonts w:eastAsia="楷体"/>
          <w:szCs w:val="32"/>
        </w:rPr>
        <w:t>：</w:t>
      </w:r>
      <w:r>
        <w:rPr>
          <w:rFonts w:hint="eastAsia"/>
          <w:szCs w:val="32"/>
        </w:rPr>
        <w:t>指未纳入预算并实行财政专户管理的资金收入。</w:t>
      </w:r>
    </w:p>
    <w:p>
      <w:pPr>
        <w:ind w:firstLine="640"/>
        <w:rPr>
          <w:szCs w:val="32"/>
        </w:rPr>
      </w:pPr>
      <w:r>
        <w:rPr>
          <w:rFonts w:hint="eastAsia" w:eastAsia="楷体"/>
          <w:szCs w:val="32"/>
        </w:rPr>
        <w:t>（五）</w:t>
      </w:r>
      <w:r>
        <w:rPr>
          <w:rFonts w:eastAsia="楷体"/>
          <w:szCs w:val="32"/>
        </w:rPr>
        <w:t>事业收入：</w:t>
      </w:r>
      <w:r>
        <w:rPr>
          <w:szCs w:val="32"/>
        </w:rPr>
        <w:t>指事业单位开展专业业务活动及辅助活动所取得的收入。</w:t>
      </w:r>
    </w:p>
    <w:p>
      <w:pPr>
        <w:ind w:firstLine="640"/>
        <w:rPr>
          <w:rFonts w:hint="eastAsia"/>
          <w:szCs w:val="32"/>
        </w:rPr>
      </w:pPr>
      <w:r>
        <w:rPr>
          <w:rFonts w:eastAsia="楷体"/>
          <w:szCs w:val="32"/>
        </w:rPr>
        <w:t>（</w:t>
      </w:r>
      <w:r>
        <w:rPr>
          <w:rFonts w:hint="eastAsia" w:eastAsia="楷体"/>
          <w:szCs w:val="32"/>
        </w:rPr>
        <w:t>六</w:t>
      </w:r>
      <w:r>
        <w:rPr>
          <w:rFonts w:eastAsia="楷体"/>
          <w:szCs w:val="32"/>
        </w:rPr>
        <w:t>）</w:t>
      </w:r>
      <w:r>
        <w:rPr>
          <w:rFonts w:hint="eastAsia" w:eastAsia="楷体"/>
          <w:szCs w:val="32"/>
        </w:rPr>
        <w:t>上级补助收入：</w:t>
      </w:r>
      <w:r>
        <w:rPr>
          <w:rFonts w:hint="eastAsia"/>
          <w:szCs w:val="32"/>
        </w:rPr>
        <w:t>指预算单位从主管部门或上级单位取得的非财政拨款补助收入。</w:t>
      </w:r>
    </w:p>
    <w:p>
      <w:pPr>
        <w:ind w:firstLine="640"/>
        <w:rPr>
          <w:rFonts w:hint="eastAsia"/>
          <w:szCs w:val="32"/>
        </w:rPr>
      </w:pPr>
      <w:r>
        <w:rPr>
          <w:rFonts w:eastAsia="楷体"/>
          <w:szCs w:val="32"/>
        </w:rPr>
        <w:t>（</w:t>
      </w:r>
      <w:r>
        <w:rPr>
          <w:rFonts w:hint="eastAsia" w:eastAsia="楷体"/>
          <w:szCs w:val="32"/>
        </w:rPr>
        <w:t>七</w:t>
      </w:r>
      <w:r>
        <w:rPr>
          <w:rFonts w:eastAsia="楷体"/>
          <w:szCs w:val="32"/>
        </w:rPr>
        <w:t>）</w:t>
      </w:r>
      <w:r>
        <w:rPr>
          <w:rFonts w:hint="eastAsia" w:eastAsia="楷体"/>
          <w:szCs w:val="32"/>
        </w:rPr>
        <w:t>附属单位上缴收入：</w:t>
      </w:r>
      <w:r>
        <w:rPr>
          <w:rFonts w:hint="eastAsia"/>
          <w:szCs w:val="32"/>
        </w:rPr>
        <w:t>指本单位所属下级单位（包含独立核算和非独立核算的，相关支出纳入和未纳入部门预算的下级单位）上缴给本单位的全部收入（包括下级事业单位上缴的事业收入、其他收入和下级企业单位上缴的利润等）。</w:t>
      </w:r>
    </w:p>
    <w:p>
      <w:pPr>
        <w:ind w:firstLine="640"/>
        <w:rPr>
          <w:szCs w:val="32"/>
        </w:rPr>
      </w:pPr>
      <w:r>
        <w:rPr>
          <w:rFonts w:eastAsia="楷体"/>
          <w:szCs w:val="32"/>
        </w:rPr>
        <w:t>（</w:t>
      </w:r>
      <w:r>
        <w:rPr>
          <w:rFonts w:hint="eastAsia" w:eastAsia="楷体"/>
          <w:szCs w:val="32"/>
        </w:rPr>
        <w:t>八</w:t>
      </w:r>
      <w:r>
        <w:rPr>
          <w:rFonts w:eastAsia="楷体"/>
          <w:szCs w:val="32"/>
        </w:rPr>
        <w:t>）事业单位经营收入：</w:t>
      </w:r>
      <w:r>
        <w:rPr>
          <w:szCs w:val="32"/>
        </w:rPr>
        <w:t>指事业单位在专业业务活动及其辅助活动之外开展非独立核算经营活动取得的收入。</w:t>
      </w:r>
    </w:p>
    <w:p>
      <w:pPr>
        <w:ind w:firstLine="640"/>
        <w:rPr>
          <w:rFonts w:hint="eastAsia" w:ascii="仿宋_GB2312" w:hAnsi="仿宋_GB2312" w:eastAsia="仿宋_GB2312" w:cs="仿宋_GB2312"/>
          <w:szCs w:val="32"/>
        </w:rPr>
      </w:pPr>
      <w:r>
        <w:rPr>
          <w:rFonts w:eastAsia="楷体"/>
          <w:szCs w:val="32"/>
        </w:rPr>
        <w:t>（</w:t>
      </w:r>
      <w:r>
        <w:rPr>
          <w:rFonts w:hint="eastAsia" w:eastAsia="楷体"/>
          <w:szCs w:val="32"/>
        </w:rPr>
        <w:t>九</w:t>
      </w:r>
      <w:r>
        <w:rPr>
          <w:rFonts w:eastAsia="楷体"/>
          <w:szCs w:val="32"/>
        </w:rPr>
        <w:t>）其他收入：</w:t>
      </w:r>
      <w:r>
        <w:rPr>
          <w:rFonts w:hint="eastAsia" w:ascii="仿宋_GB2312" w:hAnsi="仿宋_GB2312" w:eastAsia="仿宋_GB2312" w:cs="仿宋_GB2312"/>
          <w:szCs w:val="32"/>
        </w:rPr>
        <w:t>指除上述“一般公共预算拨款收入”、“政府性基金预算拨款收入”、“事业收入”、“事业单位经营收入”等以外的收入。</w:t>
      </w:r>
    </w:p>
    <w:p>
      <w:pPr>
        <w:ind w:firstLine="640"/>
        <w:rPr>
          <w:rFonts w:hint="eastAsia" w:ascii="仿宋_GB2312" w:hAnsi="仿宋_GB2312" w:eastAsia="仿宋_GB2312" w:cs="仿宋_GB2312"/>
          <w:szCs w:val="32"/>
        </w:rPr>
      </w:pPr>
      <w:r>
        <w:rPr>
          <w:rFonts w:eastAsia="楷体"/>
          <w:szCs w:val="32"/>
        </w:rPr>
        <w:t>（</w:t>
      </w:r>
      <w:r>
        <w:rPr>
          <w:rFonts w:hint="eastAsia" w:eastAsia="楷体"/>
          <w:szCs w:val="32"/>
        </w:rPr>
        <w:t>十</w:t>
      </w:r>
      <w:r>
        <w:rPr>
          <w:rFonts w:eastAsia="楷体"/>
          <w:szCs w:val="32"/>
        </w:rPr>
        <w:t>）用事业基金弥补收支差额：</w:t>
      </w:r>
      <w:r>
        <w:rPr>
          <w:rFonts w:hint="eastAsia" w:ascii="仿宋_GB2312" w:hAnsi="仿宋_GB2312" w:eastAsia="仿宋_GB2312" w:cs="仿宋_GB2312"/>
          <w:szCs w:val="32"/>
        </w:rPr>
        <w:t>指事业单位在预计当年的“一般公共预算拨款收入”、“政府性基金预算拨款收入”、“事业收入”、“事业单位经营收入”、“其他收入”不足以安排当年支出的情况下，使用以前年度积累的事业基金（事业单位当年收支相抵后按国家规定提取、用于弥补以后年度收支差额的基金）弥补本年度收支缺口的资金。</w:t>
      </w:r>
    </w:p>
    <w:p>
      <w:pPr>
        <w:ind w:firstLine="640"/>
        <w:rPr>
          <w:szCs w:val="32"/>
        </w:rPr>
      </w:pPr>
      <w:r>
        <w:rPr>
          <w:rFonts w:eastAsia="楷体"/>
          <w:szCs w:val="32"/>
        </w:rPr>
        <w:t>（十</w:t>
      </w:r>
      <w:r>
        <w:rPr>
          <w:rFonts w:hint="eastAsia" w:eastAsia="楷体"/>
          <w:szCs w:val="32"/>
        </w:rPr>
        <w:t>一</w:t>
      </w:r>
      <w:r>
        <w:rPr>
          <w:rFonts w:eastAsia="楷体"/>
          <w:szCs w:val="32"/>
        </w:rPr>
        <w:t>）上年结转：</w:t>
      </w:r>
      <w:r>
        <w:rPr>
          <w:szCs w:val="32"/>
        </w:rPr>
        <w:t>指以前年度尚未完成、结转到本年仍按原规定用途继续使用的资金。</w:t>
      </w:r>
    </w:p>
    <w:p>
      <w:pPr>
        <w:ind w:firstLine="640"/>
        <w:rPr>
          <w:szCs w:val="32"/>
        </w:rPr>
      </w:pPr>
      <w:r>
        <w:rPr>
          <w:rFonts w:eastAsia="楷体"/>
          <w:szCs w:val="32"/>
        </w:rPr>
        <w:t>（十二）结转下年：</w:t>
      </w:r>
      <w:r>
        <w:rPr>
          <w:szCs w:val="32"/>
        </w:rPr>
        <w:t>指以前年度预算安排、因客观条件发生变化无法按原计划实施，需延迟到以后年度按原规定用途继续使用的资金。</w:t>
      </w:r>
    </w:p>
    <w:p>
      <w:pPr>
        <w:ind w:firstLine="640"/>
        <w:rPr>
          <w:szCs w:val="32"/>
        </w:rPr>
      </w:pPr>
      <w:r>
        <w:rPr>
          <w:rFonts w:eastAsia="楷体"/>
          <w:szCs w:val="32"/>
        </w:rPr>
        <w:t>（十三）基本支出：</w:t>
      </w:r>
      <w:r>
        <w:rPr>
          <w:szCs w:val="32"/>
        </w:rPr>
        <w:t>指为保障机构正常运转、完成日常工作任务而发生的人员支出和公用支出。</w:t>
      </w:r>
    </w:p>
    <w:p>
      <w:pPr>
        <w:ind w:firstLine="640"/>
        <w:rPr>
          <w:szCs w:val="32"/>
        </w:rPr>
      </w:pPr>
      <w:r>
        <w:rPr>
          <w:rFonts w:eastAsia="楷体"/>
          <w:szCs w:val="32"/>
        </w:rPr>
        <w:t>（十</w:t>
      </w:r>
      <w:r>
        <w:rPr>
          <w:rFonts w:hint="eastAsia" w:eastAsia="楷体"/>
          <w:szCs w:val="32"/>
        </w:rPr>
        <w:t>四</w:t>
      </w:r>
      <w:r>
        <w:rPr>
          <w:rFonts w:eastAsia="楷体"/>
          <w:szCs w:val="32"/>
        </w:rPr>
        <w:t>）项目支出：</w:t>
      </w:r>
      <w:r>
        <w:rPr>
          <w:szCs w:val="32"/>
        </w:rPr>
        <w:t>指在基本支出之外为完成特定行政任务和事业发展目标所发生的支出。</w:t>
      </w:r>
    </w:p>
    <w:p>
      <w:pPr>
        <w:ind w:firstLine="640"/>
        <w:rPr>
          <w:szCs w:val="32"/>
        </w:rPr>
      </w:pPr>
      <w:r>
        <w:rPr>
          <w:rFonts w:eastAsia="楷体"/>
          <w:szCs w:val="32"/>
        </w:rPr>
        <w:t>（十</w:t>
      </w:r>
      <w:r>
        <w:rPr>
          <w:rFonts w:hint="eastAsia" w:eastAsia="楷体"/>
          <w:szCs w:val="32"/>
        </w:rPr>
        <w:t>五</w:t>
      </w:r>
      <w:r>
        <w:rPr>
          <w:rFonts w:eastAsia="楷体"/>
          <w:szCs w:val="32"/>
        </w:rPr>
        <w:t>）上缴上级支出：</w:t>
      </w:r>
      <w:r>
        <w:rPr>
          <w:szCs w:val="32"/>
        </w:rPr>
        <w:t>指附属单位上缴上级的支出。</w:t>
      </w:r>
    </w:p>
    <w:p>
      <w:pPr>
        <w:ind w:firstLine="640"/>
        <w:rPr>
          <w:szCs w:val="32"/>
        </w:rPr>
      </w:pPr>
      <w:r>
        <w:rPr>
          <w:rFonts w:eastAsia="楷体"/>
          <w:szCs w:val="32"/>
        </w:rPr>
        <w:t>（十</w:t>
      </w:r>
      <w:r>
        <w:rPr>
          <w:rFonts w:hint="eastAsia" w:eastAsia="楷体"/>
          <w:szCs w:val="32"/>
        </w:rPr>
        <w:t>六</w:t>
      </w:r>
      <w:r>
        <w:rPr>
          <w:rFonts w:eastAsia="楷体"/>
          <w:szCs w:val="32"/>
        </w:rPr>
        <w:t>）事业单位经营支出：</w:t>
      </w:r>
      <w:r>
        <w:rPr>
          <w:szCs w:val="32"/>
        </w:rPr>
        <w:t>指事业单位在专业业务活动及其辅助活动之外开展非独立核算经营活动发生的支出。</w:t>
      </w:r>
    </w:p>
    <w:p>
      <w:pPr>
        <w:ind w:firstLine="640"/>
        <w:rPr>
          <w:szCs w:val="32"/>
        </w:rPr>
      </w:pPr>
      <w:r>
        <w:rPr>
          <w:rFonts w:eastAsia="楷体"/>
          <w:szCs w:val="32"/>
        </w:rPr>
        <w:t>（十</w:t>
      </w:r>
      <w:r>
        <w:rPr>
          <w:rFonts w:hint="eastAsia" w:eastAsia="楷体"/>
          <w:szCs w:val="32"/>
        </w:rPr>
        <w:t>七</w:t>
      </w:r>
      <w:r>
        <w:rPr>
          <w:rFonts w:eastAsia="楷体"/>
          <w:szCs w:val="32"/>
        </w:rPr>
        <w:t>）对附属单位补助支出：</w:t>
      </w:r>
      <w:r>
        <w:rPr>
          <w:szCs w:val="32"/>
        </w:rPr>
        <w:t>指对附属单位补助发生的支出。</w:t>
      </w:r>
    </w:p>
    <w:p>
      <w:pPr>
        <w:ind w:firstLine="640"/>
        <w:rPr>
          <w:szCs w:val="32"/>
        </w:rPr>
      </w:pPr>
      <w:r>
        <w:rPr>
          <w:rFonts w:eastAsia="楷体"/>
          <w:szCs w:val="32"/>
        </w:rPr>
        <w:t>（十</w:t>
      </w:r>
      <w:r>
        <w:rPr>
          <w:rFonts w:hint="eastAsia" w:eastAsia="楷体"/>
          <w:szCs w:val="32"/>
        </w:rPr>
        <w:t>八</w:t>
      </w:r>
      <w:r>
        <w:rPr>
          <w:rFonts w:eastAsia="楷体"/>
          <w:szCs w:val="32"/>
        </w:rPr>
        <w:t>）“三公”经费：</w:t>
      </w:r>
      <w:r>
        <w:rPr>
          <w:szCs w:val="32"/>
        </w:rPr>
        <w:t>纳入财政预决算管理的“三公”经费，是指部门用财政拨款安排的因公出国（境）费、公务用车购置及运行费和公务接待费。其中，因公出国（境）费反映单位公务出国（境）费的国际旅游、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pPr>
        <w:ind w:firstLine="640"/>
        <w:rPr>
          <w:szCs w:val="32"/>
        </w:rPr>
      </w:pPr>
      <w:r>
        <w:rPr>
          <w:rFonts w:eastAsia="楷体"/>
          <w:szCs w:val="32"/>
        </w:rPr>
        <w:t>（十</w:t>
      </w:r>
      <w:r>
        <w:rPr>
          <w:rFonts w:hint="eastAsia" w:eastAsia="楷体"/>
          <w:szCs w:val="32"/>
        </w:rPr>
        <w:t>九</w:t>
      </w:r>
      <w:r>
        <w:rPr>
          <w:rFonts w:eastAsia="楷体"/>
          <w:szCs w:val="32"/>
        </w:rPr>
        <w:t>）机关运行经费：</w:t>
      </w:r>
      <w:r>
        <w:rPr>
          <w:szCs w:val="32"/>
        </w:rPr>
        <w:t>为保障行政单位（包括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ind w:firstLine="640" w:firstLineChars="200"/>
        <w:rPr>
          <w:szCs w:val="32"/>
        </w:rPr>
      </w:pPr>
      <w:r>
        <w:rPr>
          <w:rFonts w:eastAsia="楷体"/>
          <w:szCs w:val="32"/>
        </w:rPr>
        <w:t>（</w:t>
      </w:r>
      <w:r>
        <w:rPr>
          <w:rFonts w:hint="eastAsia" w:eastAsia="楷体"/>
          <w:szCs w:val="32"/>
        </w:rPr>
        <w:t>二十</w:t>
      </w:r>
      <w:r>
        <w:rPr>
          <w:rFonts w:eastAsia="楷体"/>
          <w:szCs w:val="32"/>
        </w:rPr>
        <w:t>）</w:t>
      </w:r>
      <w:r>
        <w:rPr>
          <w:rFonts w:hint="eastAsia" w:eastAsia="楷体"/>
          <w:szCs w:val="32"/>
        </w:rPr>
        <w:t>项目支出绩效目标：</w:t>
      </w:r>
      <w:r>
        <w:rPr>
          <w:rFonts w:hint="eastAsia"/>
        </w:rPr>
        <w:t>项目支出绩效目标是指部门预算安排的项目支出在一定期限内预期达到的产出和效果。</w:t>
      </w:r>
    </w:p>
    <w:p>
      <w:pPr>
        <w:ind w:firstLine="640"/>
        <w:rPr>
          <w:szCs w:val="32"/>
        </w:rPr>
      </w:pPr>
    </w:p>
    <w:p>
      <w:pPr>
        <w:ind w:firstLine="640"/>
        <w:rPr>
          <w:szCs w:val="32"/>
        </w:rPr>
      </w:pPr>
    </w:p>
    <w:p>
      <w:pPr>
        <w:rPr>
          <w:szCs w:val="32"/>
        </w:rPr>
      </w:pPr>
    </w:p>
    <w:p>
      <w:pPr>
        <w:spacing w:line="700" w:lineRule="exact"/>
        <w:rPr>
          <w:kern w:val="0"/>
          <w:szCs w:val="32"/>
        </w:rPr>
      </w:pPr>
    </w:p>
    <w:sectPr>
      <w:headerReference r:id="rId3" w:type="default"/>
      <w:footerReference r:id="rId5" w:type="default"/>
      <w:headerReference r:id="rId4" w:type="even"/>
      <w:footerReference r:id="rId6" w:type="even"/>
      <w:type w:val="evenPage"/>
      <w:pgSz w:w="11907" w:h="16840"/>
      <w:pgMar w:top="2041" w:right="1588" w:bottom="2041" w:left="1588" w:header="851" w:footer="1588" w:gutter="0"/>
      <w:pgNumType w:start="0"/>
      <w:cols w:space="720" w:num="1"/>
      <w:titlePg/>
      <w:docGrid w:type="lines" w:linePitch="574" w:charSpace="-1675"/>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华文细黑">
    <w:altName w:val="微软雅黑"/>
    <w:panose1 w:val="02010600040101010101"/>
    <w:charset w:val="86"/>
    <w:family w:val="auto"/>
    <w:pitch w:val="default"/>
    <w:sig w:usb0="00000000" w:usb1="00000000" w:usb2="00000000" w:usb3="00000000" w:csb0="0004009F" w:csb1="DFD70000"/>
  </w:font>
  <w:font w:name="微软雅黑">
    <w:panose1 w:val="020B0503020204020204"/>
    <w:charset w:val="86"/>
    <w:family w:val="auto"/>
    <w:pitch w:val="default"/>
    <w:sig w:usb0="80000287" w:usb1="280F3C52" w:usb2="00000016" w:usb3="00000000" w:csb0="0004001F" w:csb1="00000000"/>
  </w:font>
  <w:font w:name="方正小标宋简体">
    <w:panose1 w:val="02000000000000000000"/>
    <w:charset w:val="86"/>
    <w:family w:val="auto"/>
    <w:pitch w:val="default"/>
    <w:sig w:usb0="00000001" w:usb1="08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wrap="around" w:vAnchor="text" w:hAnchor="page" w:x="5372" w:y="-73"/>
      <w:rPr>
        <w:rStyle w:val="12"/>
        <w:sz w:val="28"/>
      </w:rPr>
    </w:pPr>
    <w:r>
      <w:rPr>
        <w:rStyle w:val="12"/>
        <w:rFonts w:hint="eastAsia"/>
        <w:sz w:val="28"/>
      </w:rPr>
      <w:t>—</w:t>
    </w:r>
    <w:r>
      <w:rPr>
        <w:sz w:val="28"/>
      </w:rPr>
      <w:fldChar w:fldCharType="begin"/>
    </w:r>
    <w:r>
      <w:rPr>
        <w:rStyle w:val="12"/>
        <w:sz w:val="28"/>
      </w:rPr>
      <w:instrText xml:space="preserve">PAGE  </w:instrText>
    </w:r>
    <w:r>
      <w:rPr>
        <w:sz w:val="28"/>
      </w:rPr>
      <w:fldChar w:fldCharType="separate"/>
    </w:r>
    <w:r>
      <w:rPr>
        <w:rStyle w:val="12"/>
        <w:sz w:val="28"/>
      </w:rPr>
      <w:t>4</w:t>
    </w:r>
    <w:r>
      <w:rPr>
        <w:sz w:val="28"/>
      </w:rPr>
      <w:fldChar w:fldCharType="end"/>
    </w:r>
    <w:r>
      <w:rPr>
        <w:rStyle w:val="12"/>
        <w:rFonts w:hint="eastAsia"/>
        <w:sz w:val="28"/>
      </w:rPr>
      <w:t>—</w:t>
    </w:r>
  </w:p>
  <w:p>
    <w:pPr>
      <w:pStyle w:val="6"/>
      <w:framePr w:wrap="around" w:vAnchor="text" w:hAnchor="margin" w:xAlign="center" w:y="1"/>
      <w:ind w:right="360"/>
      <w:rPr>
        <w:rStyle w:val="12"/>
      </w:rPr>
    </w:pPr>
  </w:p>
  <w:p>
    <w:pPr>
      <w:pStyle w:val="6"/>
      <w:tabs>
        <w:tab w:val="left" w:pos="5124"/>
        <w:tab w:val="clear" w:pos="4153"/>
        <w:tab w:val="clear" w:pos="8306"/>
      </w:tabs>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wrap="around" w:vAnchor="text" w:hAnchor="margin" w:xAlign="right" w:y="1"/>
      <w:rPr>
        <w:rStyle w:val="12"/>
      </w:rPr>
    </w:pPr>
    <w:r>
      <w:fldChar w:fldCharType="begin"/>
    </w:r>
    <w:r>
      <w:rPr>
        <w:rStyle w:val="12"/>
      </w:rPr>
      <w:instrText xml:space="preserve">PAGE  </w:instrText>
    </w:r>
    <w:r>
      <w:fldChar w:fldCharType="separate"/>
    </w:r>
    <w:r>
      <w:rPr>
        <w:rStyle w:val="12"/>
      </w:rPr>
      <w:t>0</w:t>
    </w:r>
    <w:r>
      <w:fldChar w:fldCharType="end"/>
    </w:r>
  </w:p>
  <w:p>
    <w:pPr>
      <w:pStyle w:val="6"/>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01A1281"/>
    <w:multiLevelType w:val="singleLevel"/>
    <w:tmpl w:val="601A1281"/>
    <w:lvl w:ilvl="0" w:tentative="0">
      <w:start w:val="4"/>
      <w:numFmt w:val="chineseCounting"/>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425"/>
  <w:hyphenationZone w:val="360"/>
  <w:drawingGridHorizontalSpacing w:val="156"/>
  <w:drawingGridVerticalSpacing w:val="287"/>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NmNmQwNGI3ZjgzMTY2YTE4OTlhMDRhMzliNDdjMzYifQ=="/>
  </w:docVars>
  <w:rsids>
    <w:rsidRoot w:val="48674ED2"/>
    <w:rsid w:val="00001348"/>
    <w:rsid w:val="000C6D48"/>
    <w:rsid w:val="000D7FB8"/>
    <w:rsid w:val="00102492"/>
    <w:rsid w:val="00145456"/>
    <w:rsid w:val="002300BA"/>
    <w:rsid w:val="00292A39"/>
    <w:rsid w:val="002A5441"/>
    <w:rsid w:val="002E7CD8"/>
    <w:rsid w:val="00367BC1"/>
    <w:rsid w:val="00396D8D"/>
    <w:rsid w:val="00426F96"/>
    <w:rsid w:val="00487479"/>
    <w:rsid w:val="00514321"/>
    <w:rsid w:val="00584D1B"/>
    <w:rsid w:val="00586A56"/>
    <w:rsid w:val="005D5B16"/>
    <w:rsid w:val="005F314F"/>
    <w:rsid w:val="00623896"/>
    <w:rsid w:val="006358AE"/>
    <w:rsid w:val="006B3914"/>
    <w:rsid w:val="007638E0"/>
    <w:rsid w:val="00812796"/>
    <w:rsid w:val="00825722"/>
    <w:rsid w:val="00841DA8"/>
    <w:rsid w:val="00851A6F"/>
    <w:rsid w:val="00870789"/>
    <w:rsid w:val="00876AFD"/>
    <w:rsid w:val="00896C22"/>
    <w:rsid w:val="008C034B"/>
    <w:rsid w:val="0091631A"/>
    <w:rsid w:val="00932BEF"/>
    <w:rsid w:val="00983A8D"/>
    <w:rsid w:val="009B2F41"/>
    <w:rsid w:val="009E093A"/>
    <w:rsid w:val="00A34894"/>
    <w:rsid w:val="00A73E5D"/>
    <w:rsid w:val="00A96058"/>
    <w:rsid w:val="00AD4E96"/>
    <w:rsid w:val="00B05DD3"/>
    <w:rsid w:val="00B60748"/>
    <w:rsid w:val="00B62F90"/>
    <w:rsid w:val="00B668F4"/>
    <w:rsid w:val="00BA7D5D"/>
    <w:rsid w:val="00BB6FD3"/>
    <w:rsid w:val="00BE1CDD"/>
    <w:rsid w:val="00C36C22"/>
    <w:rsid w:val="00C55740"/>
    <w:rsid w:val="00CA1FFF"/>
    <w:rsid w:val="00CC6E11"/>
    <w:rsid w:val="00CC7209"/>
    <w:rsid w:val="00D33284"/>
    <w:rsid w:val="00D44841"/>
    <w:rsid w:val="00D55467"/>
    <w:rsid w:val="00D71247"/>
    <w:rsid w:val="00DF0F79"/>
    <w:rsid w:val="00E00855"/>
    <w:rsid w:val="00E22C47"/>
    <w:rsid w:val="00E56F79"/>
    <w:rsid w:val="00E67450"/>
    <w:rsid w:val="00E82D48"/>
    <w:rsid w:val="00EC73B7"/>
    <w:rsid w:val="00EE1F67"/>
    <w:rsid w:val="00F47B19"/>
    <w:rsid w:val="00F7193F"/>
    <w:rsid w:val="00F8523B"/>
    <w:rsid w:val="00FF7928"/>
    <w:rsid w:val="012C21CD"/>
    <w:rsid w:val="01620FE6"/>
    <w:rsid w:val="019B69D8"/>
    <w:rsid w:val="020E6D2C"/>
    <w:rsid w:val="031D7D4B"/>
    <w:rsid w:val="04022755"/>
    <w:rsid w:val="0486486A"/>
    <w:rsid w:val="04954460"/>
    <w:rsid w:val="04F026C1"/>
    <w:rsid w:val="050D06DA"/>
    <w:rsid w:val="050F3BA7"/>
    <w:rsid w:val="05513E94"/>
    <w:rsid w:val="056F5A6D"/>
    <w:rsid w:val="059B3770"/>
    <w:rsid w:val="063949A0"/>
    <w:rsid w:val="067960C1"/>
    <w:rsid w:val="06BD5BC7"/>
    <w:rsid w:val="07D21289"/>
    <w:rsid w:val="07F544B0"/>
    <w:rsid w:val="09A0082A"/>
    <w:rsid w:val="0A334D52"/>
    <w:rsid w:val="0ABA06FE"/>
    <w:rsid w:val="0B5F5ADA"/>
    <w:rsid w:val="0B710869"/>
    <w:rsid w:val="0C2A5C84"/>
    <w:rsid w:val="0D3E43FE"/>
    <w:rsid w:val="0DA001B0"/>
    <w:rsid w:val="0DB6446C"/>
    <w:rsid w:val="0DEB170B"/>
    <w:rsid w:val="0E4C7841"/>
    <w:rsid w:val="0F3E0406"/>
    <w:rsid w:val="0F8B592F"/>
    <w:rsid w:val="0FD62F63"/>
    <w:rsid w:val="107728C7"/>
    <w:rsid w:val="10AE7F82"/>
    <w:rsid w:val="10C93B35"/>
    <w:rsid w:val="11177619"/>
    <w:rsid w:val="1119003A"/>
    <w:rsid w:val="112605C8"/>
    <w:rsid w:val="1129747F"/>
    <w:rsid w:val="11CC2307"/>
    <w:rsid w:val="12E711B7"/>
    <w:rsid w:val="136D62BD"/>
    <w:rsid w:val="13F21722"/>
    <w:rsid w:val="1441443C"/>
    <w:rsid w:val="14C12787"/>
    <w:rsid w:val="14F04FF5"/>
    <w:rsid w:val="15593E10"/>
    <w:rsid w:val="159F7E25"/>
    <w:rsid w:val="15F848D0"/>
    <w:rsid w:val="160E1FA5"/>
    <w:rsid w:val="160F2600"/>
    <w:rsid w:val="17765BCA"/>
    <w:rsid w:val="17A027D8"/>
    <w:rsid w:val="17FF41AC"/>
    <w:rsid w:val="1A817DF8"/>
    <w:rsid w:val="1ADC594E"/>
    <w:rsid w:val="1AEB5252"/>
    <w:rsid w:val="1C0628B7"/>
    <w:rsid w:val="1C1C0BD8"/>
    <w:rsid w:val="1C3B33BF"/>
    <w:rsid w:val="1C4F5187"/>
    <w:rsid w:val="1C852172"/>
    <w:rsid w:val="1CA40C0C"/>
    <w:rsid w:val="1CFF4A32"/>
    <w:rsid w:val="1D5232E9"/>
    <w:rsid w:val="1D833200"/>
    <w:rsid w:val="1E2D59A2"/>
    <w:rsid w:val="1E3A3FD0"/>
    <w:rsid w:val="1EB55C07"/>
    <w:rsid w:val="1F351A10"/>
    <w:rsid w:val="1FED47E9"/>
    <w:rsid w:val="206816AC"/>
    <w:rsid w:val="21820494"/>
    <w:rsid w:val="22A4003E"/>
    <w:rsid w:val="23984063"/>
    <w:rsid w:val="23CE11F0"/>
    <w:rsid w:val="23EC61F6"/>
    <w:rsid w:val="244C543C"/>
    <w:rsid w:val="24624768"/>
    <w:rsid w:val="2539376C"/>
    <w:rsid w:val="254C6FAD"/>
    <w:rsid w:val="259B5BC5"/>
    <w:rsid w:val="25C7462E"/>
    <w:rsid w:val="25F62C4E"/>
    <w:rsid w:val="26325420"/>
    <w:rsid w:val="265718D7"/>
    <w:rsid w:val="26643D6C"/>
    <w:rsid w:val="26A052BD"/>
    <w:rsid w:val="26FE109D"/>
    <w:rsid w:val="27073E1E"/>
    <w:rsid w:val="27B04AB3"/>
    <w:rsid w:val="28A63332"/>
    <w:rsid w:val="29C45F24"/>
    <w:rsid w:val="2BED2694"/>
    <w:rsid w:val="2DF8796C"/>
    <w:rsid w:val="2EB22F18"/>
    <w:rsid w:val="2EE12108"/>
    <w:rsid w:val="2EED35E3"/>
    <w:rsid w:val="2F250383"/>
    <w:rsid w:val="2F63610B"/>
    <w:rsid w:val="300965A3"/>
    <w:rsid w:val="30730D6E"/>
    <w:rsid w:val="30B91A70"/>
    <w:rsid w:val="32CF2C5D"/>
    <w:rsid w:val="32F20A02"/>
    <w:rsid w:val="335402B5"/>
    <w:rsid w:val="339466B2"/>
    <w:rsid w:val="34555AF5"/>
    <w:rsid w:val="35616772"/>
    <w:rsid w:val="35EA1663"/>
    <w:rsid w:val="364C598E"/>
    <w:rsid w:val="36CC2B0F"/>
    <w:rsid w:val="371A614D"/>
    <w:rsid w:val="3838492F"/>
    <w:rsid w:val="387258D7"/>
    <w:rsid w:val="3887374F"/>
    <w:rsid w:val="38AF6637"/>
    <w:rsid w:val="39041A07"/>
    <w:rsid w:val="39043B77"/>
    <w:rsid w:val="393F0DCD"/>
    <w:rsid w:val="39670895"/>
    <w:rsid w:val="3A657F9A"/>
    <w:rsid w:val="3A9113D4"/>
    <w:rsid w:val="3AC54F32"/>
    <w:rsid w:val="3B144A0A"/>
    <w:rsid w:val="3B1A1E0D"/>
    <w:rsid w:val="3B1B2A0D"/>
    <w:rsid w:val="3B7C071F"/>
    <w:rsid w:val="3BC92948"/>
    <w:rsid w:val="3BE370D4"/>
    <w:rsid w:val="3C29381E"/>
    <w:rsid w:val="3C711E1D"/>
    <w:rsid w:val="3C7F463D"/>
    <w:rsid w:val="3CAE3960"/>
    <w:rsid w:val="3D365BF6"/>
    <w:rsid w:val="3DF23324"/>
    <w:rsid w:val="3E5315CE"/>
    <w:rsid w:val="3EA14040"/>
    <w:rsid w:val="3EE8108D"/>
    <w:rsid w:val="3F087854"/>
    <w:rsid w:val="3F0D4E6A"/>
    <w:rsid w:val="3FEC17B0"/>
    <w:rsid w:val="405745EF"/>
    <w:rsid w:val="40B80EFF"/>
    <w:rsid w:val="41A35364"/>
    <w:rsid w:val="41C31686"/>
    <w:rsid w:val="42982B4E"/>
    <w:rsid w:val="436B1E42"/>
    <w:rsid w:val="43993170"/>
    <w:rsid w:val="44054362"/>
    <w:rsid w:val="449C5E6A"/>
    <w:rsid w:val="456D114B"/>
    <w:rsid w:val="45EB670F"/>
    <w:rsid w:val="46AB7C0D"/>
    <w:rsid w:val="46D44808"/>
    <w:rsid w:val="47CF49E6"/>
    <w:rsid w:val="4843587B"/>
    <w:rsid w:val="48674ED2"/>
    <w:rsid w:val="487708E6"/>
    <w:rsid w:val="49645F71"/>
    <w:rsid w:val="497C50C6"/>
    <w:rsid w:val="499F5C68"/>
    <w:rsid w:val="49C32CF5"/>
    <w:rsid w:val="4AF16062"/>
    <w:rsid w:val="4B646DDD"/>
    <w:rsid w:val="4B7F44F8"/>
    <w:rsid w:val="4BAC24C5"/>
    <w:rsid w:val="4BFA0656"/>
    <w:rsid w:val="4C5567C9"/>
    <w:rsid w:val="4D730507"/>
    <w:rsid w:val="4D741DD3"/>
    <w:rsid w:val="4DC93207"/>
    <w:rsid w:val="4E2A22FD"/>
    <w:rsid w:val="4E8D5761"/>
    <w:rsid w:val="4EF54A85"/>
    <w:rsid w:val="4F6F75D9"/>
    <w:rsid w:val="501B3C66"/>
    <w:rsid w:val="504B40C5"/>
    <w:rsid w:val="50987DC2"/>
    <w:rsid w:val="50A4703E"/>
    <w:rsid w:val="5136104F"/>
    <w:rsid w:val="51E55C99"/>
    <w:rsid w:val="52071113"/>
    <w:rsid w:val="52447C09"/>
    <w:rsid w:val="52566F7B"/>
    <w:rsid w:val="5258567D"/>
    <w:rsid w:val="525A440D"/>
    <w:rsid w:val="526B4A52"/>
    <w:rsid w:val="54741940"/>
    <w:rsid w:val="54810E66"/>
    <w:rsid w:val="54C2556E"/>
    <w:rsid w:val="55480EEF"/>
    <w:rsid w:val="56570E30"/>
    <w:rsid w:val="57AE5C26"/>
    <w:rsid w:val="57DD75A9"/>
    <w:rsid w:val="58256ABD"/>
    <w:rsid w:val="59472AC7"/>
    <w:rsid w:val="59BD150F"/>
    <w:rsid w:val="59DD570D"/>
    <w:rsid w:val="59FF5EDC"/>
    <w:rsid w:val="5A084708"/>
    <w:rsid w:val="5AA83DCD"/>
    <w:rsid w:val="5AB343F7"/>
    <w:rsid w:val="5ABF50F2"/>
    <w:rsid w:val="5AF76904"/>
    <w:rsid w:val="5B052E7A"/>
    <w:rsid w:val="5B3D7F7E"/>
    <w:rsid w:val="5B7C7777"/>
    <w:rsid w:val="5B9462A0"/>
    <w:rsid w:val="5BEC6771"/>
    <w:rsid w:val="5C3435DF"/>
    <w:rsid w:val="5CA506B9"/>
    <w:rsid w:val="5CFD5FB2"/>
    <w:rsid w:val="5D2B52D8"/>
    <w:rsid w:val="5D5A7C63"/>
    <w:rsid w:val="5DE449D5"/>
    <w:rsid w:val="5E256F6F"/>
    <w:rsid w:val="5F6235A9"/>
    <w:rsid w:val="614125C2"/>
    <w:rsid w:val="624C5C52"/>
    <w:rsid w:val="63952BB5"/>
    <w:rsid w:val="63DF08E4"/>
    <w:rsid w:val="63F024E1"/>
    <w:rsid w:val="64127E15"/>
    <w:rsid w:val="64C04AFD"/>
    <w:rsid w:val="64EC58A6"/>
    <w:rsid w:val="661A7B69"/>
    <w:rsid w:val="664909C1"/>
    <w:rsid w:val="66C63EB5"/>
    <w:rsid w:val="677772D0"/>
    <w:rsid w:val="679461D3"/>
    <w:rsid w:val="6858287E"/>
    <w:rsid w:val="69157114"/>
    <w:rsid w:val="691A443E"/>
    <w:rsid w:val="6A80735F"/>
    <w:rsid w:val="6ACC5E47"/>
    <w:rsid w:val="6AD43ED1"/>
    <w:rsid w:val="6B11024D"/>
    <w:rsid w:val="6B7D5B36"/>
    <w:rsid w:val="6CF120A8"/>
    <w:rsid w:val="714213DD"/>
    <w:rsid w:val="717F272E"/>
    <w:rsid w:val="721B4BCD"/>
    <w:rsid w:val="728027C6"/>
    <w:rsid w:val="72D54D7C"/>
    <w:rsid w:val="72F13B80"/>
    <w:rsid w:val="737664E0"/>
    <w:rsid w:val="73FE7ACC"/>
    <w:rsid w:val="74053F35"/>
    <w:rsid w:val="74556746"/>
    <w:rsid w:val="74AB7A24"/>
    <w:rsid w:val="76BB79B1"/>
    <w:rsid w:val="76C17E06"/>
    <w:rsid w:val="76CA67BD"/>
    <w:rsid w:val="774E6400"/>
    <w:rsid w:val="775B0046"/>
    <w:rsid w:val="78796248"/>
    <w:rsid w:val="79700BEF"/>
    <w:rsid w:val="79F85634"/>
    <w:rsid w:val="7A090695"/>
    <w:rsid w:val="7AE175F4"/>
    <w:rsid w:val="7B18439F"/>
    <w:rsid w:val="7B417685"/>
    <w:rsid w:val="7B5220F0"/>
    <w:rsid w:val="7BA169C0"/>
    <w:rsid w:val="7BE95D3C"/>
    <w:rsid w:val="7CAD595B"/>
    <w:rsid w:val="7CF65D07"/>
    <w:rsid w:val="7D2975D1"/>
    <w:rsid w:val="7DCC0CD6"/>
    <w:rsid w:val="7E6A4CEC"/>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lang w:val="en-US" w:eastAsia="zh-CN" w:bidi="ar-SA"/>
    </w:rPr>
  </w:style>
  <w:style w:type="character" w:default="1" w:styleId="11">
    <w:name w:val="Default Paragraph Font"/>
    <w:qFormat/>
    <w:uiPriority w:val="0"/>
  </w:style>
  <w:style w:type="table" w:default="1" w:styleId="9">
    <w:name w:val="Normal Table"/>
    <w:unhideWhenUsed/>
    <w:qFormat/>
    <w:uiPriority w:val="99"/>
    <w:tblPr>
      <w:tblCellMar>
        <w:top w:w="0" w:type="dxa"/>
        <w:left w:w="108" w:type="dxa"/>
        <w:bottom w:w="0" w:type="dxa"/>
        <w:right w:w="108" w:type="dxa"/>
      </w:tblCellMar>
    </w:tblPr>
  </w:style>
  <w:style w:type="paragraph" w:styleId="2">
    <w:name w:val="Body Text Indent"/>
    <w:basedOn w:val="1"/>
    <w:qFormat/>
    <w:uiPriority w:val="0"/>
    <w:pPr>
      <w:tabs>
        <w:tab w:val="left" w:pos="8372"/>
      </w:tabs>
      <w:spacing w:line="540" w:lineRule="exact"/>
      <w:ind w:firstLine="630"/>
    </w:pPr>
    <w:rPr>
      <w:rFonts w:eastAsia="黑体"/>
    </w:rPr>
  </w:style>
  <w:style w:type="paragraph" w:styleId="3">
    <w:name w:val="Date"/>
    <w:basedOn w:val="1"/>
    <w:next w:val="1"/>
    <w:qFormat/>
    <w:uiPriority w:val="0"/>
  </w:style>
  <w:style w:type="paragraph" w:styleId="4">
    <w:name w:val="Body Text Indent 2"/>
    <w:basedOn w:val="1"/>
    <w:qFormat/>
    <w:uiPriority w:val="0"/>
    <w:pPr>
      <w:tabs>
        <w:tab w:val="left" w:pos="8372"/>
      </w:tabs>
      <w:spacing w:line="540" w:lineRule="exact"/>
      <w:ind w:firstLine="630"/>
    </w:pPr>
    <w:rPr>
      <w:b/>
      <w:bCs/>
    </w:rPr>
  </w:style>
  <w:style w:type="paragraph" w:styleId="5">
    <w:name w:val="Balloon Text"/>
    <w:basedOn w:val="1"/>
    <w:link w:val="13"/>
    <w:qFormat/>
    <w:uiPriority w:val="0"/>
    <w:rPr>
      <w:sz w:val="18"/>
      <w:szCs w:val="18"/>
    </w:rPr>
  </w:style>
  <w:style w:type="paragraph" w:styleId="6">
    <w:name w:val="footer"/>
    <w:basedOn w:val="1"/>
    <w:link w:val="14"/>
    <w:qFormat/>
    <w:uiPriority w:val="0"/>
    <w:pPr>
      <w:tabs>
        <w:tab w:val="center" w:pos="4153"/>
        <w:tab w:val="right" w:pos="8306"/>
      </w:tabs>
      <w:snapToGrid w:val="0"/>
      <w:jc w:val="left"/>
    </w:pPr>
    <w:rPr>
      <w:sz w:val="18"/>
    </w:rPr>
  </w:style>
  <w:style w:type="paragraph" w:styleId="7">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8">
    <w:name w:val="Normal (Web)"/>
    <w:basedOn w:val="1"/>
    <w:qFormat/>
    <w:uiPriority w:val="0"/>
    <w:pPr>
      <w:widowControl/>
      <w:spacing w:before="100" w:beforeLines="0" w:beforeAutospacing="1" w:after="100" w:afterLines="0" w:afterAutospacing="1"/>
      <w:jc w:val="left"/>
    </w:pPr>
    <w:rPr>
      <w:rFonts w:ascii="宋体" w:hAnsi="宋体" w:eastAsia="宋体" w:cs="宋体"/>
      <w:kern w:val="0"/>
      <w:sz w:val="24"/>
      <w:szCs w:val="24"/>
    </w:rPr>
  </w:style>
  <w:style w:type="table" w:styleId="10">
    <w:name w:val="Table Grid"/>
    <w:basedOn w:val="9"/>
    <w:qFormat/>
    <w:uiPriority w:val="59"/>
    <w:rPr>
      <w:rFonts w:ascii="Calibri" w:hAnsi="Calibri" w:eastAsia="宋体" w:cs="Times New Roman"/>
      <w:kern w:val="2"/>
      <w:sz w:val="21"/>
      <w:szCs w:val="22"/>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2">
    <w:name w:val="page number"/>
    <w:basedOn w:val="11"/>
    <w:qFormat/>
    <w:uiPriority w:val="0"/>
  </w:style>
  <w:style w:type="character" w:customStyle="1" w:styleId="13">
    <w:name w:val="批注框文本 字符"/>
    <w:link w:val="5"/>
    <w:qFormat/>
    <w:uiPriority w:val="0"/>
    <w:rPr>
      <w:rFonts w:eastAsia="仿宋_GB2312"/>
      <w:kern w:val="2"/>
      <w:sz w:val="18"/>
      <w:szCs w:val="18"/>
    </w:rPr>
  </w:style>
  <w:style w:type="character" w:customStyle="1" w:styleId="14">
    <w:name w:val="页脚 字符"/>
    <w:link w:val="6"/>
    <w:qFormat/>
    <w:uiPriority w:val="0"/>
    <w:rPr>
      <w:rFonts w:eastAsia="仿宋_GB2312"/>
      <w:kern w:val="2"/>
      <w:sz w:val="18"/>
    </w:rPr>
  </w:style>
  <w:style w:type="character" w:customStyle="1" w:styleId="15">
    <w:name w:val="font11"/>
    <w:qFormat/>
    <w:uiPriority w:val="0"/>
    <w:rPr>
      <w:rFonts w:hint="default" w:ascii="Arial" w:hAnsi="Arial" w:cs="Arial"/>
      <w:color w:val="000000"/>
      <w:sz w:val="24"/>
      <w:szCs w:val="24"/>
      <w:u w:val="none"/>
    </w:rPr>
  </w:style>
  <w:style w:type="character" w:customStyle="1" w:styleId="16">
    <w:name w:val="font61"/>
    <w:qFormat/>
    <w:uiPriority w:val="0"/>
    <w:rPr>
      <w:rFonts w:hint="eastAsia" w:ascii="宋体" w:hAnsi="宋体" w:eastAsia="宋体" w:cs="宋体"/>
      <w:color w:val="000000"/>
      <w:sz w:val="24"/>
      <w:szCs w:val="24"/>
      <w:u w:val="none"/>
    </w:rPr>
  </w:style>
  <w:style w:type="character" w:customStyle="1" w:styleId="17">
    <w:name w:val="font01"/>
    <w:qFormat/>
    <w:uiPriority w:val="0"/>
    <w:rPr>
      <w:rFonts w:hint="default" w:ascii="Times New Roman" w:hAnsi="Times New Roman" w:cs="Times New Roman"/>
      <w:color w:val="000000"/>
      <w:sz w:val="24"/>
      <w:szCs w:val="24"/>
      <w:u w:val="none"/>
    </w:rPr>
  </w:style>
  <w:style w:type="character" w:customStyle="1" w:styleId="18">
    <w:name w:val="font41"/>
    <w:qFormat/>
    <w:uiPriority w:val="0"/>
    <w:rPr>
      <w:rFonts w:hint="default" w:ascii="华文细黑" w:hAnsi="华文细黑" w:eastAsia="华文细黑" w:cs="华文细黑"/>
      <w:color w:val="000000"/>
      <w:sz w:val="20"/>
      <w:szCs w:val="20"/>
      <w:u w:val="none"/>
    </w:rPr>
  </w:style>
  <w:style w:type="character" w:customStyle="1" w:styleId="19">
    <w:name w:val="font21"/>
    <w:qFormat/>
    <w:uiPriority w:val="0"/>
    <w:rPr>
      <w:rFonts w:hint="default" w:ascii="Arial" w:hAnsi="Arial" w:cs="Arial"/>
      <w:color w:val="000000"/>
      <w:sz w:val="20"/>
      <w:szCs w:val="20"/>
      <w:u w:val="none"/>
    </w:rPr>
  </w:style>
  <w:style w:type="paragraph" w:customStyle="1" w:styleId="20">
    <w:name w:val="Char"/>
    <w:basedOn w:val="1"/>
    <w:qFormat/>
    <w:uiPriority w:val="0"/>
    <w:rPr>
      <w:rFonts w:eastAsia="宋体"/>
      <w:sz w:val="21"/>
      <w:szCs w:val="21"/>
    </w:rPr>
  </w:style>
  <w:style w:type="paragraph" w:customStyle="1" w:styleId="21">
    <w:name w:val="页眉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2">
    <w:name w:val="页眉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3">
    <w:name w:val="页脚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4">
    <w:name w:val="页眉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5">
    <w:name w:val="页脚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6">
    <w:name w:val="页脚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7">
    <w:name w:val="页脚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8">
    <w:name w:val="页眉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9">
    <w:name w:val="页眉 New New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0">
    <w:name w:val="页眉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1">
    <w:name w:val="页脚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2">
    <w:name w:val="页脚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3">
    <w:name w:val="页脚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4">
    <w:name w:val="页脚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5">
    <w:name w:val="正文文本 21"/>
    <w:basedOn w:val="1"/>
    <w:qFormat/>
    <w:uiPriority w:val="0"/>
    <w:pPr>
      <w:adjustRightInd w:val="0"/>
      <w:ind w:firstLine="630"/>
      <w:jc w:val="left"/>
      <w:textAlignment w:val="baseline"/>
    </w:pPr>
    <w:rPr>
      <w:rFonts w:eastAsia="黑体"/>
    </w:rPr>
  </w:style>
  <w:style w:type="paragraph" w:customStyle="1" w:styleId="36">
    <w:name w:val="页眉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7">
    <w:name w:val="页脚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8">
    <w:name w:val="页脚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9">
    <w:name w:val="页脚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40">
    <w:name w:val="页眉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1">
    <w:name w:val="页眉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2">
    <w:name w:val="页脚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43">
    <w:name w:val="页眉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4">
    <w:name w:val="页脚 New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45">
    <w:name w:val="页眉 New New New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6">
    <w:name w:val="页眉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7">
    <w:name w:val="页眉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8">
    <w:name w:val="页眉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9">
    <w:name w:val="页眉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0">
    <w:name w:val="页脚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51">
    <w:name w:val="p0"/>
    <w:basedOn w:val="1"/>
    <w:qFormat/>
    <w:uiPriority w:val="0"/>
    <w:pPr>
      <w:widowControl/>
    </w:pPr>
    <w:rPr>
      <w:rFonts w:eastAsia="宋体"/>
      <w:kern w:val="0"/>
      <w:szCs w:val="32"/>
    </w:rPr>
  </w:style>
  <w:style w:type="paragraph" w:customStyle="1" w:styleId="52">
    <w:name w:val="页眉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3">
    <w:name w:val="页脚 New New New New"/>
    <w:basedOn w:val="1"/>
    <w:qFormat/>
    <w:uiPriority w:val="0"/>
    <w:pPr>
      <w:tabs>
        <w:tab w:val="center" w:pos="4153"/>
        <w:tab w:val="right" w:pos="8306"/>
      </w:tabs>
      <w:snapToGrid w:val="0"/>
      <w:jc w:val="left"/>
    </w:pPr>
    <w:rPr>
      <w:rFonts w:eastAsia="仿宋_GB2312"/>
      <w:kern w:val="2"/>
      <w:sz w:val="18"/>
    </w:rPr>
  </w:style>
  <w:style w:type="paragraph" w:customStyle="1" w:styleId="54">
    <w:name w:val="页脚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55">
    <w:name w:val="页脚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56">
    <w:name w:val="页眉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7">
    <w:name w:val="页眉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8">
    <w:name w:val="页眉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9">
    <w:name w:val="页脚 New"/>
    <w:basedOn w:val="1"/>
    <w:qFormat/>
    <w:uiPriority w:val="0"/>
    <w:pPr>
      <w:tabs>
        <w:tab w:val="center" w:pos="4153"/>
        <w:tab w:val="right" w:pos="8306"/>
      </w:tabs>
      <w:snapToGrid w:val="0"/>
      <w:jc w:val="left"/>
    </w:pPr>
    <w:rPr>
      <w:rFonts w:eastAsia="仿宋_GB2312"/>
      <w:kern w:val="2"/>
      <w:sz w:val="18"/>
    </w:rPr>
  </w:style>
  <w:style w:type="paragraph" w:customStyle="1" w:styleId="60">
    <w:name w:val="页脚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1">
    <w:name w:val="页脚 New New New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2">
    <w:name w:val="页眉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3">
    <w:name w:val="页眉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4">
    <w:name w:val="页眉 New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5">
    <w:name w:val="页脚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6">
    <w:name w:val="页眉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7">
    <w:name w:val="页脚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8">
    <w:name w:val="页眉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9">
    <w:name w:val="页脚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70">
    <w:name w:val="页眉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1">
    <w:name w:val="页眉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2">
    <w:name w:val="页脚 New New New"/>
    <w:basedOn w:val="1"/>
    <w:qFormat/>
    <w:uiPriority w:val="0"/>
    <w:pPr>
      <w:tabs>
        <w:tab w:val="center" w:pos="4153"/>
        <w:tab w:val="right" w:pos="8306"/>
      </w:tabs>
      <w:snapToGrid w:val="0"/>
      <w:jc w:val="left"/>
    </w:pPr>
    <w:rPr>
      <w:rFonts w:eastAsia="仿宋_GB2312"/>
      <w:kern w:val="2"/>
      <w:sz w:val="18"/>
    </w:rPr>
  </w:style>
  <w:style w:type="paragraph" w:customStyle="1" w:styleId="73">
    <w:name w:val="页眉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4">
    <w:name w:val="页脚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75">
    <w:name w:val="页脚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76">
    <w:name w:val="页眉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7">
    <w:name w:val="页脚 New New"/>
    <w:basedOn w:val="1"/>
    <w:qFormat/>
    <w:uiPriority w:val="0"/>
    <w:pPr>
      <w:tabs>
        <w:tab w:val="center" w:pos="4153"/>
        <w:tab w:val="right" w:pos="8306"/>
      </w:tabs>
      <w:snapToGrid w:val="0"/>
      <w:jc w:val="left"/>
    </w:pPr>
    <w:rPr>
      <w:rFonts w:eastAsia="仿宋_GB2312"/>
      <w:kern w:val="2"/>
      <w:sz w:val="18"/>
    </w:rPr>
  </w:style>
  <w:style w:type="paragraph" w:customStyle="1" w:styleId="78">
    <w:name w:val="页脚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79">
    <w:name w:val="页眉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80">
    <w:name w:val="页脚 New New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81">
    <w:name w:val="页眉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82">
    <w:name w:val="页脚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Desktop\&#38468;&#20214;1%202020&#24180;&#37096;&#38376;&#39044;&#31639;&#20449;&#24687;&#20844;&#24320;&#27169;&#26495;.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附件1 2020年部门预算信息公开模板.dot</Template>
  <Pages>34</Pages>
  <Words>8465</Words>
  <Characters>10427</Characters>
  <Lines>71</Lines>
  <Paragraphs>20</Paragraphs>
  <TotalTime>2</TotalTime>
  <ScaleCrop>false</ScaleCrop>
  <LinksUpToDate>false</LinksUpToDate>
  <CharactersWithSpaces>11010</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2022-02-20T09:24:00Z</dcterms:created>
  <dc:creator>Administrator</dc:creator>
  <cp:lastModifiedBy>Administrator</cp:lastModifiedBy>
  <cp:lastPrinted>2022-02-21T08:08:00Z</cp:lastPrinted>
  <dcterms:modified xsi:type="dcterms:W3CDTF">2024-01-31T05:59:08Z</dcterms:modified>
  <dc:title>主  持  词</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commondata">
    <vt:lpwstr>eyJoZGlkIjoiZWM5MjE1YWFmYzZkMzU5ZGRkN2NlNjYxOGIzMjAyOWQifQ==</vt:lpwstr>
  </property>
  <property fmtid="{D5CDD505-2E9C-101B-9397-08002B2CF9AE}" pid="4" name="ICV">
    <vt:lpwstr>99D25C5F59754AB5A87853E7B0D8D11D_13</vt:lpwstr>
  </property>
</Properties>
</file>