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val="en-US" w:eastAsia="zh-CN"/>
        </w:rPr>
      </w:pPr>
      <w:r>
        <w:rPr>
          <w:rFonts w:hint="eastAsia" w:eastAsia="方正小标宋简体"/>
          <w:sz w:val="44"/>
          <w:szCs w:val="44"/>
          <w:u w:val="single"/>
          <w:lang w:val="en-US" w:eastAsia="zh-CN"/>
        </w:rPr>
        <w:t>通榆县边昭镇综合服务中心</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spacing w:before="220" w:line="221" w:lineRule="auto"/>
        <w:ind w:left="644"/>
        <w:outlineLvl w:val="0"/>
        <w:rPr>
          <w:rFonts w:ascii="黑体" w:hAnsi="黑体" w:eastAsia="黑体" w:cs="黑体"/>
          <w:b/>
          <w:bCs/>
          <w:spacing w:val="-15"/>
          <w:sz w:val="31"/>
          <w:szCs w:val="31"/>
        </w:rPr>
      </w:pPr>
      <w:r>
        <w:rPr>
          <w:rFonts w:ascii="黑体" w:hAnsi="黑体" w:eastAsia="黑体" w:cs="黑体"/>
          <w:b/>
          <w:bCs/>
          <w:spacing w:val="-15"/>
          <w:sz w:val="31"/>
          <w:szCs w:val="31"/>
        </w:rPr>
        <w:t>一、主要职能</w:t>
      </w:r>
    </w:p>
    <w:p>
      <w:pPr>
        <w:rPr>
          <w:rFonts w:ascii="仿宋" w:hAnsi="仿宋" w:eastAsia="仿宋" w:cs="仿宋"/>
          <w:spacing w:val="-7"/>
          <w:position w:val="17"/>
          <w:sz w:val="32"/>
          <w:szCs w:val="32"/>
        </w:rPr>
      </w:pPr>
      <w:r>
        <w:rPr>
          <w:rFonts w:hint="eastAsia" w:eastAsia="楷体_GB2312"/>
        </w:rPr>
        <w:t xml:space="preserve"> </w:t>
      </w:r>
      <w:r>
        <w:rPr>
          <w:rFonts w:hint="eastAsia" w:eastAsia="楷体_GB2312"/>
          <w:lang w:val="en-US" w:eastAsia="zh-CN"/>
        </w:rPr>
        <w:t xml:space="preserve">  </w:t>
      </w:r>
      <w:r>
        <w:rPr>
          <w:rFonts w:hint="eastAsia" w:ascii="仿宋" w:hAnsi="仿宋" w:eastAsia="仿宋" w:cs="仿宋"/>
          <w:spacing w:val="-7"/>
          <w:position w:val="17"/>
          <w:sz w:val="32"/>
          <w:szCs w:val="32"/>
        </w:rPr>
        <w:t>承担农业（畜牧业）、自然资源、林业（草原）、水利、文化、体育、劳动和社会保障、退役军人保障等服务工作；负责行政审批服务窗口具体事务性工作；完成党委、政府交办的其他任务。</w:t>
      </w:r>
    </w:p>
    <w:p>
      <w:pPr>
        <w:spacing w:before="220" w:line="221" w:lineRule="auto"/>
        <w:ind w:left="644"/>
        <w:outlineLvl w:val="0"/>
        <w:rPr>
          <w:rFonts w:ascii="黑体" w:hAnsi="黑体" w:eastAsia="黑体" w:cs="黑体"/>
          <w:b/>
          <w:bCs/>
          <w:spacing w:val="-15"/>
          <w:sz w:val="31"/>
          <w:szCs w:val="31"/>
        </w:rPr>
      </w:pPr>
      <w:r>
        <w:rPr>
          <w:rFonts w:ascii="黑体" w:hAnsi="黑体" w:eastAsia="黑体" w:cs="黑体"/>
          <w:b/>
          <w:bCs/>
          <w:spacing w:val="-15"/>
          <w:sz w:val="31"/>
          <w:szCs w:val="31"/>
        </w:rPr>
        <w:t>二、机构设置</w:t>
      </w:r>
    </w:p>
    <w:p>
      <w:pPr>
        <w:keepNext w:val="0"/>
        <w:keepLines w:val="0"/>
        <w:pageBreakBefore w:val="0"/>
        <w:widowControl w:val="0"/>
        <w:kinsoku/>
        <w:wordWrap/>
        <w:overflowPunct/>
        <w:topLinePunct w:val="0"/>
        <w:autoSpaceDE/>
        <w:autoSpaceDN/>
        <w:bidi w:val="0"/>
        <w:adjustRightInd/>
        <w:snapToGrid/>
        <w:spacing w:before="1" w:line="560" w:lineRule="exact"/>
        <w:ind w:firstLine="612" w:firstLineChars="200"/>
        <w:textAlignment w:val="auto"/>
        <w:rPr>
          <w:rFonts w:hint="eastAsia" w:ascii="仿宋" w:hAnsi="仿宋" w:eastAsia="仿宋" w:cs="仿宋"/>
          <w:spacing w:val="-7"/>
          <w:position w:val="17"/>
          <w:sz w:val="32"/>
          <w:szCs w:val="32"/>
        </w:rPr>
      </w:pPr>
      <w:r>
        <w:rPr>
          <w:rFonts w:ascii="仿宋" w:hAnsi="仿宋" w:eastAsia="仿宋" w:cs="仿宋"/>
          <w:spacing w:val="-7"/>
          <w:position w:val="17"/>
          <w:sz w:val="32"/>
          <w:szCs w:val="32"/>
        </w:rPr>
        <w:t>根</w:t>
      </w:r>
      <w:r>
        <w:rPr>
          <w:rFonts w:hint="eastAsia" w:ascii="仿宋" w:hAnsi="仿宋" w:eastAsia="仿宋" w:cs="仿宋"/>
          <w:spacing w:val="-7"/>
          <w:position w:val="17"/>
          <w:sz w:val="32"/>
          <w:szCs w:val="32"/>
        </w:rPr>
        <w:t>据所承担的工作职责和编制总量，通榆县边昭镇综合服务中心设14个内设机构。</w:t>
      </w:r>
    </w:p>
    <w:p>
      <w:pPr>
        <w:keepNext w:val="0"/>
        <w:keepLines w:val="0"/>
        <w:pageBreakBefore w:val="0"/>
        <w:widowControl w:val="0"/>
        <w:kinsoku/>
        <w:wordWrap/>
        <w:overflowPunct/>
        <w:topLinePunct w:val="0"/>
        <w:autoSpaceDE/>
        <w:autoSpaceDN/>
        <w:bidi w:val="0"/>
        <w:adjustRightInd/>
        <w:snapToGrid/>
        <w:spacing w:before="1" w:line="560" w:lineRule="exact"/>
        <w:ind w:firstLine="612" w:firstLineChars="200"/>
        <w:textAlignment w:val="auto"/>
        <w:rPr>
          <w:rFonts w:hint="eastAsia" w:ascii="仿宋" w:hAnsi="仿宋" w:eastAsia="仿宋" w:cs="仿宋"/>
          <w:spacing w:val="-7"/>
          <w:position w:val="17"/>
          <w:sz w:val="32"/>
          <w:szCs w:val="32"/>
        </w:rPr>
      </w:pPr>
      <w:r>
        <w:rPr>
          <w:rFonts w:hint="eastAsia" w:ascii="仿宋" w:hAnsi="仿宋" w:eastAsia="仿宋" w:cs="仿宋"/>
          <w:spacing w:val="-7"/>
          <w:position w:val="17"/>
          <w:sz w:val="32"/>
          <w:szCs w:val="32"/>
        </w:rPr>
        <w:t>(一)综合科。负责行政事务管理、综合协调、接待联络工 作；负责文电、档案、印信管理、会务等工作；承担文字综合、 保密、安全保卫、消防等工作；负责单位职称评审、工资核定、人事档案、社会保障等干部人事管理及机构编制管理工作。</w:t>
      </w:r>
    </w:p>
    <w:p>
      <w:pPr>
        <w:keepNext w:val="0"/>
        <w:keepLines w:val="0"/>
        <w:pageBreakBefore w:val="0"/>
        <w:widowControl w:val="0"/>
        <w:kinsoku/>
        <w:wordWrap/>
        <w:overflowPunct/>
        <w:topLinePunct w:val="0"/>
        <w:autoSpaceDE/>
        <w:autoSpaceDN/>
        <w:bidi w:val="0"/>
        <w:adjustRightInd/>
        <w:snapToGrid/>
        <w:spacing w:before="1" w:line="560" w:lineRule="exact"/>
        <w:ind w:firstLine="612" w:firstLineChars="200"/>
        <w:textAlignment w:val="auto"/>
        <w:rPr>
          <w:rFonts w:hint="eastAsia" w:ascii="仿宋" w:hAnsi="仿宋" w:eastAsia="仿宋" w:cs="仿宋"/>
          <w:spacing w:val="-7"/>
          <w:position w:val="17"/>
          <w:sz w:val="32"/>
          <w:szCs w:val="32"/>
        </w:rPr>
      </w:pPr>
      <w:r>
        <w:rPr>
          <w:rFonts w:hint="eastAsia" w:ascii="仿宋" w:hAnsi="仿宋" w:eastAsia="仿宋" w:cs="仿宋"/>
          <w:spacing w:val="-7"/>
          <w:position w:val="17"/>
          <w:sz w:val="32"/>
          <w:szCs w:val="32"/>
        </w:rPr>
        <w:t>(二)党务办公室。负责党组织建设、政治思想教育、精神文明建设、党风廉政建设等工作；负责党员党费收缴管理、党员信息采集、整理、上报和党员的发展及组织关系转接、整理等工作。</w:t>
      </w:r>
    </w:p>
    <w:p>
      <w:pPr>
        <w:keepNext w:val="0"/>
        <w:keepLines w:val="0"/>
        <w:pageBreakBefore w:val="0"/>
        <w:widowControl w:val="0"/>
        <w:kinsoku/>
        <w:wordWrap/>
        <w:overflowPunct/>
        <w:topLinePunct w:val="0"/>
        <w:autoSpaceDE/>
        <w:autoSpaceDN/>
        <w:bidi w:val="0"/>
        <w:adjustRightInd/>
        <w:snapToGrid/>
        <w:spacing w:before="1" w:line="560" w:lineRule="exact"/>
        <w:ind w:firstLine="612" w:firstLineChars="200"/>
        <w:textAlignment w:val="auto"/>
        <w:rPr>
          <w:rFonts w:hint="eastAsia" w:ascii="仿宋" w:hAnsi="仿宋" w:eastAsia="仿宋" w:cs="仿宋"/>
          <w:spacing w:val="-7"/>
          <w:position w:val="17"/>
          <w:sz w:val="32"/>
          <w:szCs w:val="32"/>
        </w:rPr>
      </w:pPr>
      <w:r>
        <w:rPr>
          <w:rFonts w:hint="eastAsia" w:ascii="仿宋" w:hAnsi="仿宋" w:eastAsia="仿宋" w:cs="仿宋"/>
          <w:spacing w:val="-7"/>
          <w:position w:val="17"/>
          <w:sz w:val="32"/>
          <w:szCs w:val="32"/>
        </w:rPr>
        <w:t>(三)农业工作站。负责本辖区农作物栽培技术、土壤肥 料技术、植物保护技术推广工作规划和年度计划的制定并组织实 施。负责组织本辖区农民农业专业技术培训，提供农业技术信息 服务，培育和推广农业典型经验。负责测土配方施肥技术推广应 用和肥料新产品、新品种、新技术、新成果的试验、示范和推广 工作。负责耕地质量保护与建设管理工作。负责蔬菜、园艺特产 的技术指导及信息服务。组织开展对农民、农业生产经营组织、科技示范户和农药经营人员培训工作。</w:t>
      </w:r>
    </w:p>
    <w:p>
      <w:pPr>
        <w:keepNext w:val="0"/>
        <w:keepLines w:val="0"/>
        <w:pageBreakBefore w:val="0"/>
        <w:widowControl w:val="0"/>
        <w:kinsoku/>
        <w:wordWrap/>
        <w:overflowPunct/>
        <w:topLinePunct w:val="0"/>
        <w:autoSpaceDE/>
        <w:autoSpaceDN/>
        <w:bidi w:val="0"/>
        <w:adjustRightInd/>
        <w:snapToGrid/>
        <w:spacing w:before="1" w:line="560" w:lineRule="exact"/>
        <w:ind w:firstLine="612" w:firstLineChars="200"/>
        <w:textAlignment w:val="auto"/>
        <w:rPr>
          <w:rFonts w:hint="eastAsia" w:ascii="仿宋" w:hAnsi="仿宋" w:eastAsia="仿宋" w:cs="仿宋"/>
          <w:spacing w:val="-7"/>
          <w:position w:val="17"/>
          <w:sz w:val="32"/>
          <w:szCs w:val="32"/>
        </w:rPr>
      </w:pPr>
      <w:r>
        <w:rPr>
          <w:rFonts w:hint="eastAsia" w:ascii="仿宋" w:hAnsi="仿宋" w:eastAsia="仿宋" w:cs="仿宋"/>
          <w:spacing w:val="-7"/>
          <w:position w:val="17"/>
          <w:sz w:val="32"/>
          <w:szCs w:val="32"/>
        </w:rPr>
        <w:t>(四)畜牧工作站。负责组织实施本辖区动物疫病的免疫、 监测、预警、预报、实验室诊断、流行病学调查分析、病情报告；负责提出本辖区重大动物疫病防控规划、扑灭计划、应急预案建议、指导人畜共患病防治工作；负责动物疫情收集、汇总、分析及重大动物疫情预警预报工作；畜牧兽医技术推广；负责公益性 推广、疫病防控、疫情监测、动物检疫，负责动物疫病防治技术指导、技术培训科普宣传等。</w:t>
      </w:r>
    </w:p>
    <w:p>
      <w:pPr>
        <w:keepNext w:val="0"/>
        <w:keepLines w:val="0"/>
        <w:pageBreakBefore w:val="0"/>
        <w:widowControl w:val="0"/>
        <w:kinsoku/>
        <w:wordWrap/>
        <w:overflowPunct/>
        <w:topLinePunct w:val="0"/>
        <w:autoSpaceDE/>
        <w:autoSpaceDN/>
        <w:bidi w:val="0"/>
        <w:adjustRightInd/>
        <w:snapToGrid/>
        <w:spacing w:before="1" w:line="560" w:lineRule="exact"/>
        <w:ind w:firstLine="612" w:firstLineChars="200"/>
        <w:textAlignment w:val="auto"/>
        <w:rPr>
          <w:rFonts w:hint="eastAsia" w:ascii="仿宋" w:hAnsi="仿宋" w:eastAsia="仿宋" w:cs="仿宋"/>
          <w:spacing w:val="-7"/>
          <w:position w:val="17"/>
          <w:sz w:val="32"/>
          <w:szCs w:val="32"/>
        </w:rPr>
      </w:pPr>
      <w:r>
        <w:rPr>
          <w:rFonts w:hint="eastAsia" w:ascii="仿宋" w:hAnsi="仿宋" w:eastAsia="仿宋" w:cs="仿宋"/>
          <w:spacing w:val="-7"/>
          <w:position w:val="17"/>
          <w:sz w:val="32"/>
          <w:szCs w:val="32"/>
        </w:rPr>
        <w:t xml:space="preserve">  (五)农村经济管理站。主要负责资金、资产、资源的“三资"管理，村社财务会计核算和惠农资金的落实，以及财务公开 工作。做好土地承包经营权流转工作，维护农民土地承包权益。 依据《农民专业合作社法》,协助主管部门指导农户组建农民专业合作社。准确、及时、全面、系统地搞好农村经济情况的调查统计工作。抓好乡镇村组财务人员的业务培训工作，协助开展村 级财务审计，确保村组集体资金的安全和保值增值，以及各项政策的贯彻落实。</w:t>
      </w:r>
    </w:p>
    <w:p>
      <w:pPr>
        <w:keepNext w:val="0"/>
        <w:keepLines w:val="0"/>
        <w:pageBreakBefore w:val="0"/>
        <w:widowControl w:val="0"/>
        <w:kinsoku/>
        <w:wordWrap/>
        <w:overflowPunct/>
        <w:topLinePunct w:val="0"/>
        <w:autoSpaceDE/>
        <w:autoSpaceDN/>
        <w:bidi w:val="0"/>
        <w:adjustRightInd/>
        <w:snapToGrid/>
        <w:spacing w:before="1" w:line="560" w:lineRule="exact"/>
        <w:ind w:firstLine="612" w:firstLineChars="200"/>
        <w:textAlignment w:val="auto"/>
        <w:rPr>
          <w:rFonts w:hint="eastAsia" w:ascii="仿宋" w:hAnsi="仿宋" w:eastAsia="仿宋" w:cs="仿宋"/>
          <w:spacing w:val="-7"/>
          <w:position w:val="17"/>
          <w:sz w:val="32"/>
          <w:szCs w:val="32"/>
        </w:rPr>
      </w:pPr>
      <w:r>
        <w:rPr>
          <w:rFonts w:hint="eastAsia" w:ascii="仿宋" w:hAnsi="仿宋" w:eastAsia="仿宋" w:cs="仿宋"/>
          <w:spacing w:val="-7"/>
          <w:position w:val="17"/>
          <w:sz w:val="32"/>
          <w:szCs w:val="32"/>
        </w:rPr>
        <w:t>(六)农机推广站。协助农机管理部门落实农机新技术、新 机具的试验、示范及推广的基础工作；实施农业机械试验推广， 向群众推荐优质适用的农业机械；协助农机管理部门对农机具安 全作业进行管理，协助做好拖拉机牌、证的初审工作；负责农机 购置补贴的申报；宣传贯彻国家有关农业机械化的方针、政策和 法律、法规、规章；负责本辖区农机具普查、登记工作，发生重 大农机事故随时上报；逐步建立和完善农机化网站信息服务，开展农机社会化服务；负责本辖区农机机械化统计。</w:t>
      </w:r>
    </w:p>
    <w:p>
      <w:pPr>
        <w:keepNext w:val="0"/>
        <w:keepLines w:val="0"/>
        <w:pageBreakBefore w:val="0"/>
        <w:widowControl w:val="0"/>
        <w:kinsoku/>
        <w:wordWrap/>
        <w:overflowPunct/>
        <w:topLinePunct w:val="0"/>
        <w:autoSpaceDE/>
        <w:autoSpaceDN/>
        <w:bidi w:val="0"/>
        <w:adjustRightInd/>
        <w:snapToGrid/>
        <w:spacing w:before="1" w:line="560" w:lineRule="exact"/>
        <w:ind w:firstLine="612" w:firstLineChars="200"/>
        <w:textAlignment w:val="auto"/>
        <w:rPr>
          <w:rFonts w:hint="eastAsia" w:ascii="仿宋" w:hAnsi="仿宋" w:eastAsia="仿宋" w:cs="仿宋"/>
          <w:spacing w:val="-7"/>
          <w:position w:val="17"/>
          <w:sz w:val="32"/>
          <w:szCs w:val="32"/>
        </w:rPr>
      </w:pPr>
      <w:r>
        <w:rPr>
          <w:rFonts w:hint="eastAsia" w:ascii="仿宋" w:hAnsi="仿宋" w:eastAsia="仿宋" w:cs="仿宋"/>
          <w:spacing w:val="-7"/>
          <w:position w:val="17"/>
          <w:sz w:val="32"/>
          <w:szCs w:val="32"/>
        </w:rPr>
        <w:t>(七)林业工作站。宣传与贯彻执行《森林法》和国家及地 方的林业方针政策；协助当地政府制定林业长远规划和年度计 划，指导和组织农村集体、个人开展各项林业生产经营活动；按 照上级林业主管部门的安排配合林业调查设计单位开展森林资 源调查，负责造林检查验收、林业统计和森林资源档案管理，掌 握本站辖区内的森林资源消长变化情况；配合林业主管部门开展 森林防火、林业有害生物防治等工作；核定并落实集体和个人的 年度采伐指标；为调处林地纠纷，查处毁林案件等工作提供服务 保障，维护森林资源安全；负责组织本辖区的森林病虫害防治工 作；传播林业科学技术，总结和推广林业生产先进经验，开展本辖区的林业技术培训、技术咨询和技术服务；协助上级主管部门管好用好当地各项林业资金。</w:t>
      </w:r>
    </w:p>
    <w:p>
      <w:pPr>
        <w:keepNext w:val="0"/>
        <w:keepLines w:val="0"/>
        <w:pageBreakBefore w:val="0"/>
        <w:widowControl w:val="0"/>
        <w:kinsoku/>
        <w:wordWrap/>
        <w:overflowPunct/>
        <w:topLinePunct w:val="0"/>
        <w:autoSpaceDE/>
        <w:autoSpaceDN/>
        <w:bidi w:val="0"/>
        <w:adjustRightInd/>
        <w:snapToGrid/>
        <w:spacing w:before="1" w:line="560" w:lineRule="exact"/>
        <w:ind w:firstLine="612" w:firstLineChars="200"/>
        <w:textAlignment w:val="auto"/>
        <w:rPr>
          <w:rFonts w:hint="eastAsia" w:ascii="仿宋" w:hAnsi="仿宋" w:eastAsia="仿宋" w:cs="仿宋"/>
          <w:spacing w:val="-7"/>
          <w:position w:val="17"/>
          <w:sz w:val="32"/>
          <w:szCs w:val="32"/>
        </w:rPr>
      </w:pPr>
      <w:r>
        <w:rPr>
          <w:rFonts w:hint="eastAsia" w:ascii="仿宋" w:hAnsi="仿宋" w:eastAsia="仿宋" w:cs="仿宋"/>
          <w:spacing w:val="-7"/>
          <w:position w:val="17"/>
          <w:sz w:val="32"/>
          <w:szCs w:val="32"/>
        </w:rPr>
        <w:t>(八)水利工作站。负责国家、省、市、县各级政府涉水法 律和方针政策的贯彻实施，实行依法治水、依法管水；协助制定 本辖区水利建设中长期规划、年度实施计划，协助组织制定水资 源开发、配置和保护以及农田水利基本建设、水土保持、防洪等 相关专业规划；负责本辖区农业、工业、生活用水的计划制定与 节水、水环境保护、水污染防治等涉水事务；协助主管部门做好 本辖区水利工程建设管理工作，协助做好辖区内各类水利工程设 施管理体制改革；承担本辖区防汛抗旱日常工作，做好防汛抗旱 物资的筹集、调拨；组织指导本辖区水土保持工作；承担节水新 技术、新措施的推广运用，发展节水灌溉，解决人畜饮水，推进 实现人饮安全战略。协助主管部门做好区域内水质检测、政府投资兴建的农村饮水安全工程运行管理的维护等工作。</w:t>
      </w:r>
    </w:p>
    <w:p>
      <w:pPr>
        <w:keepNext w:val="0"/>
        <w:keepLines w:val="0"/>
        <w:pageBreakBefore w:val="0"/>
        <w:widowControl w:val="0"/>
        <w:kinsoku/>
        <w:wordWrap/>
        <w:overflowPunct/>
        <w:topLinePunct w:val="0"/>
        <w:autoSpaceDE/>
        <w:autoSpaceDN/>
        <w:bidi w:val="0"/>
        <w:adjustRightInd/>
        <w:snapToGrid/>
        <w:spacing w:before="1" w:line="560" w:lineRule="exact"/>
        <w:ind w:firstLine="612" w:firstLineChars="200"/>
        <w:textAlignment w:val="auto"/>
        <w:rPr>
          <w:rFonts w:hint="eastAsia" w:ascii="仿宋" w:hAnsi="仿宋" w:eastAsia="仿宋" w:cs="仿宋"/>
          <w:spacing w:val="-7"/>
          <w:position w:val="17"/>
          <w:sz w:val="32"/>
          <w:szCs w:val="32"/>
        </w:rPr>
      </w:pPr>
      <w:r>
        <w:rPr>
          <w:rFonts w:hint="eastAsia" w:ascii="仿宋" w:hAnsi="仿宋" w:eastAsia="仿宋" w:cs="仿宋"/>
          <w:spacing w:val="-7"/>
          <w:position w:val="17"/>
          <w:sz w:val="32"/>
          <w:szCs w:val="32"/>
        </w:rPr>
        <w:t>(九)文化工作站。对农家书屋、文化大院进行管理；开展 图书报刊借阅活动；组织文艺演出活动；开展数字文化信息服务； 开展文化遗产保护传承活动；开展公共文化资源配送和流动服务；组织体育健身活动。</w:t>
      </w:r>
    </w:p>
    <w:p>
      <w:pPr>
        <w:keepNext w:val="0"/>
        <w:keepLines w:val="0"/>
        <w:pageBreakBefore w:val="0"/>
        <w:widowControl w:val="0"/>
        <w:kinsoku/>
        <w:wordWrap/>
        <w:overflowPunct/>
        <w:topLinePunct w:val="0"/>
        <w:autoSpaceDE/>
        <w:autoSpaceDN/>
        <w:bidi w:val="0"/>
        <w:adjustRightInd/>
        <w:snapToGrid/>
        <w:spacing w:before="1" w:line="560" w:lineRule="exact"/>
        <w:ind w:firstLine="612" w:firstLineChars="200"/>
        <w:textAlignment w:val="auto"/>
        <w:rPr>
          <w:rFonts w:hint="eastAsia" w:ascii="仿宋" w:hAnsi="仿宋" w:eastAsia="仿宋" w:cs="仿宋"/>
          <w:spacing w:val="-7"/>
          <w:position w:val="17"/>
          <w:sz w:val="32"/>
          <w:szCs w:val="32"/>
        </w:rPr>
      </w:pPr>
      <w:r>
        <w:rPr>
          <w:rFonts w:hint="eastAsia" w:ascii="仿宋" w:hAnsi="仿宋" w:eastAsia="仿宋" w:cs="仿宋"/>
          <w:spacing w:val="-7"/>
          <w:position w:val="17"/>
          <w:sz w:val="32"/>
          <w:szCs w:val="32"/>
        </w:rPr>
        <w:t>(十)计划生育工作站。贯彻实施有关人口与计划生育的法 律、法规以及上级的有关指示，开展人口国情教育，普及人口与 计划生育基础知识。负责计划生育日常工作的实施，组织开展人 口与计划生育宣传教育和技术服务，负责计划生育工作人员的培训和队伍建设。负责出生缺陷优生筛查的调查随访工作。受理行政区域内的违反人口和计划生育法律、法规的举报考核。提供人口和计划生育工作信息。</w:t>
      </w:r>
    </w:p>
    <w:p>
      <w:pPr>
        <w:keepNext w:val="0"/>
        <w:keepLines w:val="0"/>
        <w:pageBreakBefore w:val="0"/>
        <w:widowControl w:val="0"/>
        <w:kinsoku/>
        <w:wordWrap/>
        <w:overflowPunct/>
        <w:topLinePunct w:val="0"/>
        <w:autoSpaceDE/>
        <w:autoSpaceDN/>
        <w:bidi w:val="0"/>
        <w:adjustRightInd/>
        <w:snapToGrid/>
        <w:spacing w:before="1" w:line="560" w:lineRule="exact"/>
        <w:ind w:firstLine="612" w:firstLineChars="200"/>
        <w:textAlignment w:val="auto"/>
        <w:rPr>
          <w:rFonts w:hint="eastAsia" w:ascii="仿宋" w:hAnsi="仿宋" w:eastAsia="仿宋" w:cs="仿宋"/>
          <w:spacing w:val="-7"/>
          <w:position w:val="17"/>
          <w:sz w:val="32"/>
          <w:szCs w:val="32"/>
        </w:rPr>
      </w:pPr>
      <w:r>
        <w:rPr>
          <w:rFonts w:hint="eastAsia" w:ascii="仿宋" w:hAnsi="仿宋" w:eastAsia="仿宋" w:cs="仿宋"/>
          <w:spacing w:val="-7"/>
          <w:position w:val="17"/>
          <w:sz w:val="32"/>
          <w:szCs w:val="32"/>
        </w:rPr>
        <w:t>(十一)国土资源所。宣传、贯彻国土资源管理的法律、法 规及方针、政策；配合镇政府编制好本辖区内的国土空间、矿产 资源开发规划，并严格执行；受上级自然资源行政管理部门和镇 政府的委托，负责本行政区内国土空间总体规划修编前期工作， 划定基本农田保护区及耕地保护工作；负责农村村民建房的选址 定点、报批代办及竣工验收工作。负责辖区内取土场、设施农用 地、临时用地等管理工作；负责农村集体土地所有权、使用权登 记发证的初审呈报及土地利用现状的变更调查工作；参与辖区内 采矿权申请登记、延续登记、变更登记和注销登记的预审或初审 工作；参与辖区新增建设用地的预审和报批工作；配合上级自然 资源行政管理部门做好辖区内土地开发整理工作；配合镇政府做 好辖区内地质灾害防治和地质环境保护工作；负责本辖区内国土 资源动态巡查，及时发现、制止土地(除农业农村主管部门监管 部分)和地质矿产违法行为，为查处国土资源违法案件、调处土 地、矿业权属纠纷等工作提供服务保障做好本辖区国土资源信访接待工作。</w:t>
      </w:r>
    </w:p>
    <w:p>
      <w:pPr>
        <w:keepNext w:val="0"/>
        <w:keepLines w:val="0"/>
        <w:pageBreakBefore w:val="0"/>
        <w:widowControl w:val="0"/>
        <w:kinsoku/>
        <w:wordWrap/>
        <w:overflowPunct/>
        <w:topLinePunct w:val="0"/>
        <w:autoSpaceDE/>
        <w:autoSpaceDN/>
        <w:bidi w:val="0"/>
        <w:adjustRightInd/>
        <w:snapToGrid/>
        <w:spacing w:before="1" w:line="560" w:lineRule="exact"/>
        <w:ind w:firstLine="612" w:firstLineChars="200"/>
        <w:textAlignment w:val="auto"/>
        <w:rPr>
          <w:rFonts w:hint="eastAsia" w:ascii="仿宋" w:hAnsi="仿宋" w:eastAsia="仿宋" w:cs="仿宋"/>
          <w:spacing w:val="-7"/>
          <w:position w:val="17"/>
          <w:sz w:val="32"/>
          <w:szCs w:val="32"/>
        </w:rPr>
      </w:pPr>
      <w:r>
        <w:rPr>
          <w:rFonts w:hint="eastAsia" w:ascii="仿宋" w:hAnsi="仿宋" w:eastAsia="仿宋" w:cs="仿宋"/>
          <w:spacing w:val="-7"/>
          <w:position w:val="17"/>
          <w:sz w:val="32"/>
          <w:szCs w:val="32"/>
        </w:rPr>
        <w:t>(十二)人力资源社会保障事务所。负责就业、劳动和社会 保障等法律、法规、政策的宣传和咨询工作；负责辖区内劳动力 资源统计；负责收集发布劳动力供求信息；掌握辖区内劳动力人员信息，报送各种业务报表；配合有关单位开展辖区内社会养老、医疗、失业等劳动和社会保障服务，检查辖区内用人单位的劳动用工情况，维护劳动者与离退休人员合法权益</w:t>
      </w:r>
    </w:p>
    <w:p>
      <w:pPr>
        <w:keepNext w:val="0"/>
        <w:keepLines w:val="0"/>
        <w:pageBreakBefore w:val="0"/>
        <w:widowControl w:val="0"/>
        <w:kinsoku/>
        <w:wordWrap/>
        <w:overflowPunct/>
        <w:topLinePunct w:val="0"/>
        <w:autoSpaceDE/>
        <w:autoSpaceDN/>
        <w:bidi w:val="0"/>
        <w:adjustRightInd/>
        <w:snapToGrid/>
        <w:spacing w:before="1" w:line="560" w:lineRule="exact"/>
        <w:ind w:firstLine="612" w:firstLineChars="200"/>
        <w:textAlignment w:val="auto"/>
        <w:rPr>
          <w:rFonts w:hint="eastAsia" w:ascii="仿宋" w:hAnsi="仿宋" w:eastAsia="仿宋" w:cs="仿宋"/>
          <w:spacing w:val="-7"/>
          <w:position w:val="17"/>
          <w:sz w:val="32"/>
          <w:szCs w:val="32"/>
        </w:rPr>
      </w:pPr>
      <w:r>
        <w:rPr>
          <w:rFonts w:hint="eastAsia" w:ascii="仿宋" w:hAnsi="仿宋" w:eastAsia="仿宋" w:cs="仿宋"/>
          <w:spacing w:val="-7"/>
          <w:position w:val="17"/>
          <w:sz w:val="32"/>
          <w:szCs w:val="32"/>
        </w:rPr>
        <w:t>(十三)广播站。管理维护广播电视设施；为查处自办广  播电视节目、自行接收境外非法广播电视节目信号行为等工作提</w:t>
      </w:r>
    </w:p>
    <w:p>
      <w:pPr>
        <w:keepNext w:val="0"/>
        <w:keepLines w:val="0"/>
        <w:pageBreakBefore w:val="0"/>
        <w:widowControl w:val="0"/>
        <w:kinsoku/>
        <w:wordWrap/>
        <w:overflowPunct/>
        <w:topLinePunct w:val="0"/>
        <w:autoSpaceDE/>
        <w:autoSpaceDN/>
        <w:bidi w:val="0"/>
        <w:adjustRightInd/>
        <w:snapToGrid/>
        <w:spacing w:before="1" w:line="560" w:lineRule="exact"/>
        <w:ind w:firstLine="612" w:firstLineChars="200"/>
        <w:textAlignment w:val="auto"/>
        <w:rPr>
          <w:rFonts w:hint="eastAsia" w:ascii="仿宋" w:hAnsi="仿宋" w:eastAsia="仿宋" w:cs="仿宋"/>
          <w:spacing w:val="-7"/>
          <w:position w:val="17"/>
          <w:sz w:val="32"/>
          <w:szCs w:val="32"/>
        </w:rPr>
      </w:pPr>
      <w:r>
        <w:rPr>
          <w:rFonts w:hint="eastAsia" w:ascii="仿宋" w:hAnsi="仿宋" w:eastAsia="仿宋" w:cs="仿宋"/>
          <w:spacing w:val="-7"/>
          <w:position w:val="17"/>
          <w:sz w:val="32"/>
          <w:szCs w:val="32"/>
        </w:rPr>
        <w:t>供服务保障；配合本级党委政府的中心工作举办广播节目</w:t>
      </w:r>
    </w:p>
    <w:p>
      <w:pPr>
        <w:keepNext w:val="0"/>
        <w:keepLines w:val="0"/>
        <w:pageBreakBefore w:val="0"/>
        <w:widowControl w:val="0"/>
        <w:kinsoku/>
        <w:wordWrap/>
        <w:overflowPunct/>
        <w:topLinePunct w:val="0"/>
        <w:autoSpaceDE/>
        <w:autoSpaceDN/>
        <w:bidi w:val="0"/>
        <w:adjustRightInd/>
        <w:snapToGrid/>
        <w:spacing w:before="1" w:line="560" w:lineRule="exact"/>
        <w:ind w:firstLine="612" w:firstLineChars="200"/>
        <w:textAlignment w:val="auto"/>
        <w:rPr>
          <w:rFonts w:ascii="仿宋" w:hAnsi="仿宋" w:eastAsia="仿宋" w:cs="仿宋"/>
          <w:sz w:val="31"/>
          <w:szCs w:val="31"/>
        </w:rPr>
      </w:pPr>
      <w:r>
        <w:rPr>
          <w:rFonts w:hint="eastAsia" w:ascii="仿宋" w:hAnsi="仿宋" w:eastAsia="仿宋" w:cs="仿宋"/>
          <w:spacing w:val="-7"/>
          <w:position w:val="17"/>
          <w:sz w:val="32"/>
          <w:szCs w:val="32"/>
        </w:rPr>
        <w:t>(十四)退役军人工作站。面对面、个性化、 一对一服务退 役军人，做好关系转接、联络接待、困难帮扶、信息采集、情况 反映、立功报喜、悬挂光荣牌和“八一 ”、春节等节日以及重大 变故走访慰问等具体事务，搭建政策咨询、帮扶援助、沟通联系、 学习交流等活动场所，把党和政府的关怀送到每一个退役军人身边。</w:t>
      </w:r>
    </w:p>
    <w:p>
      <w:pPr>
        <w:spacing w:before="220" w:line="221" w:lineRule="auto"/>
        <w:ind w:left="644"/>
        <w:outlineLvl w:val="0"/>
        <w:rPr>
          <w:rFonts w:ascii="黑体" w:hAnsi="黑体" w:eastAsia="黑体" w:cs="黑体"/>
          <w:sz w:val="31"/>
          <w:szCs w:val="31"/>
        </w:rPr>
      </w:pPr>
      <w:r>
        <w:rPr>
          <w:rFonts w:ascii="黑体" w:hAnsi="黑体" w:eastAsia="黑体" w:cs="黑体"/>
          <w:b/>
          <w:bCs/>
          <w:spacing w:val="-15"/>
          <w:sz w:val="31"/>
          <w:szCs w:val="31"/>
        </w:rPr>
        <w:t>三、</w:t>
      </w:r>
      <w:r>
        <w:rPr>
          <w:rFonts w:ascii="黑体" w:hAnsi="黑体" w:eastAsia="黑体" w:cs="黑体"/>
          <w:spacing w:val="-59"/>
          <w:sz w:val="31"/>
          <w:szCs w:val="31"/>
        </w:rPr>
        <w:t xml:space="preserve"> </w:t>
      </w:r>
      <w:r>
        <w:rPr>
          <w:rFonts w:ascii="黑体" w:hAnsi="黑体" w:eastAsia="黑体" w:cs="黑体"/>
          <w:b/>
          <w:bCs/>
          <w:spacing w:val="-15"/>
          <w:sz w:val="31"/>
          <w:szCs w:val="31"/>
        </w:rPr>
        <w:t>人员编制</w:t>
      </w:r>
    </w:p>
    <w:p>
      <w:pPr>
        <w:spacing w:before="191" w:line="322" w:lineRule="auto"/>
        <w:ind w:right="106" w:firstLine="639"/>
        <w:jc w:val="both"/>
        <w:rPr>
          <w:rFonts w:hint="eastAsia" w:ascii="仿宋" w:hAnsi="仿宋" w:eastAsia="仿宋" w:cs="仿宋"/>
          <w:spacing w:val="-8"/>
          <w:sz w:val="32"/>
          <w:szCs w:val="32"/>
          <w:lang w:val="en-US" w:eastAsia="zh-CN"/>
        </w:rPr>
        <w:sectPr>
          <w:footerReference r:id="rId3" w:type="default"/>
          <w:type w:val="evenPage"/>
          <w:pgSz w:w="12160" w:h="17010"/>
          <w:pgMar w:top="1445" w:right="1670" w:bottom="1700" w:left="1600" w:header="0" w:footer="1501" w:gutter="0"/>
          <w:cols w:space="720" w:num="1"/>
        </w:sectPr>
      </w:pPr>
      <w:r>
        <w:rPr>
          <w:rFonts w:ascii="仿宋" w:hAnsi="仿宋" w:eastAsia="仿宋" w:cs="仿宋"/>
          <w:spacing w:val="14"/>
          <w:sz w:val="31"/>
          <w:szCs w:val="31"/>
        </w:rPr>
        <w:t>根据职责任务，核定通榆县边昭镇综合服务中心52名事业</w:t>
      </w:r>
      <w:r>
        <w:rPr>
          <w:rFonts w:ascii="仿宋" w:hAnsi="仿宋" w:eastAsia="仿宋" w:cs="仿宋"/>
          <w:spacing w:val="15"/>
          <w:sz w:val="31"/>
          <w:szCs w:val="31"/>
        </w:rPr>
        <w:t xml:space="preserve"> </w:t>
      </w:r>
      <w:r>
        <w:rPr>
          <w:rFonts w:ascii="仿宋" w:hAnsi="仿宋" w:eastAsia="仿宋" w:cs="仿宋"/>
          <w:spacing w:val="9"/>
          <w:sz w:val="31"/>
          <w:szCs w:val="31"/>
        </w:rPr>
        <w:t>编制。编制结构比例：行政管理岗位编制3名，专业技术岗位编</w:t>
      </w:r>
      <w:r>
        <w:rPr>
          <w:rFonts w:ascii="仿宋" w:hAnsi="仿宋" w:eastAsia="仿宋" w:cs="仿宋"/>
          <w:spacing w:val="17"/>
          <w:sz w:val="31"/>
          <w:szCs w:val="31"/>
        </w:rPr>
        <w:t>制49名。</w:t>
      </w:r>
      <w:r>
        <w:rPr>
          <w:rFonts w:ascii="仿宋" w:hAnsi="仿宋" w:eastAsia="仿宋" w:cs="仿宋"/>
          <w:spacing w:val="14"/>
          <w:sz w:val="31"/>
          <w:szCs w:val="31"/>
        </w:rPr>
        <w:t>核定通榆县边昭镇综合服务中心领导职数5名(其中：正职</w:t>
      </w:r>
      <w:r>
        <w:rPr>
          <w:rFonts w:ascii="仿宋" w:hAnsi="仿宋" w:eastAsia="仿宋" w:cs="仿宋"/>
          <w:spacing w:val="13"/>
          <w:sz w:val="31"/>
          <w:szCs w:val="31"/>
        </w:rPr>
        <w:t xml:space="preserve"> </w:t>
      </w:r>
      <w:r>
        <w:rPr>
          <w:rFonts w:ascii="仿宋" w:hAnsi="仿宋" w:eastAsia="仿宋" w:cs="仿宋"/>
          <w:spacing w:val="19"/>
          <w:sz w:val="31"/>
          <w:szCs w:val="31"/>
        </w:rPr>
        <w:t>1名〔由副镇长兼任〕、副职3名、党组织专职副书记1名，未</w:t>
      </w:r>
      <w:r>
        <w:rPr>
          <w:rFonts w:ascii="仿宋" w:hAnsi="仿宋" w:eastAsia="仿宋" w:cs="仿宋"/>
          <w:spacing w:val="11"/>
          <w:sz w:val="31"/>
          <w:szCs w:val="31"/>
        </w:rPr>
        <w:t>定级)。内设机构领导职数14名</w:t>
      </w:r>
      <w:r>
        <w:rPr>
          <w:rFonts w:hint="eastAsia" w:ascii="仿宋" w:hAnsi="仿宋" w:eastAsia="仿宋" w:cs="仿宋"/>
          <w:spacing w:val="11"/>
          <w:sz w:val="31"/>
          <w:szCs w:val="31"/>
          <w:lang w:eastAsia="zh-CN"/>
        </w:rPr>
        <w:t>。</w:t>
      </w: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908.3</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908.3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558.46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558.46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908.3</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908.3</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102.16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102.16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159.55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159.55</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55.41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55.41</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32.72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32.72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908.3</w:t>
            </w: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908.3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20"/>
                <w:lang w:val="en-US" w:eastAsia="zh-CN"/>
              </w:rPr>
              <w:t>908.3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b/>
                <w:bCs/>
                <w:kern w:val="0"/>
                <w:sz w:val="20"/>
                <w:lang w:val="en-US" w:eastAsia="zh-CN" w:bidi="ar-SA"/>
              </w:rPr>
            </w:pPr>
            <w:r>
              <w:rPr>
                <w:rFonts w:hint="eastAsia" w:eastAsia="宋体"/>
                <w:kern w:val="0"/>
                <w:sz w:val="20"/>
                <w:lang w:val="en-US" w:eastAsia="zh-CN"/>
              </w:rPr>
              <w:t>908.3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908.3</w:t>
            </w: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908.3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908.3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908.3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hAnsi="楷体" w:eastAsia="楷体"/>
        </w:rPr>
      </w:pP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通榆县边昭镇综合服务中心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908.3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908.3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908.3</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lang w:val="en-US" w:eastAsia="zh-CN"/>
                    </w:rPr>
                    <w:t>一、</w:t>
                  </w:r>
                  <w:r>
                    <w:rPr>
                      <w:rFonts w:eastAsia="宋体"/>
                      <w:color w:val="000000"/>
                      <w:kern w:val="0"/>
                      <w:sz w:val="20"/>
                    </w:rPr>
                    <w:t>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558.46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558.46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华文细黑"/>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事业</w:t>
                  </w:r>
                  <w:r>
                    <w:rPr>
                      <w:rFonts w:eastAsia="宋体"/>
                      <w:color w:val="000000"/>
                      <w:kern w:val="0"/>
                      <w:sz w:val="20"/>
                    </w:rPr>
                    <w:t>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558.46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558.46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eastAsia="宋体"/>
                      <w:color w:val="000000"/>
                      <w:kern w:val="0"/>
                      <w:sz w:val="20"/>
                    </w:rPr>
                    <w:t xml:space="preserve">    二、</w:t>
                  </w:r>
                  <w:r>
                    <w:rPr>
                      <w:rFonts w:hint="eastAsia" w:eastAsia="宋体"/>
                      <w:color w:val="000000"/>
                      <w:kern w:val="0"/>
                      <w:sz w:val="20"/>
                      <w:lang w:val="en-US"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102.16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102.16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102.16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102.16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79.32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79.32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 xml:space="preserve">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eastAsia="宋体"/>
                      <w:color w:val="000000"/>
                      <w:kern w:val="0"/>
                      <w:sz w:val="20"/>
                      <w:lang w:val="en-US" w:eastAsia="zh-CN"/>
                    </w:rPr>
                  </w:pPr>
                  <w:r>
                    <w:rPr>
                      <w:rFonts w:hint="eastAsia" w:eastAsia="宋体"/>
                      <w:color w:val="000000"/>
                      <w:kern w:val="0"/>
                      <w:sz w:val="20"/>
                      <w:lang w:val="en-US" w:eastAsia="zh-CN"/>
                    </w:rPr>
                    <w:t>三、卫生和健康</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32.72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32.72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31.73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val="en-US" w:eastAsia="zh-CN"/>
                    </w:rPr>
                    <w:t>其他行政事业单位医疗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0.99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0.99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四、农林水支出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159.55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159.55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农村综合改革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159.55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159.55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对村民委员会和村党支部的补助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159.55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159.55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五、住房保障支出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55.41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55.41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55.41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55.41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908.3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748.75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159.55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818"/>
              <w:gridCol w:w="670"/>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908.3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908.3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558.46</w:t>
                  </w: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558.46</w:t>
                  </w: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908.3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908.3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102.16</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102.16</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32.71</w:t>
                  </w: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32.71</w:t>
                  </w: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159.55</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159.55</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55.41</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55.41</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908.3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908.3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908.3</w:t>
                  </w: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908.3</w:t>
                  </w: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908.3</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lang w:val="en-US" w:eastAsia="zh-CN" w:bidi="ar-SA"/>
                    </w:rPr>
                  </w:pPr>
                  <w:r>
                    <w:rPr>
                      <w:rFonts w:hint="eastAsia" w:eastAsia="黑体"/>
                      <w:kern w:val="0"/>
                      <w:sz w:val="20"/>
                      <w:lang w:val="en-US" w:eastAsia="zh-CN"/>
                    </w:rPr>
                    <w:t>908.3</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908.3</w:t>
                  </w: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908.3</w:t>
                  </w: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hint="eastAsia" w:eastAsia="宋体"/>
                      <w:color w:val="000000"/>
                      <w:kern w:val="0"/>
                      <w:sz w:val="20"/>
                      <w:lang w:val="en-US" w:eastAsia="zh-CN"/>
                    </w:rPr>
                    <w:t>一、</w:t>
                  </w:r>
                  <w:r>
                    <w:rPr>
                      <w:rFonts w:eastAsia="宋体"/>
                      <w:color w:val="000000"/>
                      <w:kern w:val="0"/>
                      <w:sz w:val="20"/>
                    </w:rPr>
                    <w:t>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558.46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558.46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508.54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49.92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159.55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华文细黑"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val="en-US" w:eastAsia="zh-CN"/>
                    </w:rPr>
                    <w:t>事业</w:t>
                  </w:r>
                  <w:r>
                    <w:rPr>
                      <w:rFonts w:eastAsia="宋体"/>
                      <w:color w:val="000000"/>
                      <w:kern w:val="0"/>
                      <w:sz w:val="20"/>
                    </w:rPr>
                    <w:t>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558.46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558.46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508.54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49.92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159.55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二、</w:t>
                  </w:r>
                  <w:r>
                    <w:rPr>
                      <w:rFonts w:hint="eastAsia" w:eastAsia="宋体"/>
                      <w:color w:val="000000"/>
                      <w:kern w:val="0"/>
                      <w:sz w:val="20"/>
                      <w:lang w:val="en-US"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102.16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102.16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102.16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val="en-US"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102.16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102.16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102.16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79.32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79.32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79.32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val="en-US"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三、卫生和健康</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其他行政事业单位医疗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四、农林水支出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159.55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农村综合改革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159.55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对村民委员会和村党支部的补助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159.55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159.55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五、住房保障支出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华文细黑" w:cs="Times New Roman"/>
                      <w:color w:val="000000"/>
                      <w:kern w:val="0"/>
                      <w:sz w:val="20"/>
                      <w:lang w:val="en-US" w:eastAsia="zh-CN" w:bidi="ar-SA"/>
                    </w:rPr>
                  </w:pPr>
                  <w:r>
                    <w:rPr>
                      <w:rFonts w:hint="eastAsia" w:eastAsia="华文细黑"/>
                      <w:color w:val="000000"/>
                      <w:kern w:val="0"/>
                      <w:sz w:val="20"/>
                      <w:lang w:val="en-US"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908.3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748.75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698.83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49.92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159.55</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szCs w:val="20"/>
              </w:rPr>
            </w:pPr>
            <w:r>
              <w:rPr>
                <w:rFonts w:eastAsia="宋体"/>
                <w:color w:val="000000"/>
                <w:sz w:val="20"/>
                <w:szCs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szCs w:val="20"/>
                <w:lang w:val="en-US" w:eastAsia="zh-CN"/>
              </w:rPr>
            </w:pPr>
            <w:r>
              <w:rPr>
                <w:rFonts w:hint="eastAsia" w:eastAsia="宋体"/>
                <w:kern w:val="0"/>
                <w:sz w:val="20"/>
                <w:szCs w:val="20"/>
                <w:lang w:val="en-US" w:eastAsia="zh-CN"/>
              </w:rPr>
              <w:t>254.36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254.36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szCs w:val="20"/>
              </w:rPr>
            </w:pPr>
            <w:r>
              <w:rPr>
                <w:rFonts w:eastAsia="宋体"/>
                <w:color w:val="000000"/>
                <w:sz w:val="20"/>
                <w:szCs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szCs w:val="20"/>
                <w:lang w:val="en-US" w:eastAsia="zh-CN"/>
              </w:rPr>
            </w:pPr>
            <w:r>
              <w:rPr>
                <w:rFonts w:hint="eastAsia" w:eastAsia="宋体"/>
                <w:kern w:val="0"/>
                <w:sz w:val="20"/>
                <w:szCs w:val="20"/>
                <w:lang w:val="en-US" w:eastAsia="zh-CN"/>
              </w:rPr>
              <w:t>50.32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50.32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szCs w:val="20"/>
              </w:rPr>
            </w:pPr>
            <w:r>
              <w:rPr>
                <w:rFonts w:eastAsia="宋体"/>
                <w:color w:val="000000"/>
                <w:sz w:val="20"/>
                <w:szCs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szCs w:val="20"/>
                <w:lang w:val="en-US" w:eastAsia="zh-CN"/>
              </w:rPr>
            </w:pPr>
            <w:r>
              <w:rPr>
                <w:rFonts w:hint="eastAsia" w:eastAsia="宋体"/>
                <w:kern w:val="0"/>
                <w:sz w:val="20"/>
                <w:szCs w:val="20"/>
                <w:lang w:val="en-US" w:eastAsia="zh-CN"/>
              </w:rPr>
              <w:t>52.69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52.69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kern w:val="0"/>
                <w:sz w:val="20"/>
                <w:szCs w:val="20"/>
                <w:lang w:val="en-US" w:eastAsia="zh-CN"/>
              </w:rPr>
            </w:pPr>
            <w:r>
              <w:rPr>
                <w:rFonts w:hint="eastAsia" w:eastAsia="宋体"/>
                <w:color w:val="000000"/>
                <w:sz w:val="20"/>
                <w:szCs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szCs w:val="20"/>
                <w:lang w:val="en-US" w:eastAsia="zh-CN"/>
              </w:rPr>
            </w:pPr>
            <w:r>
              <w:rPr>
                <w:rFonts w:hint="eastAsia" w:eastAsia="宋体"/>
                <w:kern w:val="0"/>
                <w:sz w:val="20"/>
                <w:szCs w:val="20"/>
                <w:lang w:val="en-US" w:eastAsia="zh-CN"/>
              </w:rPr>
              <w:t>138.36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138.36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kern w:val="0"/>
                <w:sz w:val="20"/>
                <w:szCs w:val="20"/>
                <w:lang w:val="en-US" w:eastAsia="zh-CN"/>
              </w:rPr>
            </w:pPr>
            <w:r>
              <w:rPr>
                <w:rFonts w:hint="eastAsia" w:eastAsia="宋体"/>
                <w:color w:val="000000"/>
                <w:sz w:val="20"/>
                <w:szCs w:val="20"/>
                <w:lang w:val="en-US" w:eastAsia="zh-CN"/>
              </w:rPr>
              <w:t>机关事业单位养老保险缴费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szCs w:val="20"/>
                <w:lang w:val="en-US" w:eastAsia="zh-CN"/>
              </w:rPr>
            </w:pPr>
            <w:r>
              <w:rPr>
                <w:rFonts w:hint="eastAsia" w:eastAsia="宋体"/>
                <w:kern w:val="0"/>
                <w:sz w:val="20"/>
                <w:szCs w:val="20"/>
                <w:lang w:val="en-US" w:eastAsia="zh-CN"/>
              </w:rPr>
              <w:t>79.32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79.32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default" w:eastAsia="宋体"/>
                <w:kern w:val="0"/>
                <w:sz w:val="20"/>
                <w:szCs w:val="20"/>
                <w:lang w:val="en-US" w:eastAsia="zh-CN"/>
              </w:rPr>
            </w:pPr>
            <w:r>
              <w:rPr>
                <w:rFonts w:hint="eastAsia" w:eastAsia="宋体"/>
                <w:color w:val="000000"/>
                <w:sz w:val="20"/>
                <w:szCs w:val="20"/>
                <w:lang w:val="en-US"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szCs w:val="20"/>
                <w:lang w:val="en-US" w:eastAsia="zh-CN"/>
              </w:rPr>
            </w:pPr>
            <w:r>
              <w:rPr>
                <w:rFonts w:hint="eastAsia" w:eastAsia="宋体"/>
                <w:kern w:val="0"/>
                <w:sz w:val="20"/>
                <w:szCs w:val="20"/>
                <w:lang w:val="en-US" w:eastAsia="zh-CN"/>
              </w:rPr>
              <w:t>19.38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19.38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kern w:val="0"/>
                <w:sz w:val="20"/>
                <w:szCs w:val="20"/>
                <w:lang w:val="en-US" w:eastAsia="zh-CN"/>
              </w:rPr>
            </w:pPr>
            <w:r>
              <w:rPr>
                <w:rFonts w:hint="eastAsia" w:eastAsia="宋体"/>
                <w:kern w:val="0"/>
                <w:sz w:val="20"/>
                <w:szCs w:val="20"/>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szCs w:val="20"/>
                <w:lang w:val="en-US" w:eastAsia="zh-CN"/>
              </w:rPr>
            </w:pPr>
            <w:r>
              <w:rPr>
                <w:rFonts w:hint="eastAsia" w:eastAsia="宋体"/>
                <w:kern w:val="0"/>
                <w:sz w:val="20"/>
                <w:szCs w:val="20"/>
                <w:lang w:val="en-US" w:eastAsia="zh-CN"/>
              </w:rPr>
              <w:t>31.73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31.73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kern w:val="0"/>
                <w:sz w:val="20"/>
                <w:szCs w:val="20"/>
                <w:lang w:val="en-US" w:eastAsia="zh-CN"/>
              </w:rPr>
            </w:pPr>
            <w:r>
              <w:rPr>
                <w:rFonts w:hint="eastAsia" w:eastAsia="宋体"/>
                <w:color w:val="000000"/>
                <w:kern w:val="0"/>
                <w:sz w:val="20"/>
                <w:szCs w:val="20"/>
                <w:lang w:val="en-US" w:eastAsia="zh-CN"/>
              </w:rPr>
              <w:t>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szCs w:val="20"/>
                <w:lang w:val="en-US" w:eastAsia="zh-CN"/>
              </w:rPr>
            </w:pPr>
          </w:p>
          <w:p>
            <w:pPr>
              <w:widowControl/>
              <w:jc w:val="right"/>
              <w:rPr>
                <w:rFonts w:hint="default" w:eastAsia="宋体"/>
                <w:kern w:val="0"/>
                <w:sz w:val="20"/>
                <w:szCs w:val="20"/>
                <w:lang w:val="en-US" w:eastAsia="zh-CN"/>
              </w:rPr>
            </w:pPr>
            <w:r>
              <w:rPr>
                <w:rFonts w:hint="eastAsia" w:eastAsia="宋体"/>
                <w:kern w:val="0"/>
                <w:sz w:val="20"/>
                <w:szCs w:val="20"/>
                <w:lang w:val="en-US" w:eastAsia="zh-CN"/>
              </w:rPr>
              <w:t>4.46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szCs w:val="20"/>
                <w:lang w:val="en-US" w:eastAsia="zh-CN"/>
              </w:rPr>
            </w:pPr>
          </w:p>
          <w:p>
            <w:pPr>
              <w:widowControl/>
              <w:jc w:val="right"/>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4.46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szCs w:val="20"/>
                <w:lang w:val="en-US" w:eastAsia="zh-CN"/>
              </w:rPr>
            </w:pPr>
          </w:p>
          <w:p>
            <w:pPr>
              <w:widowControl/>
              <w:jc w:val="right"/>
              <w:rPr>
                <w:rFonts w:hint="default" w:eastAsia="宋体"/>
                <w:kern w:val="0"/>
                <w:sz w:val="20"/>
                <w:szCs w:val="20"/>
                <w:lang w:val="en-US" w:eastAsia="zh-CN"/>
              </w:rPr>
            </w:pPr>
            <w:r>
              <w:rPr>
                <w:rFonts w:hint="eastAsia" w:eastAsia="宋体"/>
                <w:kern w:val="0"/>
                <w:sz w:val="20"/>
                <w:szCs w:val="20"/>
                <w:lang w:val="en-US" w:eastAsia="zh-CN"/>
              </w:rPr>
              <w:t>55.41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szCs w:val="20"/>
                <w:lang w:val="en-US" w:eastAsia="zh-CN"/>
              </w:rPr>
            </w:pPr>
          </w:p>
          <w:p>
            <w:pPr>
              <w:widowControl/>
              <w:jc w:val="right"/>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55.41</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其他工资福利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szCs w:val="20"/>
                <w:lang w:val="en-US" w:eastAsia="zh-CN"/>
              </w:rPr>
            </w:pPr>
            <w:r>
              <w:rPr>
                <w:rFonts w:hint="eastAsia" w:eastAsia="宋体"/>
                <w:kern w:val="0"/>
                <w:sz w:val="20"/>
                <w:szCs w:val="20"/>
                <w:lang w:val="en-US" w:eastAsia="zh-CN"/>
              </w:rPr>
              <w:t>6.18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6.18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szCs w:val="20"/>
                <w:lang w:val="en-US" w:eastAsia="zh-CN"/>
              </w:rPr>
            </w:pPr>
            <w:r>
              <w:rPr>
                <w:rFonts w:hint="eastAsia" w:eastAsia="宋体"/>
                <w:kern w:val="0"/>
                <w:sz w:val="20"/>
                <w:szCs w:val="20"/>
                <w:lang w:val="en-US" w:eastAsia="zh-CN"/>
              </w:rPr>
              <w:t>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sz w:val="20"/>
                <w:szCs w:val="20"/>
                <w:lang w:val="en-US"/>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咨询费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szCs w:val="20"/>
                <w:lang w:val="en-US" w:eastAsia="zh-CN"/>
              </w:rPr>
            </w:pPr>
            <w:r>
              <w:rPr>
                <w:rFonts w:hint="eastAsia" w:eastAsia="宋体"/>
                <w:kern w:val="0"/>
                <w:sz w:val="20"/>
                <w:szCs w:val="20"/>
                <w:lang w:val="en-US" w:eastAsia="zh-CN"/>
              </w:rPr>
              <w:t>3.5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3.5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szCs w:val="20"/>
                <w:lang w:val="en-US" w:eastAsia="zh-CN"/>
              </w:rPr>
            </w:pPr>
            <w:r>
              <w:rPr>
                <w:rFonts w:hint="eastAsia" w:eastAsia="宋体"/>
                <w:color w:val="000000"/>
                <w:kern w:val="0"/>
                <w:sz w:val="20"/>
                <w:szCs w:val="20"/>
                <w:lang w:val="en-US" w:eastAsia="zh-CN"/>
              </w:rPr>
              <w:t>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szCs w:val="20"/>
                <w:lang w:val="en-US" w:eastAsia="zh-CN"/>
              </w:rPr>
            </w:pPr>
            <w:r>
              <w:rPr>
                <w:rFonts w:hint="eastAsia" w:eastAsia="宋体"/>
                <w:kern w:val="0"/>
                <w:sz w:val="20"/>
                <w:szCs w:val="20"/>
                <w:lang w:val="en-US" w:eastAsia="zh-CN"/>
              </w:rPr>
              <w:t>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szCs w:val="20"/>
                <w:lang w:val="en-US" w:eastAsia="zh-CN"/>
              </w:rPr>
            </w:pPr>
            <w:r>
              <w:rPr>
                <w:rFonts w:hint="eastAsia" w:eastAsia="宋体"/>
                <w:kern w:val="0"/>
                <w:sz w:val="20"/>
                <w:szCs w:val="20"/>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维修（护）费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szCs w:val="20"/>
                <w:lang w:val="en-US" w:eastAsia="zh-CN"/>
              </w:rPr>
            </w:pPr>
            <w:r>
              <w:rPr>
                <w:rFonts w:hint="eastAsia" w:eastAsia="宋体"/>
                <w:kern w:val="0"/>
                <w:sz w:val="20"/>
                <w:szCs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租赁费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szCs w:val="20"/>
                <w:lang w:val="en-US" w:eastAsia="zh-CN"/>
              </w:rPr>
            </w:pPr>
            <w:r>
              <w:rPr>
                <w:rFonts w:hint="eastAsia" w:eastAsia="宋体"/>
                <w:kern w:val="0"/>
                <w:sz w:val="20"/>
                <w:szCs w:val="20"/>
                <w:lang w:val="en-US" w:eastAsia="zh-CN"/>
              </w:rPr>
              <w:t>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会议费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szCs w:val="20"/>
                <w:lang w:val="en-US" w:eastAsia="zh-CN"/>
              </w:rPr>
            </w:pPr>
            <w:r>
              <w:rPr>
                <w:rFonts w:hint="eastAsia" w:eastAsia="宋体"/>
                <w:kern w:val="0"/>
                <w:sz w:val="20"/>
                <w:szCs w:val="20"/>
                <w:lang w:val="en-US" w:eastAsia="zh-CN"/>
              </w:rPr>
              <w:t>0.3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培训费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szCs w:val="20"/>
                <w:lang w:val="en-US" w:eastAsia="zh-CN"/>
              </w:rPr>
            </w:pPr>
            <w:r>
              <w:rPr>
                <w:rFonts w:hint="eastAsia" w:eastAsia="宋体"/>
                <w:kern w:val="0"/>
                <w:sz w:val="20"/>
                <w:szCs w:val="20"/>
                <w:lang w:val="en-US" w:eastAsia="zh-CN"/>
              </w:rPr>
              <w:t>0.2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0.2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被装购置费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szCs w:val="20"/>
                <w:lang w:val="en-US" w:eastAsia="zh-CN"/>
              </w:rPr>
            </w:pPr>
            <w:r>
              <w:rPr>
                <w:rFonts w:hint="eastAsia" w:eastAsia="宋体"/>
                <w:kern w:val="0"/>
                <w:sz w:val="20"/>
                <w:szCs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劳务费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szCs w:val="20"/>
                <w:lang w:val="en-US" w:eastAsia="zh-CN"/>
              </w:rPr>
            </w:pPr>
            <w:r>
              <w:rPr>
                <w:rFonts w:hint="eastAsia" w:eastAsia="宋体"/>
                <w:kern w:val="0"/>
                <w:sz w:val="20"/>
                <w:szCs w:val="20"/>
                <w:lang w:val="en-US" w:eastAsia="zh-CN"/>
              </w:rPr>
              <w:t>0.2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0.2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szCs w:val="20"/>
                <w:lang w:val="en-US" w:eastAsia="zh-CN"/>
              </w:rPr>
            </w:pPr>
            <w:r>
              <w:rPr>
                <w:rFonts w:hint="eastAsia" w:eastAsia="宋体"/>
                <w:kern w:val="0"/>
                <w:sz w:val="20"/>
                <w:szCs w:val="20"/>
                <w:lang w:val="en-US" w:eastAsia="zh-CN"/>
              </w:rPr>
              <w:t>10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福利费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szCs w:val="20"/>
                <w:lang w:val="en-US" w:eastAsia="zh-CN"/>
              </w:rPr>
            </w:pPr>
            <w:r>
              <w:rPr>
                <w:rFonts w:hint="eastAsia" w:eastAsia="宋体"/>
                <w:kern w:val="0"/>
                <w:sz w:val="20"/>
                <w:szCs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仿宋_GB2312"/>
                <w:sz w:val="20"/>
                <w:szCs w:val="20"/>
                <w:lang w:val="en-US" w:eastAsia="zh-CN"/>
              </w:rPr>
            </w:pPr>
            <w:r>
              <w:rPr>
                <w:rFonts w:hint="eastAsia"/>
                <w:sz w:val="20"/>
                <w:szCs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szCs w:val="20"/>
                <w:lang w:val="en-US" w:eastAsia="zh-CN"/>
              </w:rPr>
            </w:pPr>
            <w:r>
              <w:rPr>
                <w:rFonts w:hint="eastAsia" w:eastAsia="宋体"/>
                <w:kern w:val="0"/>
                <w:sz w:val="20"/>
                <w:szCs w:val="20"/>
                <w:lang w:val="en-US" w:eastAsia="zh-CN"/>
              </w:rPr>
              <w:t>5.96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5.96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生活补助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szCs w:val="20"/>
                <w:lang w:val="en-US" w:eastAsia="zh-CN"/>
              </w:rPr>
            </w:pPr>
            <w:r>
              <w:rPr>
                <w:rFonts w:hint="eastAsia" w:eastAsia="宋体"/>
                <w:kern w:val="0"/>
                <w:sz w:val="20"/>
                <w:szCs w:val="20"/>
                <w:lang w:val="en-US" w:eastAsia="zh-CN"/>
              </w:rPr>
              <w:t>0.66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0.66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szCs w:val="20"/>
                <w:lang w:val="en-US" w:eastAsia="zh-CN"/>
              </w:rPr>
            </w:pPr>
            <w:r>
              <w:rPr>
                <w:rFonts w:hint="eastAsia" w:eastAsia="宋体"/>
                <w:kern w:val="0"/>
                <w:sz w:val="20"/>
                <w:szCs w:val="20"/>
                <w:lang w:val="en-US" w:eastAsia="zh-CN"/>
              </w:rPr>
              <w:t>8.22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szCs w:val="20"/>
                <w:lang w:val="en-US" w:eastAsia="zh-CN"/>
              </w:rPr>
            </w:pPr>
            <w:r>
              <w:rPr>
                <w:rFonts w:hint="eastAsia" w:eastAsia="宋体"/>
                <w:kern w:val="0"/>
                <w:sz w:val="20"/>
                <w:szCs w:val="20"/>
                <w:lang w:val="en-US" w:eastAsia="zh-CN"/>
              </w:rPr>
              <w:t>748.75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0"/>
                <w:szCs w:val="20"/>
                <w:lang w:val="en-US" w:eastAsia="zh-CN"/>
              </w:rPr>
            </w:pPr>
            <w:r>
              <w:rPr>
                <w:rFonts w:hint="eastAsia"/>
                <w:sz w:val="20"/>
                <w:szCs w:val="20"/>
                <w:lang w:val="en-US" w:eastAsia="zh-CN"/>
              </w:rPr>
              <w:t>698.83</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0"/>
                <w:szCs w:val="20"/>
                <w:lang w:val="en-US" w:eastAsia="zh-CN"/>
              </w:rPr>
            </w:pPr>
            <w:r>
              <w:rPr>
                <w:rFonts w:hint="eastAsia"/>
                <w:sz w:val="20"/>
                <w:szCs w:val="20"/>
                <w:lang w:val="en-US" w:eastAsia="zh-CN"/>
              </w:rPr>
              <w:t>49.92</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52</w:t>
            </w:r>
            <w:r>
              <w:rPr>
                <w:color w:val="000000"/>
                <w:kern w:val="0"/>
                <w:sz w:val="28"/>
                <w:szCs w:val="28"/>
              </w:rPr>
              <w:t>人，其中：在职人员</w:t>
            </w:r>
            <w:r>
              <w:rPr>
                <w:rFonts w:hint="eastAsia" w:eastAsia="宋体"/>
                <w:color w:val="000000"/>
                <w:kern w:val="0"/>
                <w:sz w:val="28"/>
                <w:szCs w:val="28"/>
                <w:u w:val="single"/>
                <w:lang w:val="en-US" w:eastAsia="zh-CN"/>
              </w:rPr>
              <w:t>52</w:t>
            </w:r>
            <w:r>
              <w:rPr>
                <w:color w:val="000000"/>
                <w:kern w:val="0"/>
                <w:sz w:val="28"/>
                <w:szCs w:val="28"/>
              </w:rPr>
              <w:t>人，离退休人员</w:t>
            </w:r>
            <w:r>
              <w:rPr>
                <w:rFonts w:hint="eastAsia" w:eastAsia="宋体"/>
                <w:color w:val="000000"/>
                <w:kern w:val="0"/>
                <w:sz w:val="28"/>
                <w:szCs w:val="28"/>
                <w:u w:val="single"/>
                <w:lang w:val="en-US" w:eastAsia="zh-CN"/>
              </w:rPr>
              <w:t>17</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554"/>
        <w:gridCol w:w="497"/>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spacing w:line="240" w:lineRule="auto"/>
              <w:jc w:val="center"/>
              <w:rPr>
                <w:rFonts w:hint="eastAsia" w:ascii="宋体" w:hAnsi="宋体" w:eastAsia="宋体" w:cs="宋体"/>
                <w:kern w:val="0"/>
                <w:sz w:val="36"/>
                <w:szCs w:val="36"/>
              </w:rPr>
            </w:pPr>
            <w:r>
              <w:rPr>
                <w:rFonts w:hint="eastAsia" w:ascii="宋体" w:hAnsi="宋体" w:eastAsia="宋体" w:cs="宋体"/>
                <w:kern w:val="0"/>
                <w:sz w:val="36"/>
                <w:szCs w:val="36"/>
              </w:rPr>
              <w:t>项目支出表</w:t>
            </w:r>
          </w:p>
          <w:p>
            <w:pPr>
              <w:autoSpaceDN w:val="0"/>
              <w:spacing w:line="240" w:lineRule="auto"/>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spacing w:line="240" w:lineRule="auto"/>
              <w:jc w:val="center"/>
              <w:textAlignment w:val="center"/>
              <w:rPr>
                <w:rFonts w:hint="eastAsia" w:ascii="宋体" w:hAnsi="宋体" w:eastAsia="宋体" w:cs="宋体"/>
                <w:color w:val="000000"/>
                <w:sz w:val="20"/>
                <w:szCs w:val="22"/>
              </w:rPr>
            </w:pPr>
          </w:p>
        </w:tc>
        <w:tc>
          <w:tcPr>
            <w:tcW w:w="1063" w:type="dxa"/>
            <w:tcBorders>
              <w:top w:val="nil"/>
              <w:left w:val="nil"/>
              <w:right w:val="nil"/>
            </w:tcBorders>
            <w:noWrap w:val="0"/>
            <w:vAlign w:val="center"/>
          </w:tcPr>
          <w:p>
            <w:pPr>
              <w:autoSpaceDN w:val="0"/>
              <w:spacing w:line="240" w:lineRule="auto"/>
              <w:jc w:val="center"/>
              <w:textAlignment w:val="center"/>
              <w:rPr>
                <w:rFonts w:hint="eastAsia" w:ascii="宋体" w:hAnsi="宋体" w:eastAsia="宋体" w:cs="宋体"/>
                <w:color w:val="000000"/>
                <w:sz w:val="20"/>
                <w:szCs w:val="22"/>
              </w:rPr>
            </w:pPr>
          </w:p>
        </w:tc>
        <w:tc>
          <w:tcPr>
            <w:tcW w:w="1107" w:type="dxa"/>
            <w:tcBorders>
              <w:top w:val="nil"/>
              <w:left w:val="nil"/>
              <w:right w:val="nil"/>
            </w:tcBorders>
            <w:noWrap w:val="0"/>
            <w:vAlign w:val="center"/>
          </w:tcPr>
          <w:p>
            <w:pPr>
              <w:autoSpaceDN w:val="0"/>
              <w:spacing w:line="240" w:lineRule="auto"/>
              <w:jc w:val="center"/>
              <w:textAlignment w:val="center"/>
              <w:rPr>
                <w:rFonts w:hint="eastAsia" w:ascii="宋体" w:hAnsi="宋体" w:eastAsia="宋体" w:cs="宋体"/>
                <w:color w:val="000000"/>
                <w:sz w:val="20"/>
                <w:szCs w:val="22"/>
              </w:rPr>
            </w:pPr>
          </w:p>
        </w:tc>
        <w:tc>
          <w:tcPr>
            <w:tcW w:w="864" w:type="dxa"/>
            <w:tcBorders>
              <w:top w:val="nil"/>
              <w:left w:val="nil"/>
              <w:right w:val="nil"/>
            </w:tcBorders>
            <w:noWrap w:val="0"/>
            <w:vAlign w:val="center"/>
          </w:tcPr>
          <w:p>
            <w:pPr>
              <w:autoSpaceDN w:val="0"/>
              <w:spacing w:line="240" w:lineRule="auto"/>
              <w:jc w:val="center"/>
              <w:textAlignment w:val="center"/>
              <w:rPr>
                <w:rFonts w:hint="eastAsia" w:ascii="宋体" w:hAnsi="宋体" w:eastAsia="宋体" w:cs="宋体"/>
                <w:color w:val="000000"/>
                <w:sz w:val="20"/>
                <w:szCs w:val="22"/>
              </w:rPr>
            </w:pPr>
          </w:p>
        </w:tc>
        <w:tc>
          <w:tcPr>
            <w:tcW w:w="554" w:type="dxa"/>
            <w:tcBorders>
              <w:top w:val="nil"/>
              <w:left w:val="nil"/>
              <w:right w:val="nil"/>
            </w:tcBorders>
            <w:noWrap w:val="0"/>
            <w:vAlign w:val="center"/>
          </w:tcPr>
          <w:p>
            <w:pPr>
              <w:autoSpaceDN w:val="0"/>
              <w:spacing w:line="240" w:lineRule="auto"/>
              <w:jc w:val="center"/>
              <w:textAlignment w:val="center"/>
              <w:rPr>
                <w:rFonts w:hint="eastAsia" w:ascii="宋体" w:hAnsi="宋体" w:eastAsia="宋体" w:cs="宋体"/>
                <w:color w:val="000000"/>
                <w:sz w:val="20"/>
                <w:szCs w:val="22"/>
              </w:rPr>
            </w:pPr>
          </w:p>
        </w:tc>
        <w:tc>
          <w:tcPr>
            <w:tcW w:w="1572" w:type="dxa"/>
            <w:gridSpan w:val="3"/>
            <w:tcBorders>
              <w:top w:val="nil"/>
              <w:left w:val="nil"/>
              <w:right w:val="nil"/>
            </w:tcBorders>
            <w:noWrap w:val="0"/>
            <w:vAlign w:val="center"/>
          </w:tcPr>
          <w:p>
            <w:pPr>
              <w:autoSpaceDN w:val="0"/>
              <w:spacing w:line="240" w:lineRule="auto"/>
              <w:jc w:val="center"/>
              <w:textAlignment w:val="center"/>
              <w:rPr>
                <w:rFonts w:hint="eastAsia" w:ascii="宋体" w:hAnsi="宋体" w:eastAsia="宋体" w:cs="宋体"/>
                <w:color w:val="000000"/>
                <w:sz w:val="20"/>
                <w:szCs w:val="22"/>
              </w:rPr>
            </w:pPr>
          </w:p>
        </w:tc>
        <w:tc>
          <w:tcPr>
            <w:tcW w:w="2562" w:type="dxa"/>
            <w:gridSpan w:val="5"/>
            <w:tcBorders>
              <w:top w:val="nil"/>
              <w:left w:val="nil"/>
              <w:right w:val="nil"/>
            </w:tcBorders>
            <w:noWrap w:val="0"/>
            <w:vAlign w:val="center"/>
          </w:tcPr>
          <w:p>
            <w:pPr>
              <w:autoSpaceDN w:val="0"/>
              <w:spacing w:line="240" w:lineRule="auto"/>
              <w:jc w:val="right"/>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spacing w:line="240" w:lineRule="auto"/>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spacing w:line="240" w:lineRule="auto"/>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spacing w:line="240" w:lineRule="auto"/>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spacing w:line="240" w:lineRule="auto"/>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554" w:type="dxa"/>
            <w:vMerge w:val="restart"/>
            <w:noWrap w:val="0"/>
            <w:vAlign w:val="center"/>
          </w:tcPr>
          <w:p>
            <w:pPr>
              <w:autoSpaceDN w:val="0"/>
              <w:spacing w:line="240" w:lineRule="auto"/>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72" w:type="dxa"/>
            <w:gridSpan w:val="3"/>
            <w:noWrap w:val="0"/>
            <w:vAlign w:val="center"/>
          </w:tcPr>
          <w:p>
            <w:pPr>
              <w:autoSpaceDN w:val="0"/>
              <w:spacing w:line="240" w:lineRule="auto"/>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spacing w:line="240" w:lineRule="auto"/>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spacing w:line="240" w:lineRule="auto"/>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spacing w:line="240" w:lineRule="auto"/>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spacing w:line="240" w:lineRule="auto"/>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spacing w:line="240" w:lineRule="auto"/>
              <w:jc w:val="center"/>
              <w:textAlignment w:val="center"/>
              <w:rPr>
                <w:rFonts w:hint="eastAsia" w:ascii="宋体" w:hAnsi="宋体" w:eastAsia="宋体" w:cs="宋体"/>
                <w:color w:val="000000"/>
                <w:sz w:val="20"/>
                <w:szCs w:val="22"/>
              </w:rPr>
            </w:pPr>
          </w:p>
        </w:tc>
        <w:tc>
          <w:tcPr>
            <w:tcW w:w="1063" w:type="dxa"/>
            <w:noWrap w:val="0"/>
            <w:vAlign w:val="center"/>
          </w:tcPr>
          <w:p>
            <w:pPr>
              <w:autoSpaceDN w:val="0"/>
              <w:spacing w:line="240" w:lineRule="auto"/>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spacing w:line="240" w:lineRule="auto"/>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spacing w:line="240" w:lineRule="auto"/>
              <w:jc w:val="center"/>
              <w:textAlignment w:val="center"/>
              <w:rPr>
                <w:rFonts w:hint="eastAsia" w:ascii="宋体" w:hAnsi="宋体" w:eastAsia="宋体" w:cs="宋体"/>
                <w:color w:val="000000"/>
                <w:sz w:val="20"/>
                <w:szCs w:val="22"/>
              </w:rPr>
            </w:pPr>
          </w:p>
        </w:tc>
        <w:tc>
          <w:tcPr>
            <w:tcW w:w="554" w:type="dxa"/>
            <w:vMerge w:val="continue"/>
            <w:noWrap w:val="0"/>
            <w:vAlign w:val="center"/>
          </w:tcPr>
          <w:p>
            <w:pPr>
              <w:autoSpaceDN w:val="0"/>
              <w:spacing w:line="240" w:lineRule="auto"/>
              <w:jc w:val="center"/>
              <w:textAlignment w:val="center"/>
              <w:rPr>
                <w:rFonts w:hint="eastAsia" w:ascii="宋体" w:hAnsi="宋体" w:eastAsia="宋体" w:cs="宋体"/>
                <w:color w:val="000000"/>
                <w:sz w:val="20"/>
                <w:szCs w:val="22"/>
              </w:rPr>
            </w:pPr>
          </w:p>
        </w:tc>
        <w:tc>
          <w:tcPr>
            <w:tcW w:w="497" w:type="dxa"/>
            <w:noWrap w:val="0"/>
            <w:vAlign w:val="center"/>
          </w:tcPr>
          <w:p>
            <w:pPr>
              <w:autoSpaceDN w:val="0"/>
              <w:spacing w:line="240" w:lineRule="auto"/>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spacing w:line="240" w:lineRule="auto"/>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spacing w:line="240" w:lineRule="auto"/>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spacing w:line="240" w:lineRule="auto"/>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spacing w:line="240" w:lineRule="auto"/>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spacing w:line="240" w:lineRule="auto"/>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spacing w:line="240" w:lineRule="auto"/>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spacing w:line="240" w:lineRule="auto"/>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spacing w:line="240" w:lineRule="auto"/>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spacing w:line="240" w:lineRule="auto"/>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spacing w:line="240" w:lineRule="auto"/>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spacing w:line="240" w:lineRule="auto"/>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spacing w:line="240" w:lineRule="auto"/>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spacing w:line="240" w:lineRule="auto"/>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spacing w:line="240" w:lineRule="auto"/>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spacing w:line="240" w:lineRule="auto"/>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exact"/>
          <w:jc w:val="center"/>
        </w:trPr>
        <w:tc>
          <w:tcPr>
            <w:tcW w:w="759" w:type="dxa"/>
            <w:noWrap w:val="0"/>
            <w:vAlign w:val="center"/>
          </w:tcPr>
          <w:p>
            <w:pPr>
              <w:spacing w:line="24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专项业务支出</w:t>
            </w:r>
          </w:p>
        </w:tc>
        <w:tc>
          <w:tcPr>
            <w:tcW w:w="1063" w:type="dxa"/>
            <w:noWrap w:val="0"/>
            <w:vAlign w:val="center"/>
          </w:tcPr>
          <w:p>
            <w:pPr>
              <w:spacing w:line="24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边昭镇村组织级运转经费</w:t>
            </w:r>
          </w:p>
        </w:tc>
        <w:tc>
          <w:tcPr>
            <w:tcW w:w="1107" w:type="dxa"/>
            <w:noWrap w:val="0"/>
            <w:vAlign w:val="center"/>
          </w:tcPr>
          <w:p>
            <w:pPr>
              <w:spacing w:line="240" w:lineRule="auto"/>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通榆县边昭镇综合服务中心经级组织运转经费</w:t>
            </w:r>
          </w:p>
        </w:tc>
        <w:tc>
          <w:tcPr>
            <w:tcW w:w="864" w:type="dxa"/>
            <w:noWrap w:val="0"/>
            <w:vAlign w:val="center"/>
          </w:tcPr>
          <w:p>
            <w:pPr>
              <w:spacing w:line="240" w:lineRule="auto"/>
              <w:jc w:val="center"/>
              <w:rPr>
                <w:rFonts w:hint="eastAsia" w:ascii="宋体" w:hAnsi="宋体" w:eastAsia="宋体" w:cs="宋体"/>
                <w:kern w:val="0"/>
                <w:sz w:val="32"/>
                <w:szCs w:val="32"/>
              </w:rPr>
            </w:pPr>
            <w:r>
              <w:rPr>
                <w:rFonts w:hint="eastAsia" w:ascii="宋体" w:hAnsi="宋体" w:eastAsia="宋体" w:cs="宋体"/>
                <w:kern w:val="0"/>
                <w:sz w:val="18"/>
                <w:szCs w:val="18"/>
                <w:lang w:val="en-US" w:eastAsia="zh-CN"/>
              </w:rPr>
              <w:t>通榆县边昭镇综合服务中心</w:t>
            </w:r>
          </w:p>
        </w:tc>
        <w:tc>
          <w:tcPr>
            <w:tcW w:w="554" w:type="dxa"/>
            <w:noWrap w:val="0"/>
            <w:vAlign w:val="center"/>
          </w:tcPr>
          <w:p>
            <w:pPr>
              <w:spacing w:line="240" w:lineRule="auto"/>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159.55</w:t>
            </w:r>
          </w:p>
        </w:tc>
        <w:tc>
          <w:tcPr>
            <w:tcW w:w="497" w:type="dxa"/>
            <w:noWrap w:val="0"/>
            <w:vAlign w:val="center"/>
          </w:tcPr>
          <w:p>
            <w:pPr>
              <w:spacing w:line="240" w:lineRule="auto"/>
              <w:jc w:val="both"/>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159.55</w:t>
            </w:r>
          </w:p>
        </w:tc>
        <w:tc>
          <w:tcPr>
            <w:tcW w:w="554" w:type="dxa"/>
            <w:noWrap w:val="0"/>
            <w:vAlign w:val="center"/>
          </w:tcPr>
          <w:p>
            <w:pPr>
              <w:spacing w:line="240" w:lineRule="auto"/>
              <w:jc w:val="center"/>
              <w:rPr>
                <w:rFonts w:hint="eastAsia" w:ascii="宋体" w:hAnsi="宋体" w:eastAsia="宋体" w:cs="宋体"/>
                <w:kern w:val="0"/>
                <w:sz w:val="32"/>
                <w:szCs w:val="32"/>
              </w:rPr>
            </w:pPr>
          </w:p>
        </w:tc>
        <w:tc>
          <w:tcPr>
            <w:tcW w:w="521" w:type="dxa"/>
            <w:noWrap w:val="0"/>
            <w:vAlign w:val="center"/>
          </w:tcPr>
          <w:p>
            <w:pPr>
              <w:spacing w:line="240" w:lineRule="auto"/>
              <w:jc w:val="center"/>
              <w:rPr>
                <w:rFonts w:hint="eastAsia" w:ascii="宋体" w:hAnsi="宋体" w:eastAsia="宋体" w:cs="宋体"/>
                <w:kern w:val="0"/>
                <w:sz w:val="32"/>
                <w:szCs w:val="32"/>
              </w:rPr>
            </w:pPr>
          </w:p>
        </w:tc>
        <w:tc>
          <w:tcPr>
            <w:tcW w:w="564" w:type="dxa"/>
            <w:noWrap w:val="0"/>
            <w:vAlign w:val="center"/>
          </w:tcPr>
          <w:p>
            <w:pPr>
              <w:spacing w:line="240" w:lineRule="auto"/>
              <w:jc w:val="center"/>
              <w:rPr>
                <w:rFonts w:hint="eastAsia" w:ascii="宋体" w:hAnsi="宋体" w:eastAsia="宋体" w:cs="宋体"/>
                <w:kern w:val="0"/>
                <w:sz w:val="32"/>
                <w:szCs w:val="32"/>
              </w:rPr>
            </w:pPr>
          </w:p>
        </w:tc>
        <w:tc>
          <w:tcPr>
            <w:tcW w:w="532" w:type="dxa"/>
            <w:noWrap w:val="0"/>
            <w:vAlign w:val="center"/>
          </w:tcPr>
          <w:p>
            <w:pPr>
              <w:spacing w:line="240" w:lineRule="auto"/>
              <w:jc w:val="center"/>
              <w:rPr>
                <w:rFonts w:hint="eastAsia" w:ascii="宋体" w:hAnsi="宋体" w:eastAsia="宋体" w:cs="宋体"/>
                <w:kern w:val="0"/>
                <w:sz w:val="32"/>
                <w:szCs w:val="32"/>
              </w:rPr>
            </w:pPr>
          </w:p>
        </w:tc>
        <w:tc>
          <w:tcPr>
            <w:tcW w:w="598" w:type="dxa"/>
            <w:noWrap w:val="0"/>
            <w:vAlign w:val="center"/>
          </w:tcPr>
          <w:p>
            <w:pPr>
              <w:spacing w:line="240" w:lineRule="auto"/>
              <w:jc w:val="center"/>
              <w:rPr>
                <w:rFonts w:hint="eastAsia" w:ascii="宋体" w:hAnsi="宋体" w:eastAsia="宋体" w:cs="宋体"/>
                <w:kern w:val="0"/>
                <w:sz w:val="32"/>
                <w:szCs w:val="32"/>
              </w:rPr>
            </w:pPr>
          </w:p>
        </w:tc>
        <w:tc>
          <w:tcPr>
            <w:tcW w:w="443" w:type="dxa"/>
            <w:noWrap w:val="0"/>
            <w:vAlign w:val="center"/>
          </w:tcPr>
          <w:p>
            <w:pPr>
              <w:spacing w:line="240" w:lineRule="auto"/>
              <w:jc w:val="center"/>
              <w:rPr>
                <w:rFonts w:hint="eastAsia" w:ascii="宋体" w:hAnsi="宋体" w:eastAsia="宋体" w:cs="宋体"/>
                <w:kern w:val="0"/>
                <w:sz w:val="32"/>
                <w:szCs w:val="32"/>
              </w:rPr>
            </w:pPr>
          </w:p>
        </w:tc>
        <w:tc>
          <w:tcPr>
            <w:tcW w:w="425" w:type="dxa"/>
            <w:noWrap w:val="0"/>
            <w:vAlign w:val="center"/>
          </w:tcPr>
          <w:p>
            <w:pPr>
              <w:spacing w:line="240" w:lineRule="auto"/>
              <w:jc w:val="center"/>
              <w:rPr>
                <w:rFonts w:hint="eastAsia" w:ascii="宋体" w:hAnsi="宋体" w:eastAsia="宋体" w:cs="宋体"/>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240" w:lineRule="auto"/>
              <w:jc w:val="center"/>
              <w:rPr>
                <w:rFonts w:hint="eastAsia" w:ascii="宋体" w:hAnsi="宋体" w:eastAsia="宋体" w:cs="宋体"/>
                <w:kern w:val="0"/>
                <w:sz w:val="32"/>
                <w:szCs w:val="32"/>
              </w:rPr>
            </w:pPr>
          </w:p>
        </w:tc>
        <w:tc>
          <w:tcPr>
            <w:tcW w:w="1063" w:type="dxa"/>
            <w:noWrap w:val="0"/>
            <w:vAlign w:val="center"/>
          </w:tcPr>
          <w:p>
            <w:pPr>
              <w:spacing w:line="240" w:lineRule="auto"/>
              <w:jc w:val="center"/>
              <w:rPr>
                <w:rFonts w:hint="eastAsia" w:ascii="宋体" w:hAnsi="宋体" w:eastAsia="宋体" w:cs="宋体"/>
                <w:kern w:val="0"/>
                <w:sz w:val="32"/>
                <w:szCs w:val="32"/>
              </w:rPr>
            </w:pPr>
          </w:p>
        </w:tc>
        <w:tc>
          <w:tcPr>
            <w:tcW w:w="1107" w:type="dxa"/>
            <w:noWrap w:val="0"/>
            <w:vAlign w:val="center"/>
          </w:tcPr>
          <w:p>
            <w:pPr>
              <w:spacing w:line="240" w:lineRule="auto"/>
              <w:jc w:val="center"/>
              <w:rPr>
                <w:rFonts w:hint="eastAsia" w:ascii="宋体" w:hAnsi="宋体" w:eastAsia="宋体" w:cs="宋体"/>
                <w:kern w:val="0"/>
                <w:sz w:val="32"/>
                <w:szCs w:val="32"/>
              </w:rPr>
            </w:pPr>
          </w:p>
        </w:tc>
        <w:tc>
          <w:tcPr>
            <w:tcW w:w="864" w:type="dxa"/>
            <w:noWrap w:val="0"/>
            <w:vAlign w:val="center"/>
          </w:tcPr>
          <w:p>
            <w:pPr>
              <w:spacing w:line="240" w:lineRule="auto"/>
              <w:jc w:val="center"/>
              <w:rPr>
                <w:rFonts w:hint="eastAsia" w:ascii="宋体" w:hAnsi="宋体" w:eastAsia="宋体" w:cs="宋体"/>
                <w:kern w:val="0"/>
                <w:sz w:val="32"/>
                <w:szCs w:val="32"/>
              </w:rPr>
            </w:pPr>
          </w:p>
        </w:tc>
        <w:tc>
          <w:tcPr>
            <w:tcW w:w="554" w:type="dxa"/>
            <w:noWrap w:val="0"/>
            <w:vAlign w:val="center"/>
          </w:tcPr>
          <w:p>
            <w:pPr>
              <w:spacing w:line="240" w:lineRule="auto"/>
              <w:jc w:val="center"/>
              <w:rPr>
                <w:rFonts w:hint="eastAsia" w:ascii="宋体" w:hAnsi="宋体" w:eastAsia="宋体" w:cs="宋体"/>
                <w:kern w:val="0"/>
                <w:sz w:val="32"/>
                <w:szCs w:val="32"/>
              </w:rPr>
            </w:pPr>
          </w:p>
        </w:tc>
        <w:tc>
          <w:tcPr>
            <w:tcW w:w="497" w:type="dxa"/>
            <w:noWrap w:val="0"/>
            <w:vAlign w:val="center"/>
          </w:tcPr>
          <w:p>
            <w:pPr>
              <w:spacing w:line="240" w:lineRule="auto"/>
              <w:jc w:val="center"/>
              <w:rPr>
                <w:rFonts w:hint="eastAsia" w:ascii="宋体" w:hAnsi="宋体" w:eastAsia="宋体" w:cs="宋体"/>
                <w:kern w:val="0"/>
                <w:sz w:val="32"/>
                <w:szCs w:val="32"/>
              </w:rPr>
            </w:pPr>
          </w:p>
        </w:tc>
        <w:tc>
          <w:tcPr>
            <w:tcW w:w="554" w:type="dxa"/>
            <w:noWrap w:val="0"/>
            <w:vAlign w:val="center"/>
          </w:tcPr>
          <w:p>
            <w:pPr>
              <w:spacing w:line="240" w:lineRule="auto"/>
              <w:jc w:val="center"/>
              <w:rPr>
                <w:rFonts w:hint="eastAsia" w:ascii="宋体" w:hAnsi="宋体" w:eastAsia="宋体" w:cs="宋体"/>
                <w:kern w:val="0"/>
                <w:sz w:val="32"/>
                <w:szCs w:val="32"/>
              </w:rPr>
            </w:pPr>
          </w:p>
        </w:tc>
        <w:tc>
          <w:tcPr>
            <w:tcW w:w="521" w:type="dxa"/>
            <w:noWrap w:val="0"/>
            <w:vAlign w:val="center"/>
          </w:tcPr>
          <w:p>
            <w:pPr>
              <w:spacing w:line="240" w:lineRule="auto"/>
              <w:jc w:val="center"/>
              <w:rPr>
                <w:rFonts w:hint="eastAsia" w:ascii="宋体" w:hAnsi="宋体" w:eastAsia="宋体" w:cs="宋体"/>
                <w:kern w:val="0"/>
                <w:sz w:val="32"/>
                <w:szCs w:val="32"/>
              </w:rPr>
            </w:pPr>
          </w:p>
        </w:tc>
        <w:tc>
          <w:tcPr>
            <w:tcW w:w="564" w:type="dxa"/>
            <w:noWrap w:val="0"/>
            <w:vAlign w:val="center"/>
          </w:tcPr>
          <w:p>
            <w:pPr>
              <w:spacing w:line="240" w:lineRule="auto"/>
              <w:jc w:val="center"/>
              <w:rPr>
                <w:rFonts w:hint="eastAsia" w:ascii="宋体" w:hAnsi="宋体" w:eastAsia="宋体" w:cs="宋体"/>
                <w:kern w:val="0"/>
                <w:sz w:val="32"/>
                <w:szCs w:val="32"/>
              </w:rPr>
            </w:pPr>
          </w:p>
        </w:tc>
        <w:tc>
          <w:tcPr>
            <w:tcW w:w="532" w:type="dxa"/>
            <w:noWrap w:val="0"/>
            <w:vAlign w:val="center"/>
          </w:tcPr>
          <w:p>
            <w:pPr>
              <w:spacing w:line="240" w:lineRule="auto"/>
              <w:jc w:val="center"/>
              <w:rPr>
                <w:rFonts w:hint="eastAsia" w:ascii="宋体" w:hAnsi="宋体" w:eastAsia="宋体" w:cs="宋体"/>
                <w:kern w:val="0"/>
                <w:sz w:val="32"/>
                <w:szCs w:val="32"/>
              </w:rPr>
            </w:pPr>
          </w:p>
        </w:tc>
        <w:tc>
          <w:tcPr>
            <w:tcW w:w="598" w:type="dxa"/>
            <w:noWrap w:val="0"/>
            <w:vAlign w:val="center"/>
          </w:tcPr>
          <w:p>
            <w:pPr>
              <w:spacing w:line="240" w:lineRule="auto"/>
              <w:jc w:val="center"/>
              <w:rPr>
                <w:rFonts w:hint="eastAsia" w:ascii="宋体" w:hAnsi="宋体" w:eastAsia="宋体" w:cs="宋体"/>
                <w:kern w:val="0"/>
                <w:sz w:val="32"/>
                <w:szCs w:val="32"/>
              </w:rPr>
            </w:pPr>
          </w:p>
        </w:tc>
        <w:tc>
          <w:tcPr>
            <w:tcW w:w="443" w:type="dxa"/>
            <w:noWrap w:val="0"/>
            <w:vAlign w:val="center"/>
          </w:tcPr>
          <w:p>
            <w:pPr>
              <w:spacing w:line="240" w:lineRule="auto"/>
              <w:jc w:val="center"/>
              <w:rPr>
                <w:rFonts w:hint="eastAsia" w:ascii="宋体" w:hAnsi="宋体" w:eastAsia="宋体" w:cs="宋体"/>
                <w:kern w:val="0"/>
                <w:sz w:val="32"/>
                <w:szCs w:val="32"/>
              </w:rPr>
            </w:pPr>
          </w:p>
        </w:tc>
        <w:tc>
          <w:tcPr>
            <w:tcW w:w="425" w:type="dxa"/>
            <w:noWrap w:val="0"/>
            <w:vAlign w:val="center"/>
          </w:tcPr>
          <w:p>
            <w:pPr>
              <w:spacing w:line="240" w:lineRule="auto"/>
              <w:jc w:val="center"/>
              <w:rPr>
                <w:rFonts w:hint="eastAsia" w:ascii="宋体" w:hAnsi="宋体" w:eastAsia="宋体" w:cs="宋体"/>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240" w:lineRule="auto"/>
              <w:jc w:val="center"/>
              <w:rPr>
                <w:rFonts w:hint="eastAsia" w:ascii="宋体" w:hAnsi="宋体" w:eastAsia="宋体" w:cs="宋体"/>
                <w:kern w:val="0"/>
                <w:sz w:val="32"/>
                <w:szCs w:val="32"/>
              </w:rPr>
            </w:pPr>
          </w:p>
        </w:tc>
        <w:tc>
          <w:tcPr>
            <w:tcW w:w="1063" w:type="dxa"/>
            <w:noWrap w:val="0"/>
            <w:vAlign w:val="center"/>
          </w:tcPr>
          <w:p>
            <w:pPr>
              <w:spacing w:line="240" w:lineRule="auto"/>
              <w:jc w:val="center"/>
              <w:rPr>
                <w:rFonts w:hint="eastAsia" w:ascii="宋体" w:hAnsi="宋体" w:eastAsia="宋体" w:cs="宋体"/>
                <w:kern w:val="0"/>
                <w:sz w:val="32"/>
                <w:szCs w:val="32"/>
              </w:rPr>
            </w:pPr>
          </w:p>
        </w:tc>
        <w:tc>
          <w:tcPr>
            <w:tcW w:w="1107" w:type="dxa"/>
            <w:noWrap w:val="0"/>
            <w:vAlign w:val="center"/>
          </w:tcPr>
          <w:p>
            <w:pPr>
              <w:spacing w:line="240" w:lineRule="auto"/>
              <w:jc w:val="center"/>
              <w:rPr>
                <w:rFonts w:hint="eastAsia" w:ascii="宋体" w:hAnsi="宋体" w:eastAsia="宋体" w:cs="宋体"/>
                <w:kern w:val="0"/>
                <w:sz w:val="32"/>
                <w:szCs w:val="32"/>
              </w:rPr>
            </w:pPr>
          </w:p>
        </w:tc>
        <w:tc>
          <w:tcPr>
            <w:tcW w:w="864" w:type="dxa"/>
            <w:noWrap w:val="0"/>
            <w:vAlign w:val="center"/>
          </w:tcPr>
          <w:p>
            <w:pPr>
              <w:spacing w:line="240" w:lineRule="auto"/>
              <w:jc w:val="center"/>
              <w:rPr>
                <w:rFonts w:hint="eastAsia" w:ascii="宋体" w:hAnsi="宋体" w:eastAsia="宋体" w:cs="宋体"/>
                <w:kern w:val="0"/>
                <w:sz w:val="32"/>
                <w:szCs w:val="32"/>
              </w:rPr>
            </w:pPr>
          </w:p>
        </w:tc>
        <w:tc>
          <w:tcPr>
            <w:tcW w:w="554" w:type="dxa"/>
            <w:noWrap w:val="0"/>
            <w:vAlign w:val="center"/>
          </w:tcPr>
          <w:p>
            <w:pPr>
              <w:spacing w:line="240" w:lineRule="auto"/>
              <w:jc w:val="center"/>
              <w:rPr>
                <w:rFonts w:hint="eastAsia" w:ascii="宋体" w:hAnsi="宋体" w:eastAsia="宋体" w:cs="宋体"/>
                <w:kern w:val="0"/>
                <w:sz w:val="32"/>
                <w:szCs w:val="32"/>
              </w:rPr>
            </w:pPr>
          </w:p>
        </w:tc>
        <w:tc>
          <w:tcPr>
            <w:tcW w:w="497" w:type="dxa"/>
            <w:noWrap w:val="0"/>
            <w:vAlign w:val="center"/>
          </w:tcPr>
          <w:p>
            <w:pPr>
              <w:spacing w:line="240" w:lineRule="auto"/>
              <w:jc w:val="center"/>
              <w:rPr>
                <w:rFonts w:hint="eastAsia" w:ascii="宋体" w:hAnsi="宋体" w:eastAsia="宋体" w:cs="宋体"/>
                <w:kern w:val="0"/>
                <w:sz w:val="32"/>
                <w:szCs w:val="32"/>
              </w:rPr>
            </w:pPr>
          </w:p>
        </w:tc>
        <w:tc>
          <w:tcPr>
            <w:tcW w:w="554" w:type="dxa"/>
            <w:noWrap w:val="0"/>
            <w:vAlign w:val="center"/>
          </w:tcPr>
          <w:p>
            <w:pPr>
              <w:spacing w:line="240" w:lineRule="auto"/>
              <w:jc w:val="center"/>
              <w:rPr>
                <w:rFonts w:hint="eastAsia" w:ascii="宋体" w:hAnsi="宋体" w:eastAsia="宋体" w:cs="宋体"/>
                <w:kern w:val="0"/>
                <w:sz w:val="32"/>
                <w:szCs w:val="32"/>
              </w:rPr>
            </w:pPr>
          </w:p>
        </w:tc>
        <w:tc>
          <w:tcPr>
            <w:tcW w:w="521" w:type="dxa"/>
            <w:noWrap w:val="0"/>
            <w:vAlign w:val="center"/>
          </w:tcPr>
          <w:p>
            <w:pPr>
              <w:spacing w:line="240" w:lineRule="auto"/>
              <w:jc w:val="center"/>
              <w:rPr>
                <w:rFonts w:hint="eastAsia" w:ascii="宋体" w:hAnsi="宋体" w:eastAsia="宋体" w:cs="宋体"/>
                <w:kern w:val="0"/>
                <w:sz w:val="32"/>
                <w:szCs w:val="32"/>
              </w:rPr>
            </w:pPr>
          </w:p>
        </w:tc>
        <w:tc>
          <w:tcPr>
            <w:tcW w:w="564" w:type="dxa"/>
            <w:noWrap w:val="0"/>
            <w:vAlign w:val="center"/>
          </w:tcPr>
          <w:p>
            <w:pPr>
              <w:spacing w:line="240" w:lineRule="auto"/>
              <w:jc w:val="center"/>
              <w:rPr>
                <w:rFonts w:hint="eastAsia" w:ascii="宋体" w:hAnsi="宋体" w:eastAsia="宋体" w:cs="宋体"/>
                <w:kern w:val="0"/>
                <w:sz w:val="32"/>
                <w:szCs w:val="32"/>
              </w:rPr>
            </w:pPr>
          </w:p>
        </w:tc>
        <w:tc>
          <w:tcPr>
            <w:tcW w:w="532" w:type="dxa"/>
            <w:noWrap w:val="0"/>
            <w:vAlign w:val="center"/>
          </w:tcPr>
          <w:p>
            <w:pPr>
              <w:spacing w:line="240" w:lineRule="auto"/>
              <w:jc w:val="center"/>
              <w:rPr>
                <w:rFonts w:hint="eastAsia" w:ascii="宋体" w:hAnsi="宋体" w:eastAsia="宋体" w:cs="宋体"/>
                <w:kern w:val="0"/>
                <w:sz w:val="32"/>
                <w:szCs w:val="32"/>
              </w:rPr>
            </w:pPr>
          </w:p>
        </w:tc>
        <w:tc>
          <w:tcPr>
            <w:tcW w:w="598" w:type="dxa"/>
            <w:noWrap w:val="0"/>
            <w:vAlign w:val="center"/>
          </w:tcPr>
          <w:p>
            <w:pPr>
              <w:spacing w:line="240" w:lineRule="auto"/>
              <w:jc w:val="center"/>
              <w:rPr>
                <w:rFonts w:hint="eastAsia" w:ascii="宋体" w:hAnsi="宋体" w:eastAsia="宋体" w:cs="宋体"/>
                <w:kern w:val="0"/>
                <w:sz w:val="32"/>
                <w:szCs w:val="32"/>
              </w:rPr>
            </w:pPr>
          </w:p>
        </w:tc>
        <w:tc>
          <w:tcPr>
            <w:tcW w:w="443" w:type="dxa"/>
            <w:noWrap w:val="0"/>
            <w:vAlign w:val="center"/>
          </w:tcPr>
          <w:p>
            <w:pPr>
              <w:spacing w:line="240" w:lineRule="auto"/>
              <w:jc w:val="center"/>
              <w:rPr>
                <w:rFonts w:hint="eastAsia" w:ascii="宋体" w:hAnsi="宋体" w:eastAsia="宋体" w:cs="宋体"/>
                <w:kern w:val="0"/>
                <w:sz w:val="32"/>
                <w:szCs w:val="32"/>
              </w:rPr>
            </w:pPr>
          </w:p>
        </w:tc>
        <w:tc>
          <w:tcPr>
            <w:tcW w:w="425" w:type="dxa"/>
            <w:noWrap w:val="0"/>
            <w:vAlign w:val="center"/>
          </w:tcPr>
          <w:p>
            <w:pPr>
              <w:spacing w:line="240" w:lineRule="auto"/>
              <w:jc w:val="center"/>
              <w:rPr>
                <w:rFonts w:hint="eastAsia" w:ascii="宋体" w:hAnsi="宋体" w:eastAsia="宋体" w:cs="宋体"/>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240" w:lineRule="auto"/>
              <w:jc w:val="center"/>
              <w:rPr>
                <w:rFonts w:hint="eastAsia" w:ascii="宋体" w:hAnsi="宋体" w:eastAsia="宋体" w:cs="宋体"/>
                <w:kern w:val="0"/>
                <w:sz w:val="32"/>
                <w:szCs w:val="32"/>
              </w:rPr>
            </w:pPr>
          </w:p>
        </w:tc>
        <w:tc>
          <w:tcPr>
            <w:tcW w:w="1063" w:type="dxa"/>
            <w:noWrap w:val="0"/>
            <w:vAlign w:val="center"/>
          </w:tcPr>
          <w:p>
            <w:pPr>
              <w:spacing w:line="240" w:lineRule="auto"/>
              <w:jc w:val="center"/>
              <w:rPr>
                <w:rFonts w:hint="eastAsia" w:ascii="宋体" w:hAnsi="宋体" w:eastAsia="宋体" w:cs="宋体"/>
                <w:kern w:val="0"/>
                <w:sz w:val="32"/>
                <w:szCs w:val="32"/>
              </w:rPr>
            </w:pPr>
          </w:p>
        </w:tc>
        <w:tc>
          <w:tcPr>
            <w:tcW w:w="1107" w:type="dxa"/>
            <w:noWrap w:val="0"/>
            <w:vAlign w:val="center"/>
          </w:tcPr>
          <w:p>
            <w:pPr>
              <w:spacing w:line="240" w:lineRule="auto"/>
              <w:jc w:val="center"/>
              <w:rPr>
                <w:rFonts w:hint="eastAsia" w:ascii="宋体" w:hAnsi="宋体" w:eastAsia="宋体" w:cs="宋体"/>
                <w:kern w:val="0"/>
                <w:sz w:val="32"/>
                <w:szCs w:val="32"/>
              </w:rPr>
            </w:pPr>
          </w:p>
        </w:tc>
        <w:tc>
          <w:tcPr>
            <w:tcW w:w="864" w:type="dxa"/>
            <w:noWrap w:val="0"/>
            <w:vAlign w:val="center"/>
          </w:tcPr>
          <w:p>
            <w:pPr>
              <w:spacing w:line="240" w:lineRule="auto"/>
              <w:jc w:val="center"/>
              <w:rPr>
                <w:rFonts w:hint="eastAsia" w:ascii="宋体" w:hAnsi="宋体" w:eastAsia="宋体" w:cs="宋体"/>
                <w:kern w:val="0"/>
                <w:sz w:val="32"/>
                <w:szCs w:val="32"/>
              </w:rPr>
            </w:pPr>
          </w:p>
        </w:tc>
        <w:tc>
          <w:tcPr>
            <w:tcW w:w="554" w:type="dxa"/>
            <w:noWrap w:val="0"/>
            <w:vAlign w:val="center"/>
          </w:tcPr>
          <w:p>
            <w:pPr>
              <w:spacing w:line="240" w:lineRule="auto"/>
              <w:jc w:val="center"/>
              <w:rPr>
                <w:rFonts w:hint="eastAsia" w:ascii="宋体" w:hAnsi="宋体" w:eastAsia="宋体" w:cs="宋体"/>
                <w:kern w:val="0"/>
                <w:sz w:val="32"/>
                <w:szCs w:val="32"/>
              </w:rPr>
            </w:pPr>
          </w:p>
        </w:tc>
        <w:tc>
          <w:tcPr>
            <w:tcW w:w="497" w:type="dxa"/>
            <w:noWrap w:val="0"/>
            <w:vAlign w:val="center"/>
          </w:tcPr>
          <w:p>
            <w:pPr>
              <w:spacing w:line="240" w:lineRule="auto"/>
              <w:jc w:val="center"/>
              <w:rPr>
                <w:rFonts w:hint="eastAsia" w:ascii="宋体" w:hAnsi="宋体" w:eastAsia="宋体" w:cs="宋体"/>
                <w:kern w:val="0"/>
                <w:sz w:val="32"/>
                <w:szCs w:val="32"/>
              </w:rPr>
            </w:pPr>
          </w:p>
        </w:tc>
        <w:tc>
          <w:tcPr>
            <w:tcW w:w="554" w:type="dxa"/>
            <w:noWrap w:val="0"/>
            <w:vAlign w:val="center"/>
          </w:tcPr>
          <w:p>
            <w:pPr>
              <w:spacing w:line="240" w:lineRule="auto"/>
              <w:jc w:val="center"/>
              <w:rPr>
                <w:rFonts w:hint="eastAsia" w:ascii="宋体" w:hAnsi="宋体" w:eastAsia="宋体" w:cs="宋体"/>
                <w:kern w:val="0"/>
                <w:sz w:val="32"/>
                <w:szCs w:val="32"/>
              </w:rPr>
            </w:pPr>
          </w:p>
        </w:tc>
        <w:tc>
          <w:tcPr>
            <w:tcW w:w="521" w:type="dxa"/>
            <w:noWrap w:val="0"/>
            <w:vAlign w:val="center"/>
          </w:tcPr>
          <w:p>
            <w:pPr>
              <w:spacing w:line="240" w:lineRule="auto"/>
              <w:jc w:val="center"/>
              <w:rPr>
                <w:rFonts w:hint="eastAsia" w:ascii="宋体" w:hAnsi="宋体" w:eastAsia="宋体" w:cs="宋体"/>
                <w:kern w:val="0"/>
                <w:sz w:val="32"/>
                <w:szCs w:val="32"/>
              </w:rPr>
            </w:pPr>
          </w:p>
        </w:tc>
        <w:tc>
          <w:tcPr>
            <w:tcW w:w="564" w:type="dxa"/>
            <w:noWrap w:val="0"/>
            <w:vAlign w:val="center"/>
          </w:tcPr>
          <w:p>
            <w:pPr>
              <w:spacing w:line="240" w:lineRule="auto"/>
              <w:jc w:val="center"/>
              <w:rPr>
                <w:rFonts w:hint="eastAsia" w:ascii="宋体" w:hAnsi="宋体" w:eastAsia="宋体" w:cs="宋体"/>
                <w:kern w:val="0"/>
                <w:sz w:val="32"/>
                <w:szCs w:val="32"/>
              </w:rPr>
            </w:pPr>
          </w:p>
        </w:tc>
        <w:tc>
          <w:tcPr>
            <w:tcW w:w="532" w:type="dxa"/>
            <w:noWrap w:val="0"/>
            <w:vAlign w:val="center"/>
          </w:tcPr>
          <w:p>
            <w:pPr>
              <w:spacing w:line="240" w:lineRule="auto"/>
              <w:jc w:val="center"/>
              <w:rPr>
                <w:rFonts w:hint="eastAsia" w:ascii="宋体" w:hAnsi="宋体" w:eastAsia="宋体" w:cs="宋体"/>
                <w:kern w:val="0"/>
                <w:sz w:val="32"/>
                <w:szCs w:val="32"/>
              </w:rPr>
            </w:pPr>
          </w:p>
        </w:tc>
        <w:tc>
          <w:tcPr>
            <w:tcW w:w="598" w:type="dxa"/>
            <w:noWrap w:val="0"/>
            <w:vAlign w:val="center"/>
          </w:tcPr>
          <w:p>
            <w:pPr>
              <w:spacing w:line="240" w:lineRule="auto"/>
              <w:jc w:val="center"/>
              <w:rPr>
                <w:rFonts w:hint="eastAsia" w:ascii="宋体" w:hAnsi="宋体" w:eastAsia="宋体" w:cs="宋体"/>
                <w:kern w:val="0"/>
                <w:sz w:val="32"/>
                <w:szCs w:val="32"/>
              </w:rPr>
            </w:pPr>
          </w:p>
        </w:tc>
        <w:tc>
          <w:tcPr>
            <w:tcW w:w="443" w:type="dxa"/>
            <w:noWrap w:val="0"/>
            <w:vAlign w:val="center"/>
          </w:tcPr>
          <w:p>
            <w:pPr>
              <w:spacing w:line="240" w:lineRule="auto"/>
              <w:jc w:val="center"/>
              <w:rPr>
                <w:rFonts w:hint="eastAsia" w:ascii="宋体" w:hAnsi="宋体" w:eastAsia="宋体" w:cs="宋体"/>
                <w:kern w:val="0"/>
                <w:sz w:val="32"/>
                <w:szCs w:val="32"/>
              </w:rPr>
            </w:pPr>
          </w:p>
        </w:tc>
        <w:tc>
          <w:tcPr>
            <w:tcW w:w="425" w:type="dxa"/>
            <w:noWrap w:val="0"/>
            <w:vAlign w:val="center"/>
          </w:tcPr>
          <w:p>
            <w:pPr>
              <w:spacing w:line="240" w:lineRule="auto"/>
              <w:jc w:val="center"/>
              <w:rPr>
                <w:rFonts w:hint="eastAsia" w:ascii="宋体" w:hAnsi="宋体" w:eastAsia="宋体" w:cs="宋体"/>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spacing w:line="240" w:lineRule="auto"/>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063" w:type="dxa"/>
            <w:noWrap w:val="0"/>
            <w:vAlign w:val="center"/>
          </w:tcPr>
          <w:p>
            <w:pPr>
              <w:autoSpaceDN w:val="0"/>
              <w:spacing w:line="240" w:lineRule="auto"/>
              <w:jc w:val="center"/>
              <w:textAlignment w:val="center"/>
              <w:rPr>
                <w:rFonts w:hint="eastAsia" w:ascii="宋体" w:hAnsi="宋体" w:eastAsia="宋体" w:cs="宋体"/>
                <w:color w:val="000000"/>
                <w:sz w:val="20"/>
                <w:szCs w:val="22"/>
              </w:rPr>
            </w:pPr>
          </w:p>
        </w:tc>
        <w:tc>
          <w:tcPr>
            <w:tcW w:w="1107" w:type="dxa"/>
            <w:noWrap w:val="0"/>
            <w:vAlign w:val="center"/>
          </w:tcPr>
          <w:p>
            <w:pPr>
              <w:spacing w:line="240" w:lineRule="auto"/>
              <w:jc w:val="center"/>
              <w:rPr>
                <w:rFonts w:hint="eastAsia" w:ascii="宋体" w:hAnsi="宋体" w:eastAsia="宋体" w:cs="宋体"/>
                <w:kern w:val="0"/>
                <w:sz w:val="32"/>
                <w:szCs w:val="32"/>
              </w:rPr>
            </w:pPr>
          </w:p>
        </w:tc>
        <w:tc>
          <w:tcPr>
            <w:tcW w:w="864" w:type="dxa"/>
            <w:noWrap w:val="0"/>
            <w:vAlign w:val="center"/>
          </w:tcPr>
          <w:p>
            <w:pPr>
              <w:spacing w:line="240" w:lineRule="auto"/>
              <w:jc w:val="center"/>
              <w:rPr>
                <w:rFonts w:hint="eastAsia" w:ascii="宋体" w:hAnsi="宋体" w:eastAsia="宋体" w:cs="宋体"/>
                <w:kern w:val="0"/>
                <w:sz w:val="32"/>
                <w:szCs w:val="32"/>
              </w:rPr>
            </w:pPr>
          </w:p>
        </w:tc>
        <w:tc>
          <w:tcPr>
            <w:tcW w:w="554" w:type="dxa"/>
            <w:noWrap w:val="0"/>
            <w:vAlign w:val="center"/>
          </w:tcPr>
          <w:p>
            <w:pPr>
              <w:spacing w:line="240" w:lineRule="auto"/>
              <w:jc w:val="center"/>
              <w:rPr>
                <w:rFonts w:hint="eastAsia" w:ascii="宋体" w:hAnsi="宋体" w:eastAsia="宋体" w:cs="宋体"/>
                <w:kern w:val="0"/>
                <w:sz w:val="32"/>
                <w:szCs w:val="32"/>
              </w:rPr>
            </w:pPr>
          </w:p>
        </w:tc>
        <w:tc>
          <w:tcPr>
            <w:tcW w:w="497" w:type="dxa"/>
            <w:noWrap w:val="0"/>
            <w:vAlign w:val="center"/>
          </w:tcPr>
          <w:p>
            <w:pPr>
              <w:spacing w:line="240" w:lineRule="auto"/>
              <w:jc w:val="center"/>
              <w:rPr>
                <w:rFonts w:hint="eastAsia" w:ascii="宋体" w:hAnsi="宋体" w:eastAsia="宋体" w:cs="宋体"/>
                <w:kern w:val="0"/>
                <w:sz w:val="32"/>
                <w:szCs w:val="32"/>
              </w:rPr>
            </w:pPr>
          </w:p>
        </w:tc>
        <w:tc>
          <w:tcPr>
            <w:tcW w:w="554" w:type="dxa"/>
            <w:noWrap w:val="0"/>
            <w:vAlign w:val="center"/>
          </w:tcPr>
          <w:p>
            <w:pPr>
              <w:spacing w:line="240" w:lineRule="auto"/>
              <w:jc w:val="center"/>
              <w:rPr>
                <w:rFonts w:hint="eastAsia" w:ascii="宋体" w:hAnsi="宋体" w:eastAsia="宋体" w:cs="宋体"/>
                <w:kern w:val="0"/>
                <w:sz w:val="32"/>
                <w:szCs w:val="32"/>
              </w:rPr>
            </w:pPr>
          </w:p>
        </w:tc>
        <w:tc>
          <w:tcPr>
            <w:tcW w:w="521" w:type="dxa"/>
            <w:noWrap w:val="0"/>
            <w:vAlign w:val="center"/>
          </w:tcPr>
          <w:p>
            <w:pPr>
              <w:spacing w:line="240" w:lineRule="auto"/>
              <w:jc w:val="center"/>
              <w:rPr>
                <w:rFonts w:hint="eastAsia" w:ascii="宋体" w:hAnsi="宋体" w:eastAsia="宋体" w:cs="宋体"/>
                <w:kern w:val="0"/>
                <w:sz w:val="32"/>
                <w:szCs w:val="32"/>
              </w:rPr>
            </w:pPr>
          </w:p>
        </w:tc>
        <w:tc>
          <w:tcPr>
            <w:tcW w:w="564" w:type="dxa"/>
            <w:noWrap w:val="0"/>
            <w:vAlign w:val="center"/>
          </w:tcPr>
          <w:p>
            <w:pPr>
              <w:spacing w:line="240" w:lineRule="auto"/>
              <w:jc w:val="center"/>
              <w:rPr>
                <w:rFonts w:hint="eastAsia" w:ascii="宋体" w:hAnsi="宋体" w:eastAsia="宋体" w:cs="宋体"/>
                <w:kern w:val="0"/>
                <w:sz w:val="32"/>
                <w:szCs w:val="32"/>
              </w:rPr>
            </w:pPr>
          </w:p>
        </w:tc>
        <w:tc>
          <w:tcPr>
            <w:tcW w:w="532" w:type="dxa"/>
            <w:noWrap w:val="0"/>
            <w:vAlign w:val="center"/>
          </w:tcPr>
          <w:p>
            <w:pPr>
              <w:spacing w:line="240" w:lineRule="auto"/>
              <w:jc w:val="center"/>
              <w:rPr>
                <w:rFonts w:hint="eastAsia" w:ascii="宋体" w:hAnsi="宋体" w:eastAsia="宋体" w:cs="宋体"/>
                <w:kern w:val="0"/>
                <w:sz w:val="32"/>
                <w:szCs w:val="32"/>
              </w:rPr>
            </w:pPr>
          </w:p>
        </w:tc>
        <w:tc>
          <w:tcPr>
            <w:tcW w:w="598" w:type="dxa"/>
            <w:noWrap w:val="0"/>
            <w:vAlign w:val="center"/>
          </w:tcPr>
          <w:p>
            <w:pPr>
              <w:spacing w:line="240" w:lineRule="auto"/>
              <w:jc w:val="center"/>
              <w:rPr>
                <w:rFonts w:hint="eastAsia" w:ascii="宋体" w:hAnsi="宋体" w:eastAsia="宋体" w:cs="宋体"/>
                <w:kern w:val="0"/>
                <w:sz w:val="32"/>
                <w:szCs w:val="32"/>
              </w:rPr>
            </w:pPr>
          </w:p>
        </w:tc>
        <w:tc>
          <w:tcPr>
            <w:tcW w:w="443" w:type="dxa"/>
            <w:noWrap w:val="0"/>
            <w:vAlign w:val="center"/>
          </w:tcPr>
          <w:p>
            <w:pPr>
              <w:spacing w:line="240" w:lineRule="auto"/>
              <w:jc w:val="center"/>
              <w:rPr>
                <w:rFonts w:hint="eastAsia" w:ascii="宋体" w:hAnsi="宋体" w:eastAsia="宋体" w:cs="宋体"/>
                <w:kern w:val="0"/>
                <w:sz w:val="32"/>
                <w:szCs w:val="32"/>
              </w:rPr>
            </w:pPr>
          </w:p>
        </w:tc>
        <w:tc>
          <w:tcPr>
            <w:tcW w:w="425" w:type="dxa"/>
            <w:noWrap w:val="0"/>
            <w:vAlign w:val="center"/>
          </w:tcPr>
          <w:p>
            <w:pPr>
              <w:spacing w:line="240" w:lineRule="auto"/>
              <w:jc w:val="center"/>
              <w:rPr>
                <w:rFonts w:hint="eastAsia" w:ascii="宋体" w:hAnsi="宋体" w:eastAsia="宋体" w:cs="宋体"/>
                <w:kern w:val="0"/>
                <w:sz w:val="32"/>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W w:w="96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8"/>
        <w:gridCol w:w="1769"/>
        <w:gridCol w:w="1709"/>
        <w:gridCol w:w="2579"/>
        <w:gridCol w:w="1665"/>
        <w:gridCol w:w="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9634" w:type="dxa"/>
            <w:gridSpan w:val="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2"/>
                <w:szCs w:val="32"/>
                <w:u w:val="none"/>
              </w:rPr>
            </w:pPr>
            <w:r>
              <w:rPr>
                <w:rFonts w:hint="eastAsia" w:ascii="黑体" w:hAnsi="宋体" w:eastAsia="黑体" w:cs="黑体"/>
                <w:b/>
                <w:bCs/>
                <w:i w:val="0"/>
                <w:iCs w:val="0"/>
                <w:color w:val="000000"/>
                <w:kern w:val="0"/>
                <w:sz w:val="32"/>
                <w:szCs w:val="32"/>
                <w:u w:val="none"/>
                <w:lang w:val="en-US" w:eastAsia="zh-CN" w:bidi="ar"/>
              </w:rPr>
              <w:t>通榆县边昭镇综合服务中心2024年项目支出绩效目标表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19"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1770"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1710"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2580"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1665" w:type="dxa"/>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c>
          <w:tcPr>
            <w:tcW w:w="0" w:type="auto"/>
            <w:tcBorders>
              <w:top w:val="nil"/>
              <w:left w:val="nil"/>
              <w:bottom w:val="nil"/>
              <w:right w:val="nil"/>
            </w:tcBorders>
            <w:shd w:val="clear" w:color="auto" w:fill="auto"/>
            <w:noWrap/>
            <w:vAlign w:val="center"/>
          </w:tcPr>
          <w:p>
            <w:pPr>
              <w:rPr>
                <w:rFonts w:hint="eastAsia" w:ascii="华文细黑" w:hAnsi="华文细黑" w:eastAsia="华文细黑" w:cs="华文细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项目名称</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边昭镇综合服务中心村级组织运转经费1.3（1595500）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项目级次</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主管部门及编码</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通榆县边昭镇人民政府-555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项目资金(万元）</w:t>
            </w: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年度资金总额</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159.55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其中：财政拨款</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159.55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 xml:space="preserve">      其他资金</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9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年度绩效</w:t>
            </w:r>
            <w:r>
              <w:rPr>
                <w:rFonts w:hint="default" w:ascii="华文细黑" w:hAnsi="华文细黑" w:eastAsia="华文细黑" w:cs="华文细黑"/>
                <w:i w:val="0"/>
                <w:iCs w:val="0"/>
                <w:color w:val="000000"/>
                <w:kern w:val="0"/>
                <w:sz w:val="16"/>
                <w:szCs w:val="16"/>
                <w:u w:val="none"/>
                <w:lang w:val="en-US" w:eastAsia="zh-CN" w:bidi="ar"/>
              </w:rPr>
              <w:br w:type="textWrapping"/>
            </w:r>
            <w:r>
              <w:rPr>
                <w:rFonts w:hint="default" w:ascii="华文细黑" w:hAnsi="华文细黑" w:eastAsia="华文细黑" w:cs="华文细黑"/>
                <w:i w:val="0"/>
                <w:iCs w:val="0"/>
                <w:color w:val="000000"/>
                <w:kern w:val="0"/>
                <w:sz w:val="16"/>
                <w:szCs w:val="16"/>
                <w:u w:val="none"/>
                <w:lang w:val="en-US" w:eastAsia="zh-CN" w:bidi="ar"/>
              </w:rPr>
              <w:t>目标</w:t>
            </w:r>
          </w:p>
        </w:tc>
        <w:tc>
          <w:tcPr>
            <w:tcW w:w="871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2024年村级运转经费，保障村级组织正常运转，保障10个村正常运转，助力乡村振兴，保障基层发展。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绩效指标</w:t>
            </w: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一级指标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二级指标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三级指标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指标值</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成本指标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经济成本指标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村均每月经费额度</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=13295.83元/村/月</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产出指标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数量指标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行政村数量</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=10个</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质量指标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村级组织正常运转率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时效指标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村级运转经费拨付及时率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效益指标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社会效益指标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提升基层党组织情况</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华文细黑" w:hAnsi="华文细黑" w:eastAsia="华文细黑" w:cs="华文细黑"/>
                <w:i w:val="0"/>
                <w:iCs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满意度指标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服务对象满意度指标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村干部满意度</w:t>
            </w: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sz w:val="16"/>
                <w:szCs w:val="16"/>
                <w:u w:val="none"/>
              </w:rPr>
            </w:pPr>
            <w:r>
              <w:rPr>
                <w:rFonts w:hint="default" w:ascii="华文细黑" w:hAnsi="华文细黑" w:eastAsia="华文细黑" w:cs="华文细黑"/>
                <w:i w:val="0"/>
                <w:iCs w:val="0"/>
                <w:color w:val="000000"/>
                <w:kern w:val="0"/>
                <w:sz w:val="16"/>
                <w:szCs w:val="16"/>
                <w:u w:val="none"/>
                <w:lang w:val="en-US" w:eastAsia="zh-CN" w:bidi="ar"/>
              </w:rPr>
              <w:t>10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default" w:ascii="仿宋_GB2312" w:hAnsi="仿宋_GB2312" w:eastAsia="仿宋_GB2312" w:cs="仿宋_GB2312"/>
          <w:szCs w:val="32"/>
          <w:lang w:val="en-US" w:eastAsia="zh-CN"/>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lang w:val="en-US" w:eastAsia="zh-CN"/>
        </w:rPr>
        <w:t>908.30万元</w:t>
      </w:r>
      <w:r>
        <w:rPr>
          <w:rFonts w:hint="eastAsia" w:ascii="仿宋_GB2312" w:hAnsi="仿宋_GB2312" w:eastAsia="仿宋_GB2312" w:cs="仿宋_GB2312"/>
          <w:szCs w:val="32"/>
        </w:rPr>
        <w:t>；支出包括：一般公共服务支出</w:t>
      </w:r>
      <w:r>
        <w:rPr>
          <w:rFonts w:hint="eastAsia" w:ascii="仿宋_GB2312" w:hAnsi="仿宋_GB2312" w:cs="仿宋_GB2312"/>
          <w:szCs w:val="32"/>
          <w:lang w:val="en-US" w:eastAsia="zh-CN"/>
        </w:rPr>
        <w:t>558.46万元</w:t>
      </w:r>
      <w:r>
        <w:rPr>
          <w:rFonts w:hint="eastAsia" w:ascii="仿宋_GB2312" w:hAnsi="仿宋_GB2312" w:eastAsia="仿宋_GB2312" w:cs="仿宋_GB2312"/>
          <w:szCs w:val="32"/>
        </w:rPr>
        <w:t>、社会保障和就业支出</w:t>
      </w:r>
      <w:r>
        <w:rPr>
          <w:rFonts w:hint="eastAsia" w:ascii="仿宋_GB2312" w:hAnsi="仿宋_GB2312" w:cs="仿宋_GB2312"/>
          <w:szCs w:val="32"/>
          <w:lang w:val="en-US" w:eastAsia="zh-CN"/>
        </w:rPr>
        <w:t>102.16万元</w:t>
      </w:r>
      <w:r>
        <w:rPr>
          <w:rFonts w:hint="eastAsia" w:ascii="仿宋_GB2312" w:hAnsi="仿宋_GB2312" w:eastAsia="仿宋_GB2312" w:cs="仿宋_GB2312"/>
          <w:szCs w:val="32"/>
        </w:rPr>
        <w:t>、农林水支出</w:t>
      </w:r>
      <w:r>
        <w:rPr>
          <w:rFonts w:hint="eastAsia" w:ascii="仿宋_GB2312" w:hAnsi="仿宋_GB2312" w:cs="仿宋_GB2312"/>
          <w:szCs w:val="32"/>
          <w:lang w:val="en-US" w:eastAsia="zh-CN"/>
        </w:rPr>
        <w:t>159.55万元</w:t>
      </w:r>
      <w:r>
        <w:rPr>
          <w:rFonts w:hint="eastAsia" w:ascii="仿宋_GB2312" w:hAnsi="仿宋_GB2312" w:eastAsia="仿宋_GB2312" w:cs="仿宋_GB2312"/>
          <w:szCs w:val="32"/>
        </w:rPr>
        <w:t>、</w:t>
      </w:r>
      <w:r>
        <w:rPr>
          <w:rFonts w:hint="eastAsia" w:ascii="仿宋_GB2312" w:hAnsi="仿宋_GB2312" w:cs="仿宋_GB2312"/>
          <w:szCs w:val="32"/>
          <w:lang w:eastAsia="zh-CN"/>
        </w:rPr>
        <w:t>卫生健康支出</w:t>
      </w:r>
      <w:r>
        <w:rPr>
          <w:rFonts w:hint="eastAsia" w:ascii="仿宋_GB2312" w:hAnsi="仿宋_GB2312" w:cs="仿宋_GB2312"/>
          <w:szCs w:val="32"/>
          <w:lang w:val="en-US" w:eastAsia="zh-CN"/>
        </w:rPr>
        <w:t>32.72万元、</w:t>
      </w:r>
      <w:r>
        <w:rPr>
          <w:rFonts w:hint="eastAsia" w:ascii="仿宋_GB2312" w:hAnsi="仿宋_GB2312" w:eastAsia="仿宋_GB2312" w:cs="仿宋_GB2312"/>
          <w:szCs w:val="32"/>
        </w:rPr>
        <w:t>住房保障支出</w:t>
      </w:r>
      <w:r>
        <w:rPr>
          <w:rFonts w:hint="eastAsia" w:ascii="仿宋_GB2312" w:hAnsi="仿宋_GB2312" w:cs="仿宋_GB2312"/>
          <w:szCs w:val="32"/>
          <w:lang w:val="en-US" w:eastAsia="zh-CN"/>
        </w:rPr>
        <w:t>55.41万元</w:t>
      </w:r>
      <w:r>
        <w:rPr>
          <w:rFonts w:hint="eastAsia" w:ascii="仿宋_GB2312" w:hAnsi="仿宋_GB2312" w:eastAsia="仿宋_GB2312" w:cs="仿宋_GB2312"/>
          <w:szCs w:val="32"/>
        </w:rPr>
        <w:t>。</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908.30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908.30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9.41</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2023年下半年有新考入编人员导致人员经费增加。</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908.3</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908.3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908.3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908.3</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748.75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82.43</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159.55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17.57</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908.3</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908.3</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558.46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102.16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32.72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159.55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54.41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908.3</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748.75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82.43</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159.55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17.57</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698.83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93.33</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49.92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6.67</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558.46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61.48</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事业运行</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102.16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11.25</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在职人员的基本养老保险缴费</w:t>
      </w:r>
      <w:r>
        <w:rPr>
          <w:rFonts w:hint="eastAsia" w:ascii="仿宋_GB2312" w:hAnsi="仿宋_GB2312" w:eastAsia="仿宋_GB2312" w:cs="仿宋_GB2312"/>
          <w:szCs w:val="32"/>
        </w:rPr>
        <w:t>。</w:t>
      </w:r>
    </w:p>
    <w:p>
      <w:pPr>
        <w:spacing w:line="520" w:lineRule="exact"/>
        <w:ind w:firstLine="200"/>
        <w:rPr>
          <w:rFonts w:hint="default" w:ascii="仿宋_GB2312" w:hAnsi="仿宋_GB2312" w:eastAsia="仿宋_GB2312" w:cs="仿宋_GB2312"/>
          <w:szCs w:val="32"/>
          <w:lang w:val="en-US" w:eastAsia="zh-CN"/>
        </w:rPr>
      </w:pPr>
      <w:r>
        <w:rPr>
          <w:rFonts w:hint="eastAsia" w:ascii="仿宋_GB2312" w:hAnsi="仿宋_GB2312" w:cs="仿宋_GB2312"/>
          <w:szCs w:val="32"/>
          <w:lang w:eastAsia="zh-CN"/>
        </w:rPr>
        <w:t>卫生健康支出</w:t>
      </w:r>
      <w:r>
        <w:rPr>
          <w:rFonts w:hint="eastAsia" w:ascii="仿宋_GB2312" w:hAnsi="仿宋_GB2312" w:cs="仿宋_GB2312"/>
          <w:szCs w:val="32"/>
          <w:lang w:val="en-US" w:eastAsia="zh-CN"/>
        </w:rPr>
        <w:t>32.72万元，占3.6%，主要用于单位医疗支出。</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159.55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17.57</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村级运转经费的拨付</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55.41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6.1</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在职人员公积金缴费</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748.75</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698.83</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w:t>
      </w:r>
      <w:r>
        <w:rPr>
          <w:rFonts w:hint="eastAsia" w:ascii="仿宋_GB2312" w:hAnsi="仿宋_GB2312" w:cs="仿宋_GB2312"/>
          <w:kern w:val="0"/>
          <w:szCs w:val="32"/>
          <w:lang w:val="en-US" w:eastAsia="zh-CN"/>
        </w:rPr>
        <w:t>费49.92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eastAsia="楷体"/>
          <w:szCs w:val="32"/>
        </w:rPr>
      </w:pPr>
      <w:r>
        <w:rPr>
          <w:rFonts w:eastAsia="楷体"/>
          <w:szCs w:val="32"/>
        </w:rPr>
        <w:t>本部门无一般公共预算拨款</w:t>
      </w: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szCs w:val="32"/>
        </w:rPr>
      </w:pPr>
      <w:r>
        <w:rPr>
          <w:rFonts w:eastAsia="楷体"/>
          <w:szCs w:val="32"/>
        </w:rPr>
        <w:t>本部门无政府性基金预算拨款</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default" w:eastAsia="楷体"/>
          <w:szCs w:val="32"/>
          <w:lang w:val="en-US" w:eastAsia="zh-CN"/>
        </w:rPr>
      </w:pPr>
      <w:r>
        <w:rPr>
          <w:rFonts w:eastAsia="楷体"/>
          <w:szCs w:val="32"/>
        </w:rPr>
        <w:t>本部门无</w:t>
      </w:r>
      <w:r>
        <w:rPr>
          <w:rFonts w:hint="eastAsia" w:eastAsia="楷体"/>
          <w:szCs w:val="32"/>
          <w:lang w:val="en-US" w:eastAsia="zh-CN"/>
        </w:rPr>
        <w:t>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eastAsia="楷体"/>
          <w:szCs w:val="32"/>
        </w:rPr>
        <w:t>本部门无</w:t>
      </w:r>
      <w:r>
        <w:rPr>
          <w:rFonts w:hint="eastAsia" w:ascii="仿宋_GB2312" w:hAnsi="仿宋_GB2312" w:eastAsia="仿宋_GB2312" w:cs="仿宋_GB2312"/>
          <w:szCs w:val="32"/>
        </w:rPr>
        <w:t>政府采购情况</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2</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159.55</w:t>
      </w:r>
      <w:r>
        <w:rPr>
          <w:rFonts w:hint="eastAsia" w:ascii="仿宋_GB2312" w:hAnsi="仿宋_GB2312" w:eastAsia="仿宋_GB2312" w:cs="仿宋_GB2312"/>
          <w:szCs w:val="32"/>
          <w:highlight w:val="none"/>
        </w:rPr>
        <w:t>万元，其中：二级项目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159.55</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159.55</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1</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159.55</w:t>
      </w:r>
      <w:r>
        <w:rPr>
          <w:rFonts w:hint="eastAsia" w:ascii="仿宋_GB2312" w:hAnsi="仿宋_GB2312" w:eastAsia="仿宋_GB2312" w:cs="仿宋_GB2312"/>
        </w:rPr>
        <w:t>万元。</w:t>
      </w:r>
    </w:p>
    <w:p>
      <w:pPr>
        <w:spacing w:line="540" w:lineRule="exact"/>
        <w:ind w:firstLine="640" w:firstLineChars="200"/>
        <w:rPr>
          <w:rFonts w:eastAsia="楷体"/>
          <w:szCs w:val="32"/>
        </w:rPr>
      </w:pPr>
      <w:bookmarkStart w:id="0" w:name="_GoBack"/>
      <w:bookmarkEnd w:id="0"/>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4" w:type="default"/>
      <w:footerReference r:id="rId6" w:type="default"/>
      <w:headerReference r:id="rId5" w:type="even"/>
      <w:footerReference r:id="rId7"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17B3FB1-3F47-4510-9652-3DCD7DFD761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2" w:fontKey="{F96B8E43-8DA1-4AC6-B254-6B1437696A82}"/>
  </w:font>
  <w:font w:name="华文细黑">
    <w:panose1 w:val="02010600040101010101"/>
    <w:charset w:val="86"/>
    <w:family w:val="auto"/>
    <w:pitch w:val="default"/>
    <w:sig w:usb0="00000287" w:usb1="080F0000" w:usb2="00000000" w:usb3="00000000" w:csb0="0004009F" w:csb1="DFD70000"/>
    <w:embedRegular r:id="rId3" w:fontKey="{8E09269D-6094-415A-BEE5-B102EEEFB0F3}"/>
  </w:font>
  <w:font w:name="方正小标宋简体">
    <w:panose1 w:val="02000000000000000000"/>
    <w:charset w:val="86"/>
    <w:family w:val="auto"/>
    <w:pitch w:val="default"/>
    <w:sig w:usb0="00000001" w:usb1="08000000" w:usb2="00000000" w:usb3="00000000" w:csb0="00040000" w:csb1="00000000"/>
    <w:embedRegular r:id="rId4" w:fontKey="{AA24B7EB-4F61-4CA6-8A9C-75847B544821}"/>
  </w:font>
  <w:font w:name="楷体_GB2312">
    <w:altName w:val="楷体"/>
    <w:panose1 w:val="02010609030101010101"/>
    <w:charset w:val="86"/>
    <w:family w:val="modern"/>
    <w:pitch w:val="default"/>
    <w:sig w:usb0="00000000" w:usb1="00000000" w:usb2="00000000" w:usb3="00000000" w:csb0="00040000" w:csb1="00000000"/>
    <w:embedRegular r:id="rId5" w:fontKey="{60353EEE-4173-4D1E-A6C4-B15A788036E2}"/>
  </w:font>
  <w:font w:name="仿宋">
    <w:panose1 w:val="02010609060101010101"/>
    <w:charset w:val="86"/>
    <w:family w:val="auto"/>
    <w:pitch w:val="default"/>
    <w:sig w:usb0="800002BF" w:usb1="38CF7CFA" w:usb2="00000016" w:usb3="00000000" w:csb0="00040001" w:csb1="00000000"/>
    <w:embedRegular r:id="rId6" w:fontKey="{2A8DF41A-7797-42C5-822E-2909EA9FC809}"/>
  </w:font>
  <w:font w:name="楷体">
    <w:panose1 w:val="02010609060101010101"/>
    <w:charset w:val="86"/>
    <w:family w:val="auto"/>
    <w:pitch w:val="default"/>
    <w:sig w:usb0="800002BF" w:usb1="38CF7CFA" w:usb2="00000016" w:usb3="00000000" w:csb0="00040001" w:csb1="00000000"/>
    <w:embedRegular r:id="rId7" w:fontKey="{5DB9000F-505F-4C33-8993-A35DDD1B7DE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82" w:lineRule="auto"/>
      <w:ind w:left="4260"/>
      <w:rPr>
        <w:rFonts w:ascii="宋体" w:hAnsi="宋体" w:eastAsia="宋体" w:cs="宋体"/>
        <w:sz w:val="20"/>
        <w:szCs w:val="20"/>
      </w:rPr>
    </w:pPr>
    <w:r>
      <w:rPr>
        <w:rFonts w:ascii="宋体" w:hAnsi="宋体" w:eastAsia="宋体" w:cs="宋体"/>
        <w:spacing w:val="-6"/>
        <w:w w:val="60"/>
        <w:sz w:val="20"/>
        <w:szCs w:val="20"/>
      </w:rPr>
      <w:t>—</w:t>
    </w:r>
    <w:r>
      <w:rPr>
        <w:rFonts w:ascii="宋体" w:hAnsi="宋体" w:eastAsia="宋体" w:cs="宋体"/>
        <w:spacing w:val="-14"/>
        <w:w w:val="95"/>
        <w:sz w:val="20"/>
        <w:szCs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YTFmYWUzN2M3YjE3YzAwZGI4OTA3Yzg2MzU5ZT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9521E"/>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E21AB"/>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135115B"/>
    <w:rsid w:val="12E711B7"/>
    <w:rsid w:val="136D62BD"/>
    <w:rsid w:val="13F21722"/>
    <w:rsid w:val="1441443C"/>
    <w:rsid w:val="14C12787"/>
    <w:rsid w:val="153B1B45"/>
    <w:rsid w:val="15593E10"/>
    <w:rsid w:val="159F7E25"/>
    <w:rsid w:val="15F848D0"/>
    <w:rsid w:val="160E1FA5"/>
    <w:rsid w:val="160F2600"/>
    <w:rsid w:val="173E74A1"/>
    <w:rsid w:val="17765BCA"/>
    <w:rsid w:val="17A027D8"/>
    <w:rsid w:val="1A817DF8"/>
    <w:rsid w:val="1ADC594E"/>
    <w:rsid w:val="1AEB5252"/>
    <w:rsid w:val="1C852172"/>
    <w:rsid w:val="1CA40C0C"/>
    <w:rsid w:val="1CFF4A32"/>
    <w:rsid w:val="1D655B19"/>
    <w:rsid w:val="1D833200"/>
    <w:rsid w:val="1E2D59A2"/>
    <w:rsid w:val="1E3A3FD0"/>
    <w:rsid w:val="1EB55C07"/>
    <w:rsid w:val="1F351A10"/>
    <w:rsid w:val="1FED47E9"/>
    <w:rsid w:val="206816AC"/>
    <w:rsid w:val="22356915"/>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C530581"/>
    <w:rsid w:val="2DF8796C"/>
    <w:rsid w:val="2EB22F18"/>
    <w:rsid w:val="2EE12108"/>
    <w:rsid w:val="2EED35E3"/>
    <w:rsid w:val="2F250383"/>
    <w:rsid w:val="2F63610B"/>
    <w:rsid w:val="300965A3"/>
    <w:rsid w:val="303B192C"/>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3812F3"/>
    <w:rsid w:val="4D730507"/>
    <w:rsid w:val="4D741DD3"/>
    <w:rsid w:val="4DC93207"/>
    <w:rsid w:val="4E2A22FD"/>
    <w:rsid w:val="4E8D5761"/>
    <w:rsid w:val="4EF54A85"/>
    <w:rsid w:val="4F6F75D9"/>
    <w:rsid w:val="501B3C66"/>
    <w:rsid w:val="504B40C5"/>
    <w:rsid w:val="50987DC2"/>
    <w:rsid w:val="50A4703E"/>
    <w:rsid w:val="50D07E7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EA5178"/>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A0458D"/>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0</TotalTime>
  <ScaleCrop>false</ScaleCrop>
  <LinksUpToDate>false</LinksUpToDate>
  <CharactersWithSpaces>8690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逍遥</cp:lastModifiedBy>
  <cp:lastPrinted>2022-02-21T08:08:00Z</cp:lastPrinted>
  <dcterms:modified xsi:type="dcterms:W3CDTF">2024-01-27T01:10:36Z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commondata">
    <vt:lpwstr>eyJoZGlkIjoiZWM5MjE1YWFmYzZkMzU5ZGRkN2NlNjYxOGIzMjAyOWQifQ==</vt:lpwstr>
  </property>
  <property fmtid="{D5CDD505-2E9C-101B-9397-08002B2CF9AE}" pid="4" name="ICV">
    <vt:lpwstr>520660AE4AE145D496AC8FB22C82B348_13</vt:lpwstr>
  </property>
</Properties>
</file>