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通榆县边昭镇人民政府</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color w:val="000000"/>
          <w:szCs w:val="32"/>
        </w:rPr>
      </w:pPr>
      <w:r>
        <w:rPr>
          <w:rFonts w:hint="eastAsia"/>
          <w:color w:val="000000"/>
          <w:szCs w:val="32"/>
        </w:rPr>
        <w:t>1、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深入推进反腐败斗争，加强基层意识形态工作。</w:t>
      </w:r>
    </w:p>
    <w:p>
      <w:pPr>
        <w:ind w:firstLine="640" w:firstLineChars="200"/>
        <w:rPr>
          <w:rFonts w:hint="eastAsia"/>
          <w:color w:val="000000"/>
          <w:szCs w:val="32"/>
        </w:rPr>
      </w:pPr>
      <w:r>
        <w:rPr>
          <w:rFonts w:hint="eastAsia"/>
          <w:color w:val="000000"/>
          <w:szCs w:val="32"/>
        </w:rPr>
        <w:t>2、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ind w:firstLine="640" w:firstLineChars="200"/>
        <w:rPr>
          <w:rFonts w:hint="eastAsia"/>
          <w:color w:val="000000"/>
          <w:szCs w:val="32"/>
        </w:rPr>
      </w:pPr>
      <w:r>
        <w:rPr>
          <w:rFonts w:hint="eastAsia"/>
          <w:color w:val="000000"/>
          <w:szCs w:val="32"/>
        </w:rPr>
        <w:t>3、组织公共服务。推进政府职能由“管理型”向“服务型”转变，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策。</w:t>
      </w:r>
    </w:p>
    <w:p>
      <w:pPr>
        <w:ind w:firstLine="640" w:firstLineChars="200"/>
        <w:rPr>
          <w:rFonts w:hint="eastAsia"/>
          <w:color w:val="000000"/>
          <w:szCs w:val="32"/>
        </w:rPr>
      </w:pPr>
      <w:r>
        <w:rPr>
          <w:rFonts w:hint="eastAsia"/>
          <w:color w:val="000000"/>
          <w:szCs w:val="32"/>
        </w:rPr>
        <w:t>4、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内住宅小区开展综合管理。</w:t>
      </w:r>
    </w:p>
    <w:p>
      <w:pPr>
        <w:ind w:firstLine="640" w:firstLineChars="200"/>
        <w:rPr>
          <w:rFonts w:hint="eastAsia"/>
          <w:color w:val="000000"/>
          <w:szCs w:val="32"/>
        </w:rPr>
      </w:pPr>
      <w:r>
        <w:rPr>
          <w:rFonts w:hint="eastAsia"/>
          <w:color w:val="000000"/>
          <w:szCs w:val="32"/>
        </w:rPr>
        <w:t>5、动员社会参与。坚持以基层党建引领基层治理，动员指导辖区内各类单位、社会组织和村等社会力量参与社会治理，引导辖区单位履行社会责任，整合辖区内各种社会力量为镇、村发展服务。做实做强由党建引领的基层共治基本单元，构建党组织统一领导各类组织积极协同、广大群众广泛参与的基层治理体系。</w:t>
      </w:r>
    </w:p>
    <w:p>
      <w:pPr>
        <w:ind w:firstLine="640" w:firstLineChars="200"/>
        <w:rPr>
          <w:rFonts w:hint="eastAsia"/>
          <w:color w:val="000000"/>
          <w:szCs w:val="32"/>
        </w:rPr>
      </w:pPr>
      <w:r>
        <w:rPr>
          <w:rFonts w:hint="eastAsia"/>
          <w:color w:val="000000"/>
          <w:szCs w:val="32"/>
        </w:rPr>
        <w:t>6、领导基层自治。发挥村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pPr>
        <w:ind w:firstLine="640" w:firstLineChars="200"/>
        <w:rPr>
          <w:rFonts w:hint="eastAsia"/>
          <w:color w:val="000000"/>
          <w:szCs w:val="32"/>
        </w:rPr>
      </w:pPr>
      <w:r>
        <w:rPr>
          <w:rFonts w:hint="eastAsia"/>
          <w:color w:val="000000"/>
          <w:szCs w:val="32"/>
        </w:rPr>
        <w:t>7、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pPr>
        <w:ind w:firstLine="640" w:firstLineChars="200"/>
        <w:rPr>
          <w:rFonts w:hint="eastAsia"/>
          <w:color w:val="000000"/>
          <w:szCs w:val="32"/>
        </w:rPr>
      </w:pPr>
      <w:r>
        <w:rPr>
          <w:rFonts w:hint="eastAsia"/>
          <w:color w:val="000000"/>
          <w:szCs w:val="32"/>
        </w:rPr>
        <w:t>8、深化“放管服”改革和“最多跑一次”改革。依托镇便民服务平台，推进审批服务事项向便民服务中心集中，保障便民服务中心的审批服务事项到位、权限到位。推进镇便民服务平台标准化建设，加快实现政务服务马上办、网上办、就近办、一次办，提升政务服务质量。</w:t>
      </w:r>
    </w:p>
    <w:p>
      <w:pPr>
        <w:ind w:firstLine="640" w:firstLineChars="200"/>
        <w:rPr>
          <w:rFonts w:hint="eastAsia" w:ascii="仿宋_GB2312" w:hAnsi="仿宋_GB2312" w:eastAsia="仿宋_GB2312" w:cs="仿宋_GB2312"/>
          <w:color w:val="000000"/>
          <w:sz w:val="21"/>
          <w:szCs w:val="21"/>
        </w:rPr>
      </w:pPr>
      <w:r>
        <w:rPr>
          <w:rFonts w:hint="eastAsia"/>
          <w:color w:val="000000"/>
          <w:szCs w:val="32"/>
        </w:rPr>
        <w:t>9、完成法律、法规、规章规定的其他事项和县委、县政府交办的其他任务。</w:t>
      </w:r>
    </w:p>
    <w:p>
      <w:pPr>
        <w:ind w:firstLine="640" w:firstLineChars="200"/>
      </w:pPr>
      <w:r>
        <w:rPr>
          <w:rFonts w:eastAsia="楷体_GB2312"/>
        </w:rPr>
        <w:t>二、机构设置</w:t>
      </w:r>
    </w:p>
    <w:p>
      <w:pPr>
        <w:widowControl/>
        <w:spacing w:line="576" w:lineRule="exact"/>
        <w:ind w:firstLine="640" w:firstLineChars="200"/>
        <w:jc w:val="left"/>
        <w:rPr>
          <w:rFonts w:hint="eastAsia" w:ascii="仿宋" w:hAnsi="仿宋" w:eastAsia="仿宋" w:cs="Arial"/>
          <w:bCs/>
          <w:kern w:val="0"/>
          <w:szCs w:val="32"/>
        </w:rPr>
      </w:pPr>
      <w:r>
        <w:rPr>
          <w:rFonts w:hint="eastAsia" w:ascii="仿宋" w:hAnsi="仿宋" w:eastAsia="仿宋" w:cs="Arial"/>
          <w:bCs/>
          <w:kern w:val="0"/>
          <w:szCs w:val="32"/>
        </w:rPr>
        <w:t>1、机构情况</w:t>
      </w:r>
    </w:p>
    <w:p>
      <w:pPr>
        <w:pStyle w:val="51"/>
        <w:spacing w:line="576" w:lineRule="exact"/>
        <w:ind w:firstLine="640" w:firstLineChars="200"/>
        <w:rPr>
          <w:rFonts w:hint="eastAsia" w:ascii="仿宋" w:hAnsi="仿宋" w:eastAsia="仿宋"/>
          <w:bCs/>
        </w:rPr>
      </w:pPr>
      <w:r>
        <w:rPr>
          <w:rFonts w:hint="eastAsia" w:ascii="仿宋" w:hAnsi="仿宋" w:eastAsia="仿宋"/>
          <w:bCs/>
        </w:rPr>
        <w:t>边昭镇人民政府</w:t>
      </w:r>
      <w:r>
        <w:rPr>
          <w:rFonts w:hint="eastAsia" w:ascii="仿宋" w:hAnsi="仿宋" w:eastAsia="仿宋"/>
          <w:bCs/>
          <w:lang w:val="en-US" w:eastAsia="zh-CN"/>
        </w:rPr>
        <w:t>下设8个综合性办事机构包括综合办公室、党建工作办公室、平安建设办公室、社会事务办公室、农业农村办公室、综合行政执法办公室、财政经济办公室、扶贫办公室。</w:t>
      </w:r>
      <w:r>
        <w:rPr>
          <w:rFonts w:hint="eastAsia" w:ascii="仿宋" w:hAnsi="仿宋" w:eastAsia="仿宋"/>
          <w:bCs/>
        </w:rPr>
        <w:t>内设</w:t>
      </w:r>
      <w:r>
        <w:rPr>
          <w:rFonts w:hint="eastAsia" w:ascii="仿宋" w:hAnsi="仿宋" w:eastAsia="仿宋"/>
          <w:bCs/>
          <w:lang w:val="en-US" w:eastAsia="zh-CN"/>
        </w:rPr>
        <w:t>4</w:t>
      </w:r>
      <w:r>
        <w:rPr>
          <w:rFonts w:hint="eastAsia" w:ascii="仿宋" w:hAnsi="仿宋" w:eastAsia="仿宋"/>
          <w:bCs/>
        </w:rPr>
        <w:t>个科室</w:t>
      </w:r>
      <w:r>
        <w:rPr>
          <w:rFonts w:hint="eastAsia" w:ascii="仿宋" w:hAnsi="仿宋" w:eastAsia="仿宋"/>
          <w:bCs/>
          <w:lang w:val="en-US" w:eastAsia="zh-CN"/>
        </w:rPr>
        <w:t>包括纪检监察、人武、工会、妇联。下属事业单位1个</w:t>
      </w:r>
      <w:r>
        <w:rPr>
          <w:rFonts w:hint="eastAsia" w:ascii="仿宋" w:hAnsi="仿宋" w:eastAsia="仿宋"/>
          <w:bCs/>
        </w:rPr>
        <w:t>综合服务管理中心。</w:t>
      </w:r>
    </w:p>
    <w:p>
      <w:pPr>
        <w:widowControl/>
        <w:spacing w:line="576" w:lineRule="exact"/>
        <w:ind w:firstLine="640" w:firstLineChars="200"/>
        <w:jc w:val="left"/>
        <w:rPr>
          <w:rFonts w:hint="eastAsia" w:ascii="仿宋" w:hAnsi="仿宋" w:eastAsia="仿宋" w:cs="Arial"/>
          <w:bCs/>
          <w:kern w:val="0"/>
          <w:szCs w:val="32"/>
        </w:rPr>
      </w:pPr>
      <w:r>
        <w:rPr>
          <w:rFonts w:hint="eastAsia" w:ascii="仿宋" w:hAnsi="仿宋" w:eastAsia="仿宋" w:cs="Arial"/>
          <w:bCs/>
          <w:kern w:val="0"/>
          <w:szCs w:val="32"/>
        </w:rPr>
        <w:t>2、人员编制情况</w:t>
      </w:r>
    </w:p>
    <w:p>
      <w:pPr>
        <w:widowControl/>
        <w:spacing w:line="576" w:lineRule="exact"/>
        <w:ind w:firstLine="640" w:firstLineChars="200"/>
        <w:jc w:val="left"/>
        <w:rPr>
          <w:rFonts w:hint="eastAsia" w:ascii="仿宋" w:hAnsi="仿宋" w:eastAsia="仿宋" w:cs="Arial"/>
          <w:bCs/>
          <w:kern w:val="0"/>
          <w:szCs w:val="32"/>
        </w:rPr>
      </w:pPr>
      <w:r>
        <w:rPr>
          <w:rFonts w:hint="eastAsia" w:ascii="仿宋" w:hAnsi="仿宋" w:eastAsia="仿宋" w:cs="Arial"/>
          <w:bCs/>
          <w:kern w:val="0"/>
          <w:szCs w:val="32"/>
        </w:rPr>
        <w:t xml:space="preserve">本部门行政编制 </w:t>
      </w:r>
      <w:r>
        <w:rPr>
          <w:rFonts w:hint="eastAsia" w:ascii="仿宋" w:hAnsi="仿宋" w:eastAsia="仿宋" w:cs="Arial"/>
          <w:bCs/>
          <w:kern w:val="0"/>
          <w:szCs w:val="32"/>
          <w:lang w:val="en-US" w:eastAsia="zh-CN"/>
        </w:rPr>
        <w:t>26</w:t>
      </w:r>
      <w:r>
        <w:rPr>
          <w:rFonts w:hint="eastAsia" w:ascii="仿宋" w:hAnsi="仿宋" w:eastAsia="仿宋" w:cs="Arial"/>
          <w:bCs/>
          <w:kern w:val="0"/>
          <w:szCs w:val="32"/>
        </w:rPr>
        <w:t>人。</w:t>
      </w:r>
    </w:p>
    <w:p>
      <w:pPr>
        <w:widowControl/>
        <w:spacing w:line="576" w:lineRule="exact"/>
        <w:ind w:firstLine="640" w:firstLineChars="200"/>
        <w:jc w:val="left"/>
        <w:rPr>
          <w:rFonts w:hint="eastAsia" w:ascii="仿宋" w:hAnsi="仿宋" w:eastAsia="仿宋" w:cs="Arial"/>
          <w:bCs/>
          <w:kern w:val="0"/>
          <w:szCs w:val="32"/>
        </w:rPr>
      </w:pPr>
      <w:r>
        <w:rPr>
          <w:rFonts w:hint="eastAsia" w:ascii="仿宋" w:hAnsi="仿宋" w:eastAsia="仿宋" w:cs="Arial"/>
          <w:bCs/>
          <w:kern w:val="0"/>
          <w:szCs w:val="32"/>
        </w:rPr>
        <w:t>3、实有人员情况</w:t>
      </w:r>
    </w:p>
    <w:p>
      <w:pPr>
        <w:pStyle w:val="51"/>
        <w:ind w:firstLine="640" w:firstLineChars="200"/>
        <w:rPr>
          <w:rFonts w:eastAsia="楷体"/>
        </w:rPr>
      </w:pPr>
      <w:r>
        <w:rPr>
          <w:rFonts w:hint="eastAsia" w:ascii="仿宋" w:hAnsi="仿宋" w:eastAsia="仿宋" w:cs="Arial"/>
          <w:bCs/>
          <w:kern w:val="0"/>
          <w:szCs w:val="32"/>
        </w:rPr>
        <w:t>行政在职2</w:t>
      </w:r>
      <w:r>
        <w:rPr>
          <w:rFonts w:hint="eastAsia" w:ascii="仿宋" w:hAnsi="仿宋" w:eastAsia="仿宋" w:cs="Arial"/>
          <w:bCs/>
          <w:kern w:val="0"/>
          <w:szCs w:val="32"/>
          <w:lang w:val="en-US" w:eastAsia="zh-CN"/>
        </w:rPr>
        <w:t>3</w:t>
      </w:r>
      <w:r>
        <w:rPr>
          <w:rFonts w:hint="eastAsia" w:ascii="仿宋" w:hAnsi="仿宋" w:eastAsia="仿宋" w:cs="Arial"/>
          <w:bCs/>
          <w:kern w:val="0"/>
          <w:szCs w:val="32"/>
        </w:rPr>
        <w:t>人；委培生8人；村官</w:t>
      </w:r>
      <w:r>
        <w:rPr>
          <w:rFonts w:hint="eastAsia" w:ascii="仿宋" w:hAnsi="仿宋" w:eastAsia="仿宋" w:cs="Arial"/>
          <w:bCs/>
          <w:kern w:val="0"/>
          <w:szCs w:val="32"/>
          <w:lang w:val="en-US" w:eastAsia="zh-CN"/>
        </w:rPr>
        <w:t>7</w:t>
      </w:r>
      <w:r>
        <w:rPr>
          <w:rFonts w:hint="eastAsia" w:ascii="仿宋" w:hAnsi="仿宋" w:eastAsia="仿宋" w:cs="Arial"/>
          <w:bCs/>
          <w:kern w:val="0"/>
          <w:szCs w:val="32"/>
        </w:rPr>
        <w:t>人。</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441.53</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441.53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365.87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365.87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441.53</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441.53</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39.29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39.29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22.58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22.58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13.79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13.79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441.53</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441.53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441.53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441.53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441.53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441.53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441.53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441.53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通榆县边昭镇人民政府</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441.53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441.53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441.53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365.87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262.54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103.34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365.87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262.54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103.34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365.87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262.54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103.34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39.29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39.29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39.29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39.29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31.75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31.75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7.55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7.55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13.79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13.79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13.59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13.59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0.20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0.20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22.58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22.58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华文细黑" w:cs="Times New Roman"/>
                      <w:color w:val="000000"/>
                      <w:kern w:val="0"/>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441.53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441.53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103.34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24"/>
                      <w:szCs w:val="24"/>
                      <w:u w:val="none"/>
                      <w:lang w:val="en-US" w:eastAsia="zh-CN" w:bidi="ar"/>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24"/>
                      <w:szCs w:val="24"/>
                      <w:u w:val="none"/>
                      <w:lang w:val="en-US" w:eastAsia="zh-CN" w:bidi="ar"/>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24"/>
                      <w:szCs w:val="24"/>
                      <w:u w:val="none"/>
                      <w:lang w:val="en-US" w:eastAsia="zh-CN" w:bidi="ar"/>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24"/>
                      <w:szCs w:val="24"/>
                      <w:u w:val="none"/>
                      <w:lang w:val="en-US" w:eastAsia="zh-CN" w:bidi="ar"/>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rPr>
          <w:rFonts w:hAnsi="楷体" w:eastAsia="楷体"/>
        </w:rPr>
      </w:pPr>
      <w:r>
        <w:rPr>
          <w:rFonts w:hint="eastAsia" w:hAnsi="楷体" w:eastAsia="楷体"/>
          <w:sz w:val="24"/>
          <w:szCs w:val="24"/>
          <w:lang w:val="en-US" w:eastAsia="zh-CN"/>
        </w:rPr>
        <w:t>注：</w:t>
      </w:r>
      <w:r>
        <w:rPr>
          <w:rFonts w:hAnsi="楷体" w:eastAsia="楷体"/>
          <w:sz w:val="24"/>
          <w:szCs w:val="24"/>
        </w:rPr>
        <w:t>功能科目填列至项级。</w:t>
      </w: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441.53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441.53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365.87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365.87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441.53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441.53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39.29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39.29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13.79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13.79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22.58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22.58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441.53</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441.53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441.53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441.53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365.87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262.54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221.02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41.52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103.34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365.87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262.54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221.02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41.52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103.34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365.87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262.54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221.02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41.52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103.34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39.29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39.29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39.29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39.29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39.29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39.29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31.75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31.75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31.75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7.55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7.55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7.55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13.79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13.79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13.79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13.79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13.79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13.79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13.59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13.59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13.59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0.20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0.20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0.20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szCs w:val="20"/>
                    </w:rPr>
                  </w:pPr>
                  <w:r>
                    <w:rPr>
                      <w:rFonts w:hint="default" w:ascii="Verdana" w:hAnsi="Verdana" w:eastAsia="宋体" w:cs="Verdana"/>
                      <w:i w:val="0"/>
                      <w:iCs w:val="0"/>
                      <w:color w:val="000000"/>
                      <w:kern w:val="0"/>
                      <w:sz w:val="20"/>
                      <w:szCs w:val="20"/>
                      <w:u w:val="none"/>
                      <w:lang w:val="en-US" w:eastAsia="zh-CN" w:bidi="ar"/>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441.53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338.19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296.67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41.52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103.34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xml:space="preserve">89.11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89.11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xml:space="preserve">77.10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77.10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xml:space="preserve">41.92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41.92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xml:space="preserve">31.75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31.75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xml:space="preserve">7.55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7.55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xml:space="preserve">13.59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13.59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xml:space="preserve">0.20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0.20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xml:space="preserve">22.58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22.58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xml:space="preserve">2.59 </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2.59 </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xml:space="preserve">12.60 </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12.60 </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xml:space="preserve">5.00 </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5.00 </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xml:space="preserve">10.00 </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10.00 </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xml:space="preserve">13.92 </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13.92 </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xml:space="preserve">10.29 </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10.29 </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 </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szCs w:val="20"/>
              </w:rPr>
            </w:pPr>
            <w:r>
              <w:rPr>
                <w:rFonts w:hint="default" w:ascii="Verdana" w:hAnsi="Verdana" w:eastAsia="宋体" w:cs="Verdana"/>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szCs w:val="20"/>
              </w:rPr>
            </w:pPr>
            <w:r>
              <w:rPr>
                <w:rFonts w:hint="default" w:ascii="Verdana" w:hAnsi="Verdana" w:eastAsia="宋体" w:cs="Verdana"/>
                <w:i w:val="0"/>
                <w:iCs w:val="0"/>
                <w:color w:val="000000"/>
                <w:kern w:val="0"/>
                <w:sz w:val="20"/>
                <w:szCs w:val="20"/>
                <w:u w:val="none"/>
                <w:lang w:val="en-US" w:eastAsia="zh-CN" w:bidi="ar"/>
              </w:rPr>
              <w:t xml:space="preserve">338.19 </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296.67 </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sz w:val="20"/>
                <w:szCs w:val="20"/>
              </w:rPr>
            </w:pPr>
            <w:r>
              <w:rPr>
                <w:rFonts w:hint="default" w:ascii="Verdana" w:hAnsi="Verdana" w:eastAsia="宋体" w:cs="Verdana"/>
                <w:i w:val="0"/>
                <w:iCs w:val="0"/>
                <w:color w:val="000000"/>
                <w:kern w:val="0"/>
                <w:sz w:val="20"/>
                <w:szCs w:val="20"/>
                <w:u w:val="none"/>
                <w:lang w:val="en-US" w:eastAsia="zh-CN" w:bidi="ar"/>
              </w:rPr>
              <w:t xml:space="preserve">41.52 </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szCs w:val="20"/>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szCs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tabs>
                <w:tab w:val="center" w:pos="775"/>
                <w:tab w:val="right" w:pos="1430"/>
              </w:tabs>
              <w:jc w:val="left"/>
              <w:rPr>
                <w:rFonts w:hint="default" w:eastAsia="宋体"/>
                <w:color w:val="000000"/>
                <w:kern w:val="0"/>
                <w:sz w:val="20"/>
                <w:lang w:val="en-US" w:eastAsia="zh-CN"/>
              </w:rPr>
            </w:pPr>
            <w:r>
              <w:rPr>
                <w:rFonts w:hint="eastAsia" w:eastAsia="宋体"/>
                <w:color w:val="000000"/>
                <w:kern w:val="0"/>
                <w:sz w:val="20"/>
                <w:lang w:val="en-US" w:eastAsia="zh-CN"/>
              </w:rPr>
              <w:tab/>
            </w:r>
            <w:r>
              <w:rPr>
                <w:rFonts w:hint="eastAsia" w:eastAsia="宋体"/>
                <w:color w:val="000000"/>
                <w:kern w:val="0"/>
                <w:sz w:val="20"/>
                <w:lang w:val="en-US" w:eastAsia="zh-CN"/>
              </w:rPr>
              <w:t>10.00</w:t>
            </w:r>
            <w:r>
              <w:rPr>
                <w:rFonts w:hint="eastAsia" w:eastAsia="宋体"/>
                <w:color w:val="000000"/>
                <w:kern w:val="0"/>
                <w:sz w:val="20"/>
                <w:lang w:val="en-US" w:eastAsia="zh-CN"/>
              </w:rPr>
              <w:tab/>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hint="eastAsia" w:eastAsia="宋体"/>
                <w:color w:val="000000"/>
                <w:kern w:val="0"/>
                <w:sz w:val="20"/>
                <w:lang w:val="en-US" w:eastAsia="zh-CN"/>
              </w:rPr>
              <w:t>10.00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10.00</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hint="eastAsia" w:eastAsia="宋体"/>
                <w:color w:val="000000"/>
                <w:kern w:val="0"/>
                <w:sz w:val="20"/>
                <w:lang w:val="en-US" w:eastAsia="zh-CN"/>
              </w:rPr>
              <w:t>10.00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10.00</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hint="eastAsia" w:eastAsia="宋体"/>
                <w:color w:val="000000"/>
                <w:kern w:val="0"/>
                <w:sz w:val="20"/>
                <w:lang w:val="en-US" w:eastAsia="zh-CN"/>
              </w:rPr>
              <w:t>10.00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23</w:t>
            </w:r>
            <w:r>
              <w:rPr>
                <w:color w:val="000000"/>
                <w:kern w:val="0"/>
                <w:sz w:val="28"/>
                <w:szCs w:val="28"/>
              </w:rPr>
              <w:t>人，其中：在职人员</w:t>
            </w:r>
            <w:r>
              <w:rPr>
                <w:rFonts w:hint="eastAsia" w:eastAsia="宋体"/>
                <w:color w:val="000000"/>
                <w:kern w:val="0"/>
                <w:sz w:val="28"/>
                <w:szCs w:val="28"/>
                <w:u w:val="single"/>
                <w:lang w:val="en-US" w:eastAsia="zh-CN"/>
              </w:rPr>
              <w:t>23</w:t>
            </w:r>
            <w:r>
              <w:rPr>
                <w:color w:val="000000"/>
                <w:kern w:val="0"/>
                <w:sz w:val="28"/>
                <w:szCs w:val="28"/>
              </w:rPr>
              <w:t>人，离退休人员</w:t>
            </w:r>
            <w:r>
              <w:rPr>
                <w:rFonts w:hint="eastAsia" w:eastAsia="宋体"/>
                <w:color w:val="000000"/>
                <w:kern w:val="0"/>
                <w:sz w:val="28"/>
                <w:szCs w:val="28"/>
                <w:u w:val="single"/>
                <w:lang w:val="en-US" w:eastAsia="zh-CN"/>
              </w:rPr>
              <w:t>17</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320" w:tblpY="2363"/>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590"/>
        <w:gridCol w:w="615"/>
        <w:gridCol w:w="400"/>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59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36"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59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36"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590" w:type="dxa"/>
            <w:vMerge w:val="continue"/>
            <w:noWrap w:val="0"/>
            <w:vAlign w:val="center"/>
          </w:tcPr>
          <w:p>
            <w:pPr>
              <w:autoSpaceDN w:val="0"/>
              <w:jc w:val="center"/>
              <w:textAlignment w:val="center"/>
              <w:rPr>
                <w:rFonts w:ascii="Calibri" w:hAnsi="Calibri" w:eastAsia="华文细黑"/>
                <w:color w:val="000000"/>
                <w:sz w:val="20"/>
                <w:szCs w:val="22"/>
              </w:rPr>
            </w:pPr>
          </w:p>
        </w:tc>
        <w:tc>
          <w:tcPr>
            <w:tcW w:w="61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0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20"/>
                <w:szCs w:val="20"/>
                <w:u w:val="none"/>
                <w:lang w:val="en-US" w:eastAsia="zh-CN" w:bidi="ar"/>
              </w:rPr>
              <w:t>边昭镇乡镇转移支付资金1.3（326474）</w:t>
            </w: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20"/>
                <w:szCs w:val="20"/>
                <w:u w:val="none"/>
                <w:lang w:val="en-US" w:eastAsia="zh-CN" w:bidi="ar"/>
              </w:rPr>
              <w:t>边昭镇乡镇转移支付资金1.3（326474）</w:t>
            </w:r>
          </w:p>
        </w:tc>
        <w:tc>
          <w:tcPr>
            <w:tcW w:w="864"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20"/>
                <w:szCs w:val="20"/>
                <w:u w:val="none"/>
                <w:lang w:val="en-US" w:eastAsia="zh-CN" w:bidi="ar"/>
              </w:rPr>
              <w:t>通榆县边昭镇人民政府</w:t>
            </w:r>
          </w:p>
        </w:tc>
        <w:tc>
          <w:tcPr>
            <w:tcW w:w="590" w:type="dxa"/>
            <w:noWrap w:val="0"/>
            <w:vAlign w:val="center"/>
          </w:tcPr>
          <w:p>
            <w:pPr>
              <w:keepNext w:val="0"/>
              <w:keepLines w:val="0"/>
              <w:widowControl/>
              <w:suppressLineNumbers w:val="0"/>
              <w:jc w:val="right"/>
              <w:textAlignment w:val="center"/>
              <w:rPr>
                <w:rFonts w:ascii="Calibri" w:hAnsi="Calibri" w:eastAsia="楷体"/>
                <w:kern w:val="0"/>
                <w:sz w:val="20"/>
                <w:szCs w:val="20"/>
              </w:rPr>
            </w:pPr>
            <w:r>
              <w:rPr>
                <w:rFonts w:hint="default" w:ascii="Verdana" w:hAnsi="Verdana" w:eastAsia="宋体" w:cs="Verdana"/>
                <w:i w:val="0"/>
                <w:iCs w:val="0"/>
                <w:color w:val="000000"/>
                <w:kern w:val="0"/>
                <w:sz w:val="20"/>
                <w:szCs w:val="20"/>
                <w:u w:val="none"/>
                <w:lang w:val="en-US" w:eastAsia="zh-CN" w:bidi="ar"/>
              </w:rPr>
              <w:t>32.6</w:t>
            </w:r>
            <w:r>
              <w:rPr>
                <w:rFonts w:hint="eastAsia" w:ascii="Verdana" w:hAnsi="Verdana" w:eastAsia="宋体" w:cs="Verdana"/>
                <w:i w:val="0"/>
                <w:iCs w:val="0"/>
                <w:color w:val="000000"/>
                <w:kern w:val="0"/>
                <w:sz w:val="20"/>
                <w:szCs w:val="20"/>
                <w:u w:val="none"/>
                <w:lang w:val="en-US" w:eastAsia="zh-CN" w:bidi="ar"/>
              </w:rPr>
              <w:t>5</w:t>
            </w:r>
          </w:p>
        </w:tc>
        <w:tc>
          <w:tcPr>
            <w:tcW w:w="615" w:type="dxa"/>
            <w:noWrap w:val="0"/>
            <w:vAlign w:val="center"/>
          </w:tcPr>
          <w:p>
            <w:pPr>
              <w:keepNext w:val="0"/>
              <w:keepLines w:val="0"/>
              <w:widowControl/>
              <w:suppressLineNumbers w:val="0"/>
              <w:jc w:val="right"/>
              <w:textAlignment w:val="center"/>
              <w:rPr>
                <w:rFonts w:ascii="Calibri" w:hAnsi="Calibri" w:eastAsia="楷体"/>
                <w:kern w:val="0"/>
                <w:sz w:val="20"/>
                <w:szCs w:val="20"/>
              </w:rPr>
            </w:pPr>
            <w:r>
              <w:rPr>
                <w:rFonts w:hint="default" w:ascii="Verdana" w:hAnsi="Verdana" w:eastAsia="宋体" w:cs="Verdana"/>
                <w:i w:val="0"/>
                <w:iCs w:val="0"/>
                <w:color w:val="000000"/>
                <w:kern w:val="0"/>
                <w:sz w:val="20"/>
                <w:szCs w:val="20"/>
                <w:u w:val="none"/>
                <w:lang w:val="en-US" w:eastAsia="zh-CN" w:bidi="ar"/>
              </w:rPr>
              <w:t>32.6</w:t>
            </w:r>
            <w:r>
              <w:rPr>
                <w:rFonts w:hint="eastAsia" w:ascii="Verdana" w:hAnsi="Verdana" w:eastAsia="宋体" w:cs="Verdana"/>
                <w:i w:val="0"/>
                <w:iCs w:val="0"/>
                <w:color w:val="000000"/>
                <w:kern w:val="0"/>
                <w:sz w:val="20"/>
                <w:szCs w:val="20"/>
                <w:u w:val="none"/>
                <w:lang w:val="en-US" w:eastAsia="zh-CN" w:bidi="ar"/>
              </w:rPr>
              <w:t>5</w:t>
            </w:r>
          </w:p>
        </w:tc>
        <w:tc>
          <w:tcPr>
            <w:tcW w:w="400"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21" w:type="dxa"/>
            <w:noWrap w:val="0"/>
            <w:vAlign w:val="center"/>
          </w:tcPr>
          <w:p>
            <w:pPr>
              <w:jc w:val="left"/>
              <w:rPr>
                <w:rFonts w:ascii="Calibri" w:hAnsi="Calibri" w:eastAsia="楷体"/>
                <w:kern w:val="0"/>
                <w:szCs w:val="32"/>
              </w:rPr>
            </w:pPr>
          </w:p>
        </w:tc>
        <w:tc>
          <w:tcPr>
            <w:tcW w:w="564" w:type="dxa"/>
            <w:noWrap w:val="0"/>
            <w:vAlign w:val="center"/>
          </w:tcPr>
          <w:p>
            <w:pPr>
              <w:jc w:val="left"/>
              <w:rPr>
                <w:rFonts w:ascii="Calibri" w:hAnsi="Calibri" w:eastAsia="楷体"/>
                <w:kern w:val="0"/>
                <w:szCs w:val="32"/>
              </w:rPr>
            </w:pPr>
          </w:p>
        </w:tc>
        <w:tc>
          <w:tcPr>
            <w:tcW w:w="532"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598"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keepNext w:val="0"/>
              <w:keepLines w:val="0"/>
              <w:widowControl/>
              <w:suppressLineNumbers w:val="0"/>
              <w:jc w:val="left"/>
              <w:textAlignment w:val="center"/>
              <w:rPr>
                <w:rFonts w:ascii="Calibri" w:hAnsi="Calibri" w:eastAsia="楷体" w:cs="Times New Roman"/>
                <w:kern w:val="0"/>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边昭镇大学生村官工资1.3（330348）</w:t>
            </w:r>
          </w:p>
        </w:tc>
        <w:tc>
          <w:tcPr>
            <w:tcW w:w="1107" w:type="dxa"/>
            <w:noWrap w:val="0"/>
            <w:vAlign w:val="center"/>
          </w:tcPr>
          <w:p>
            <w:pPr>
              <w:keepNext w:val="0"/>
              <w:keepLines w:val="0"/>
              <w:widowControl/>
              <w:suppressLineNumbers w:val="0"/>
              <w:jc w:val="left"/>
              <w:textAlignment w:val="center"/>
              <w:rPr>
                <w:rFonts w:ascii="Calibri" w:hAnsi="Calibri" w:eastAsia="楷体" w:cs="Times New Roman"/>
                <w:kern w:val="0"/>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边昭镇大学生村官工资1.3（330348）</w:t>
            </w:r>
          </w:p>
        </w:tc>
        <w:tc>
          <w:tcPr>
            <w:tcW w:w="864" w:type="dxa"/>
            <w:noWrap w:val="0"/>
            <w:vAlign w:val="center"/>
          </w:tcPr>
          <w:p>
            <w:pPr>
              <w:keepNext w:val="0"/>
              <w:keepLines w:val="0"/>
              <w:widowControl/>
              <w:suppressLineNumbers w:val="0"/>
              <w:jc w:val="left"/>
              <w:textAlignment w:val="center"/>
              <w:rPr>
                <w:rFonts w:ascii="Calibri" w:hAnsi="Calibri" w:eastAsia="楷体" w:cs="Times New Roman"/>
                <w:kern w:val="0"/>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通榆县边昭镇人民政府</w:t>
            </w:r>
          </w:p>
        </w:tc>
        <w:tc>
          <w:tcPr>
            <w:tcW w:w="590" w:type="dxa"/>
            <w:noWrap w:val="0"/>
            <w:vAlign w:val="center"/>
          </w:tcPr>
          <w:p>
            <w:pPr>
              <w:keepNext w:val="0"/>
              <w:keepLines w:val="0"/>
              <w:widowControl/>
              <w:suppressLineNumbers w:val="0"/>
              <w:jc w:val="right"/>
              <w:textAlignment w:val="center"/>
              <w:rPr>
                <w:rFonts w:hint="default" w:ascii="Calibri" w:hAnsi="Calibri" w:eastAsia="楷体" w:cs="Times New Roman"/>
                <w:kern w:val="0"/>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33.0</w:t>
            </w:r>
            <w:r>
              <w:rPr>
                <w:rFonts w:hint="eastAsia" w:ascii="Verdana" w:hAnsi="Verdana" w:eastAsia="宋体" w:cs="Verdana"/>
                <w:i w:val="0"/>
                <w:iCs w:val="0"/>
                <w:color w:val="000000"/>
                <w:kern w:val="0"/>
                <w:sz w:val="20"/>
                <w:szCs w:val="20"/>
                <w:u w:val="none"/>
                <w:lang w:val="en-US" w:eastAsia="zh-CN" w:bidi="ar"/>
              </w:rPr>
              <w:t>4</w:t>
            </w:r>
          </w:p>
        </w:tc>
        <w:tc>
          <w:tcPr>
            <w:tcW w:w="615" w:type="dxa"/>
            <w:noWrap w:val="0"/>
            <w:vAlign w:val="center"/>
          </w:tcPr>
          <w:p>
            <w:pPr>
              <w:keepNext w:val="0"/>
              <w:keepLines w:val="0"/>
              <w:widowControl/>
              <w:suppressLineNumbers w:val="0"/>
              <w:jc w:val="right"/>
              <w:textAlignment w:val="center"/>
              <w:rPr>
                <w:rFonts w:hint="default" w:ascii="Calibri" w:hAnsi="Calibri" w:eastAsia="楷体" w:cs="Times New Roman"/>
                <w:kern w:val="0"/>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33.0</w:t>
            </w:r>
            <w:r>
              <w:rPr>
                <w:rFonts w:hint="eastAsia" w:ascii="Verdana" w:hAnsi="Verdana" w:eastAsia="宋体" w:cs="Verdana"/>
                <w:i w:val="0"/>
                <w:iCs w:val="0"/>
                <w:color w:val="000000"/>
                <w:kern w:val="0"/>
                <w:sz w:val="20"/>
                <w:szCs w:val="20"/>
                <w:u w:val="none"/>
                <w:lang w:val="en-US" w:eastAsia="zh-CN" w:bidi="ar"/>
              </w:rPr>
              <w:t>4</w:t>
            </w:r>
          </w:p>
        </w:tc>
        <w:tc>
          <w:tcPr>
            <w:tcW w:w="400" w:type="dxa"/>
            <w:noWrap w:val="0"/>
            <w:vAlign w:val="center"/>
          </w:tcPr>
          <w:p>
            <w:pPr>
              <w:jc w:val="left"/>
              <w:rPr>
                <w:rFonts w:ascii="Calibri" w:hAnsi="Calibri" w:eastAsia="楷体"/>
                <w:kern w:val="0"/>
                <w:szCs w:val="32"/>
              </w:rPr>
            </w:pPr>
          </w:p>
        </w:tc>
        <w:tc>
          <w:tcPr>
            <w:tcW w:w="521"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64"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32"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598"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keepNext w:val="0"/>
              <w:keepLines w:val="0"/>
              <w:widowControl/>
              <w:suppressLineNumbers w:val="0"/>
              <w:jc w:val="left"/>
              <w:textAlignment w:val="center"/>
              <w:rPr>
                <w:rFonts w:ascii="Calibri" w:hAnsi="Calibri" w:eastAsia="华文细黑" w:cs="Times New Roman"/>
                <w:color w:val="000000"/>
                <w:kern w:val="2"/>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边昭镇辅助岗位人员工资1.5（304568）</w:t>
            </w:r>
          </w:p>
        </w:tc>
        <w:tc>
          <w:tcPr>
            <w:tcW w:w="1107" w:type="dxa"/>
            <w:noWrap w:val="0"/>
            <w:vAlign w:val="center"/>
          </w:tcPr>
          <w:p>
            <w:pPr>
              <w:keepNext w:val="0"/>
              <w:keepLines w:val="0"/>
              <w:widowControl/>
              <w:suppressLineNumbers w:val="0"/>
              <w:jc w:val="left"/>
              <w:textAlignment w:val="center"/>
              <w:rPr>
                <w:rFonts w:ascii="Calibri" w:hAnsi="Calibri" w:eastAsia="楷体" w:cs="Times New Roman"/>
                <w:kern w:val="0"/>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边昭镇辅助岗位人员工资1.5（304568）</w:t>
            </w:r>
          </w:p>
        </w:tc>
        <w:tc>
          <w:tcPr>
            <w:tcW w:w="864" w:type="dxa"/>
            <w:noWrap w:val="0"/>
            <w:vAlign w:val="center"/>
          </w:tcPr>
          <w:p>
            <w:pPr>
              <w:keepNext w:val="0"/>
              <w:keepLines w:val="0"/>
              <w:widowControl/>
              <w:suppressLineNumbers w:val="0"/>
              <w:jc w:val="left"/>
              <w:textAlignment w:val="center"/>
              <w:rPr>
                <w:rFonts w:ascii="Calibri" w:hAnsi="Calibri" w:eastAsia="楷体" w:cs="Times New Roman"/>
                <w:kern w:val="0"/>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通榆县边昭镇人民政府</w:t>
            </w:r>
          </w:p>
        </w:tc>
        <w:tc>
          <w:tcPr>
            <w:tcW w:w="590" w:type="dxa"/>
            <w:noWrap w:val="0"/>
            <w:vAlign w:val="center"/>
          </w:tcPr>
          <w:p>
            <w:pPr>
              <w:keepNext w:val="0"/>
              <w:keepLines w:val="0"/>
              <w:widowControl/>
              <w:suppressLineNumbers w:val="0"/>
              <w:jc w:val="right"/>
              <w:textAlignment w:val="center"/>
              <w:rPr>
                <w:rFonts w:ascii="Calibri" w:hAnsi="Calibri" w:eastAsia="楷体" w:cs="Times New Roman"/>
                <w:kern w:val="0"/>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30.4</w:t>
            </w:r>
            <w:r>
              <w:rPr>
                <w:rFonts w:hint="eastAsia" w:ascii="Verdana" w:hAnsi="Verdana" w:eastAsia="宋体" w:cs="Verdana"/>
                <w:i w:val="0"/>
                <w:iCs w:val="0"/>
                <w:color w:val="000000"/>
                <w:kern w:val="0"/>
                <w:sz w:val="20"/>
                <w:szCs w:val="20"/>
                <w:u w:val="none"/>
                <w:lang w:val="en-US" w:eastAsia="zh-CN" w:bidi="ar"/>
              </w:rPr>
              <w:t>6</w:t>
            </w:r>
          </w:p>
        </w:tc>
        <w:tc>
          <w:tcPr>
            <w:tcW w:w="615" w:type="dxa"/>
            <w:noWrap w:val="0"/>
            <w:vAlign w:val="center"/>
          </w:tcPr>
          <w:p>
            <w:pPr>
              <w:keepNext w:val="0"/>
              <w:keepLines w:val="0"/>
              <w:widowControl/>
              <w:suppressLineNumbers w:val="0"/>
              <w:jc w:val="right"/>
              <w:textAlignment w:val="center"/>
              <w:rPr>
                <w:rFonts w:ascii="Calibri" w:hAnsi="Calibri" w:eastAsia="楷体" w:cs="Times New Roman"/>
                <w:kern w:val="0"/>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30.4</w:t>
            </w:r>
            <w:r>
              <w:rPr>
                <w:rFonts w:hint="eastAsia" w:ascii="Verdana" w:hAnsi="Verdana" w:eastAsia="宋体" w:cs="Verdana"/>
                <w:i w:val="0"/>
                <w:iCs w:val="0"/>
                <w:color w:val="000000"/>
                <w:kern w:val="0"/>
                <w:sz w:val="20"/>
                <w:szCs w:val="20"/>
                <w:u w:val="none"/>
                <w:lang w:val="en-US" w:eastAsia="zh-CN" w:bidi="ar"/>
              </w:rPr>
              <w:t>6</w:t>
            </w:r>
          </w:p>
        </w:tc>
        <w:tc>
          <w:tcPr>
            <w:tcW w:w="400"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21" w:type="dxa"/>
            <w:noWrap w:val="0"/>
            <w:vAlign w:val="center"/>
          </w:tcPr>
          <w:p>
            <w:pPr>
              <w:jc w:val="left"/>
              <w:rPr>
                <w:rFonts w:ascii="Calibri" w:hAnsi="Calibri" w:eastAsia="楷体"/>
                <w:kern w:val="0"/>
                <w:szCs w:val="32"/>
              </w:rPr>
            </w:pPr>
          </w:p>
        </w:tc>
        <w:tc>
          <w:tcPr>
            <w:tcW w:w="564" w:type="dxa"/>
            <w:noWrap w:val="0"/>
            <w:vAlign w:val="center"/>
          </w:tcPr>
          <w:p>
            <w:pPr>
              <w:jc w:val="left"/>
              <w:rPr>
                <w:rFonts w:ascii="Calibri" w:hAnsi="Calibri" w:eastAsia="楷体"/>
                <w:kern w:val="0"/>
                <w:szCs w:val="32"/>
              </w:rPr>
            </w:pPr>
          </w:p>
        </w:tc>
        <w:tc>
          <w:tcPr>
            <w:tcW w:w="532"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598"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keepNext w:val="0"/>
              <w:keepLines w:val="0"/>
              <w:widowControl/>
              <w:suppressLineNumbers w:val="0"/>
              <w:jc w:val="left"/>
              <w:textAlignment w:val="center"/>
              <w:rPr>
                <w:rFonts w:ascii="Calibri" w:hAnsi="Calibri" w:eastAsia="华文细黑" w:cs="Times New Roman"/>
                <w:color w:val="000000"/>
                <w:kern w:val="2"/>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边昭镇驻村工作队生活补贴1.3（72000）</w:t>
            </w:r>
          </w:p>
        </w:tc>
        <w:tc>
          <w:tcPr>
            <w:tcW w:w="1107" w:type="dxa"/>
            <w:noWrap w:val="0"/>
            <w:vAlign w:val="center"/>
          </w:tcPr>
          <w:p>
            <w:pPr>
              <w:keepNext w:val="0"/>
              <w:keepLines w:val="0"/>
              <w:widowControl/>
              <w:suppressLineNumbers w:val="0"/>
              <w:jc w:val="left"/>
              <w:textAlignment w:val="center"/>
              <w:rPr>
                <w:rFonts w:ascii="Calibri" w:hAnsi="Calibri" w:eastAsia="楷体" w:cs="Times New Roman"/>
                <w:kern w:val="0"/>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边昭镇驻村工作队生活补贴1.3（72000）</w:t>
            </w:r>
          </w:p>
        </w:tc>
        <w:tc>
          <w:tcPr>
            <w:tcW w:w="864" w:type="dxa"/>
            <w:noWrap w:val="0"/>
            <w:vAlign w:val="center"/>
          </w:tcPr>
          <w:p>
            <w:pPr>
              <w:keepNext w:val="0"/>
              <w:keepLines w:val="0"/>
              <w:widowControl/>
              <w:suppressLineNumbers w:val="0"/>
              <w:jc w:val="left"/>
              <w:textAlignment w:val="center"/>
              <w:rPr>
                <w:rFonts w:ascii="Calibri" w:hAnsi="Calibri" w:eastAsia="楷体" w:cs="Times New Roman"/>
                <w:kern w:val="0"/>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通榆县边昭镇人民政府</w:t>
            </w:r>
          </w:p>
        </w:tc>
        <w:tc>
          <w:tcPr>
            <w:tcW w:w="590" w:type="dxa"/>
            <w:noWrap w:val="0"/>
            <w:vAlign w:val="center"/>
          </w:tcPr>
          <w:p>
            <w:pPr>
              <w:keepNext w:val="0"/>
              <w:keepLines w:val="0"/>
              <w:widowControl/>
              <w:suppressLineNumbers w:val="0"/>
              <w:jc w:val="right"/>
              <w:textAlignment w:val="center"/>
              <w:rPr>
                <w:rFonts w:hint="default" w:ascii="Calibri" w:hAnsi="Calibri" w:eastAsia="楷体" w:cs="Times New Roman"/>
                <w:kern w:val="0"/>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7.2</w:t>
            </w:r>
            <w:r>
              <w:rPr>
                <w:rFonts w:hint="eastAsia" w:ascii="Verdana" w:hAnsi="Verdana" w:eastAsia="宋体" w:cs="Verdana"/>
                <w:i w:val="0"/>
                <w:iCs w:val="0"/>
                <w:color w:val="000000"/>
                <w:kern w:val="0"/>
                <w:sz w:val="20"/>
                <w:szCs w:val="20"/>
                <w:u w:val="none"/>
                <w:lang w:val="en-US" w:eastAsia="zh-CN" w:bidi="ar"/>
              </w:rPr>
              <w:t>0</w:t>
            </w:r>
          </w:p>
        </w:tc>
        <w:tc>
          <w:tcPr>
            <w:tcW w:w="615" w:type="dxa"/>
            <w:noWrap w:val="0"/>
            <w:vAlign w:val="center"/>
          </w:tcPr>
          <w:p>
            <w:pPr>
              <w:keepNext w:val="0"/>
              <w:keepLines w:val="0"/>
              <w:widowControl/>
              <w:suppressLineNumbers w:val="0"/>
              <w:jc w:val="right"/>
              <w:textAlignment w:val="center"/>
              <w:rPr>
                <w:rFonts w:hint="default" w:ascii="Calibri" w:hAnsi="Calibri" w:eastAsia="楷体" w:cs="Times New Roman"/>
                <w:kern w:val="0"/>
                <w:sz w:val="20"/>
                <w:szCs w:val="20"/>
                <w:lang w:val="en-US" w:eastAsia="zh-CN" w:bidi="ar-SA"/>
              </w:rPr>
            </w:pPr>
            <w:r>
              <w:rPr>
                <w:rFonts w:hint="default" w:ascii="Verdana" w:hAnsi="Verdana" w:eastAsia="宋体" w:cs="Verdana"/>
                <w:i w:val="0"/>
                <w:iCs w:val="0"/>
                <w:color w:val="000000"/>
                <w:kern w:val="0"/>
                <w:sz w:val="20"/>
                <w:szCs w:val="20"/>
                <w:u w:val="none"/>
                <w:lang w:val="en-US" w:eastAsia="zh-CN" w:bidi="ar"/>
              </w:rPr>
              <w:t>7.2</w:t>
            </w:r>
            <w:r>
              <w:rPr>
                <w:rFonts w:hint="eastAsia" w:ascii="Verdana" w:hAnsi="Verdana" w:eastAsia="宋体" w:cs="Verdana"/>
                <w:i w:val="0"/>
                <w:iCs w:val="0"/>
                <w:color w:val="000000"/>
                <w:kern w:val="0"/>
                <w:sz w:val="20"/>
                <w:szCs w:val="20"/>
                <w:u w:val="none"/>
                <w:lang w:val="en-US" w:eastAsia="zh-CN" w:bidi="ar"/>
              </w:rPr>
              <w:t>0</w:t>
            </w:r>
          </w:p>
        </w:tc>
        <w:tc>
          <w:tcPr>
            <w:tcW w:w="400" w:type="dxa"/>
            <w:noWrap w:val="0"/>
            <w:vAlign w:val="center"/>
          </w:tcPr>
          <w:p>
            <w:pPr>
              <w:jc w:val="left"/>
              <w:rPr>
                <w:rFonts w:ascii="Calibri" w:hAnsi="Calibri" w:eastAsia="楷体"/>
                <w:kern w:val="0"/>
                <w:szCs w:val="32"/>
              </w:rPr>
            </w:pPr>
          </w:p>
        </w:tc>
        <w:tc>
          <w:tcPr>
            <w:tcW w:w="521"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64"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32"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598"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keepNext w:val="0"/>
              <w:keepLines w:val="0"/>
              <w:widowControl/>
              <w:suppressLineNumbers w:val="0"/>
              <w:jc w:val="left"/>
              <w:textAlignment w:val="center"/>
              <w:rPr>
                <w:rFonts w:ascii="Calibri" w:hAnsi="Calibri" w:eastAsia="华文细黑" w:cs="Times New Roman"/>
                <w:color w:val="000000"/>
                <w:kern w:val="2"/>
                <w:sz w:val="20"/>
                <w:szCs w:val="20"/>
                <w:lang w:val="en-US" w:eastAsia="zh-CN" w:bidi="ar-SA"/>
              </w:rPr>
            </w:pPr>
          </w:p>
        </w:tc>
        <w:tc>
          <w:tcPr>
            <w:tcW w:w="1107" w:type="dxa"/>
            <w:noWrap w:val="0"/>
            <w:vAlign w:val="center"/>
          </w:tcPr>
          <w:p>
            <w:pPr>
              <w:keepNext w:val="0"/>
              <w:keepLines w:val="0"/>
              <w:widowControl/>
              <w:suppressLineNumbers w:val="0"/>
              <w:jc w:val="left"/>
              <w:textAlignment w:val="center"/>
              <w:rPr>
                <w:rFonts w:ascii="Calibri" w:hAnsi="Calibri" w:eastAsia="楷体" w:cs="Times New Roman"/>
                <w:kern w:val="0"/>
                <w:sz w:val="20"/>
                <w:szCs w:val="20"/>
                <w:lang w:val="en-US" w:eastAsia="zh-CN" w:bidi="ar-SA"/>
              </w:rPr>
            </w:pPr>
          </w:p>
        </w:tc>
        <w:tc>
          <w:tcPr>
            <w:tcW w:w="864" w:type="dxa"/>
            <w:noWrap w:val="0"/>
            <w:vAlign w:val="center"/>
          </w:tcPr>
          <w:p>
            <w:pPr>
              <w:keepNext w:val="0"/>
              <w:keepLines w:val="0"/>
              <w:widowControl/>
              <w:suppressLineNumbers w:val="0"/>
              <w:jc w:val="left"/>
              <w:textAlignment w:val="center"/>
              <w:rPr>
                <w:rFonts w:ascii="Calibri" w:hAnsi="Calibri" w:eastAsia="楷体" w:cs="Times New Roman"/>
                <w:kern w:val="0"/>
                <w:sz w:val="20"/>
                <w:szCs w:val="20"/>
                <w:lang w:val="en-US" w:eastAsia="zh-CN" w:bidi="ar-SA"/>
              </w:rPr>
            </w:pPr>
          </w:p>
        </w:tc>
        <w:tc>
          <w:tcPr>
            <w:tcW w:w="590" w:type="dxa"/>
            <w:noWrap w:val="0"/>
            <w:vAlign w:val="center"/>
          </w:tcPr>
          <w:p>
            <w:pPr>
              <w:keepNext w:val="0"/>
              <w:keepLines w:val="0"/>
              <w:widowControl/>
              <w:suppressLineNumbers w:val="0"/>
              <w:jc w:val="right"/>
              <w:textAlignment w:val="center"/>
              <w:rPr>
                <w:rFonts w:ascii="Calibri" w:hAnsi="Calibri" w:eastAsia="楷体" w:cs="Times New Roman"/>
                <w:kern w:val="0"/>
                <w:sz w:val="20"/>
                <w:szCs w:val="20"/>
                <w:lang w:val="en-US" w:eastAsia="zh-CN" w:bidi="ar-SA"/>
              </w:rPr>
            </w:pPr>
          </w:p>
        </w:tc>
        <w:tc>
          <w:tcPr>
            <w:tcW w:w="615" w:type="dxa"/>
            <w:noWrap w:val="0"/>
            <w:vAlign w:val="center"/>
          </w:tcPr>
          <w:p>
            <w:pPr>
              <w:keepNext w:val="0"/>
              <w:keepLines w:val="0"/>
              <w:widowControl/>
              <w:suppressLineNumbers w:val="0"/>
              <w:jc w:val="right"/>
              <w:textAlignment w:val="center"/>
              <w:rPr>
                <w:rFonts w:ascii="Calibri" w:hAnsi="Calibri" w:eastAsia="楷体" w:cs="Times New Roman"/>
                <w:kern w:val="0"/>
                <w:sz w:val="20"/>
                <w:szCs w:val="20"/>
                <w:lang w:val="en-US" w:eastAsia="zh-CN" w:bidi="ar-SA"/>
              </w:rPr>
            </w:pPr>
          </w:p>
        </w:tc>
        <w:tc>
          <w:tcPr>
            <w:tcW w:w="400"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21" w:type="dxa"/>
            <w:noWrap w:val="0"/>
            <w:vAlign w:val="center"/>
          </w:tcPr>
          <w:p>
            <w:pPr>
              <w:jc w:val="left"/>
              <w:rPr>
                <w:rFonts w:ascii="Calibri" w:hAnsi="Calibri" w:eastAsia="楷体"/>
                <w:kern w:val="0"/>
                <w:szCs w:val="32"/>
              </w:rPr>
            </w:pPr>
          </w:p>
        </w:tc>
        <w:tc>
          <w:tcPr>
            <w:tcW w:w="564" w:type="dxa"/>
            <w:noWrap w:val="0"/>
            <w:vAlign w:val="center"/>
          </w:tcPr>
          <w:p>
            <w:pPr>
              <w:jc w:val="left"/>
              <w:rPr>
                <w:rFonts w:ascii="Calibri" w:hAnsi="Calibri" w:eastAsia="楷体"/>
                <w:kern w:val="0"/>
                <w:szCs w:val="32"/>
              </w:rPr>
            </w:pPr>
          </w:p>
        </w:tc>
        <w:tc>
          <w:tcPr>
            <w:tcW w:w="532"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598"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keepNext w:val="0"/>
              <w:keepLines w:val="0"/>
              <w:widowControl/>
              <w:suppressLineNumbers w:val="0"/>
              <w:jc w:val="left"/>
              <w:textAlignment w:val="center"/>
              <w:rPr>
                <w:rFonts w:ascii="Calibri" w:hAnsi="Calibri" w:eastAsia="华文细黑" w:cs="Times New Roman"/>
                <w:color w:val="000000"/>
                <w:kern w:val="2"/>
                <w:sz w:val="20"/>
                <w:szCs w:val="20"/>
                <w:lang w:val="en-US" w:eastAsia="zh-CN" w:bidi="ar-SA"/>
              </w:rPr>
            </w:pPr>
          </w:p>
        </w:tc>
        <w:tc>
          <w:tcPr>
            <w:tcW w:w="1107" w:type="dxa"/>
            <w:noWrap w:val="0"/>
            <w:vAlign w:val="center"/>
          </w:tcPr>
          <w:p>
            <w:pPr>
              <w:keepNext w:val="0"/>
              <w:keepLines w:val="0"/>
              <w:widowControl/>
              <w:suppressLineNumbers w:val="0"/>
              <w:jc w:val="left"/>
              <w:textAlignment w:val="center"/>
              <w:rPr>
                <w:rFonts w:ascii="Calibri" w:hAnsi="Calibri" w:eastAsia="楷体" w:cs="Times New Roman"/>
                <w:kern w:val="0"/>
                <w:sz w:val="20"/>
                <w:szCs w:val="20"/>
                <w:lang w:val="en-US" w:eastAsia="zh-CN" w:bidi="ar-SA"/>
              </w:rPr>
            </w:pPr>
          </w:p>
        </w:tc>
        <w:tc>
          <w:tcPr>
            <w:tcW w:w="864" w:type="dxa"/>
            <w:noWrap w:val="0"/>
            <w:vAlign w:val="center"/>
          </w:tcPr>
          <w:p>
            <w:pPr>
              <w:keepNext w:val="0"/>
              <w:keepLines w:val="0"/>
              <w:widowControl/>
              <w:suppressLineNumbers w:val="0"/>
              <w:jc w:val="left"/>
              <w:textAlignment w:val="center"/>
              <w:rPr>
                <w:rFonts w:ascii="Calibri" w:hAnsi="Calibri" w:eastAsia="楷体" w:cs="Times New Roman"/>
                <w:kern w:val="0"/>
                <w:sz w:val="20"/>
                <w:szCs w:val="20"/>
                <w:lang w:val="en-US" w:eastAsia="zh-CN" w:bidi="ar-SA"/>
              </w:rPr>
            </w:pPr>
          </w:p>
        </w:tc>
        <w:tc>
          <w:tcPr>
            <w:tcW w:w="590" w:type="dxa"/>
            <w:noWrap w:val="0"/>
            <w:vAlign w:val="center"/>
          </w:tcPr>
          <w:p>
            <w:pPr>
              <w:keepNext w:val="0"/>
              <w:keepLines w:val="0"/>
              <w:widowControl/>
              <w:suppressLineNumbers w:val="0"/>
              <w:jc w:val="right"/>
              <w:textAlignment w:val="center"/>
              <w:rPr>
                <w:rFonts w:ascii="Calibri" w:hAnsi="Calibri" w:eastAsia="楷体" w:cs="Times New Roman"/>
                <w:kern w:val="0"/>
                <w:sz w:val="20"/>
                <w:szCs w:val="20"/>
                <w:lang w:val="en-US" w:eastAsia="zh-CN" w:bidi="ar-SA"/>
              </w:rPr>
            </w:pPr>
          </w:p>
        </w:tc>
        <w:tc>
          <w:tcPr>
            <w:tcW w:w="615" w:type="dxa"/>
            <w:noWrap w:val="0"/>
            <w:vAlign w:val="center"/>
          </w:tcPr>
          <w:p>
            <w:pPr>
              <w:keepNext w:val="0"/>
              <w:keepLines w:val="0"/>
              <w:widowControl/>
              <w:suppressLineNumbers w:val="0"/>
              <w:jc w:val="right"/>
              <w:textAlignment w:val="center"/>
              <w:rPr>
                <w:rFonts w:ascii="Calibri" w:hAnsi="Calibri" w:eastAsia="楷体" w:cs="Times New Roman"/>
                <w:kern w:val="0"/>
                <w:sz w:val="20"/>
                <w:szCs w:val="20"/>
                <w:lang w:val="en-US" w:eastAsia="zh-CN" w:bidi="ar-SA"/>
              </w:rPr>
            </w:pPr>
          </w:p>
        </w:tc>
        <w:tc>
          <w:tcPr>
            <w:tcW w:w="400" w:type="dxa"/>
            <w:noWrap w:val="0"/>
            <w:vAlign w:val="center"/>
          </w:tcPr>
          <w:p>
            <w:pPr>
              <w:jc w:val="left"/>
              <w:rPr>
                <w:rFonts w:ascii="Calibri" w:hAnsi="Calibri" w:eastAsia="楷体"/>
                <w:kern w:val="0"/>
                <w:szCs w:val="32"/>
              </w:rPr>
            </w:pPr>
          </w:p>
        </w:tc>
        <w:tc>
          <w:tcPr>
            <w:tcW w:w="521"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64"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32"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598"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keepNext w:val="0"/>
              <w:keepLines w:val="0"/>
              <w:widowControl/>
              <w:suppressLineNumbers w:val="0"/>
              <w:jc w:val="left"/>
              <w:textAlignment w:val="center"/>
              <w:rPr>
                <w:rFonts w:ascii="Calibri" w:hAnsi="Calibri" w:eastAsia="华文细黑"/>
                <w:color w:val="000000"/>
                <w:sz w:val="20"/>
                <w:szCs w:val="20"/>
              </w:rPr>
            </w:pPr>
          </w:p>
        </w:tc>
        <w:tc>
          <w:tcPr>
            <w:tcW w:w="1107" w:type="dxa"/>
            <w:noWrap w:val="0"/>
            <w:vAlign w:val="center"/>
          </w:tcPr>
          <w:p>
            <w:pPr>
              <w:keepNext w:val="0"/>
              <w:keepLines w:val="0"/>
              <w:widowControl/>
              <w:suppressLineNumbers w:val="0"/>
              <w:jc w:val="left"/>
              <w:textAlignment w:val="center"/>
              <w:rPr>
                <w:rFonts w:ascii="Calibri" w:hAnsi="Calibri" w:eastAsia="楷体" w:cs="Times New Roman"/>
                <w:kern w:val="0"/>
                <w:sz w:val="20"/>
                <w:szCs w:val="20"/>
                <w:lang w:val="en-US" w:eastAsia="zh-CN" w:bidi="ar-SA"/>
              </w:rPr>
            </w:pPr>
          </w:p>
        </w:tc>
        <w:tc>
          <w:tcPr>
            <w:tcW w:w="864" w:type="dxa"/>
            <w:noWrap w:val="0"/>
            <w:vAlign w:val="center"/>
          </w:tcPr>
          <w:p>
            <w:pPr>
              <w:keepNext w:val="0"/>
              <w:keepLines w:val="0"/>
              <w:widowControl/>
              <w:suppressLineNumbers w:val="0"/>
              <w:jc w:val="left"/>
              <w:textAlignment w:val="center"/>
              <w:rPr>
                <w:rFonts w:ascii="Calibri" w:hAnsi="Calibri" w:eastAsia="楷体" w:cs="Times New Roman"/>
                <w:kern w:val="0"/>
                <w:sz w:val="20"/>
                <w:szCs w:val="20"/>
                <w:lang w:val="en-US" w:eastAsia="zh-CN" w:bidi="ar-SA"/>
              </w:rPr>
            </w:pPr>
          </w:p>
        </w:tc>
        <w:tc>
          <w:tcPr>
            <w:tcW w:w="590" w:type="dxa"/>
            <w:noWrap w:val="0"/>
            <w:vAlign w:val="center"/>
          </w:tcPr>
          <w:p>
            <w:pPr>
              <w:keepNext w:val="0"/>
              <w:keepLines w:val="0"/>
              <w:widowControl/>
              <w:suppressLineNumbers w:val="0"/>
              <w:jc w:val="right"/>
              <w:textAlignment w:val="center"/>
              <w:rPr>
                <w:rFonts w:ascii="Calibri" w:hAnsi="Calibri" w:eastAsia="楷体" w:cs="Times New Roman"/>
                <w:kern w:val="0"/>
                <w:sz w:val="20"/>
                <w:szCs w:val="20"/>
                <w:lang w:val="en-US" w:eastAsia="zh-CN" w:bidi="ar-SA"/>
              </w:rPr>
            </w:pPr>
          </w:p>
        </w:tc>
        <w:tc>
          <w:tcPr>
            <w:tcW w:w="615" w:type="dxa"/>
            <w:noWrap w:val="0"/>
            <w:vAlign w:val="center"/>
          </w:tcPr>
          <w:p>
            <w:pPr>
              <w:keepNext w:val="0"/>
              <w:keepLines w:val="0"/>
              <w:widowControl/>
              <w:suppressLineNumbers w:val="0"/>
              <w:jc w:val="right"/>
              <w:textAlignment w:val="center"/>
              <w:rPr>
                <w:rFonts w:ascii="Calibri" w:hAnsi="Calibri" w:eastAsia="楷体" w:cs="Times New Roman"/>
                <w:kern w:val="0"/>
                <w:sz w:val="20"/>
                <w:szCs w:val="20"/>
                <w:lang w:val="en-US" w:eastAsia="zh-CN" w:bidi="ar-SA"/>
              </w:rPr>
            </w:pPr>
          </w:p>
        </w:tc>
        <w:tc>
          <w:tcPr>
            <w:tcW w:w="400"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21" w:type="dxa"/>
            <w:noWrap w:val="0"/>
            <w:vAlign w:val="center"/>
          </w:tcPr>
          <w:p>
            <w:pPr>
              <w:jc w:val="left"/>
              <w:rPr>
                <w:rFonts w:ascii="Calibri" w:hAnsi="Calibri" w:eastAsia="楷体"/>
                <w:kern w:val="0"/>
                <w:szCs w:val="32"/>
              </w:rPr>
            </w:pPr>
          </w:p>
        </w:tc>
        <w:tc>
          <w:tcPr>
            <w:tcW w:w="564" w:type="dxa"/>
            <w:noWrap w:val="0"/>
            <w:vAlign w:val="center"/>
          </w:tcPr>
          <w:p>
            <w:pPr>
              <w:jc w:val="left"/>
              <w:rPr>
                <w:rFonts w:ascii="Calibri" w:hAnsi="Calibri" w:eastAsia="楷体"/>
                <w:kern w:val="0"/>
                <w:szCs w:val="32"/>
              </w:rPr>
            </w:pPr>
          </w:p>
        </w:tc>
        <w:tc>
          <w:tcPr>
            <w:tcW w:w="532"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598"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jc w:val="left"/>
              <w:rPr>
                <w:rFonts w:ascii="Calibri" w:hAnsi="Calibri" w:eastAsia="华文细黑"/>
                <w:color w:val="000000"/>
                <w:sz w:val="20"/>
                <w:szCs w:val="20"/>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p>
        </w:tc>
        <w:tc>
          <w:tcPr>
            <w:tcW w:w="864" w:type="dxa"/>
            <w:noWrap w:val="0"/>
            <w:vAlign w:val="center"/>
          </w:tcPr>
          <w:p>
            <w:pPr>
              <w:keepNext w:val="0"/>
              <w:keepLines w:val="0"/>
              <w:widowControl/>
              <w:suppressLineNumbers w:val="0"/>
              <w:jc w:val="left"/>
              <w:textAlignment w:val="center"/>
              <w:rPr>
                <w:rFonts w:ascii="Calibri" w:hAnsi="Calibri" w:eastAsia="楷体"/>
                <w:kern w:val="0"/>
                <w:sz w:val="20"/>
                <w:szCs w:val="20"/>
              </w:rPr>
            </w:pPr>
          </w:p>
        </w:tc>
        <w:tc>
          <w:tcPr>
            <w:tcW w:w="590" w:type="dxa"/>
            <w:noWrap w:val="0"/>
            <w:vAlign w:val="center"/>
          </w:tcPr>
          <w:p>
            <w:pPr>
              <w:keepNext w:val="0"/>
              <w:keepLines w:val="0"/>
              <w:widowControl/>
              <w:suppressLineNumbers w:val="0"/>
              <w:jc w:val="right"/>
              <w:textAlignment w:val="center"/>
              <w:rPr>
                <w:rFonts w:ascii="Calibri" w:hAnsi="Calibri" w:eastAsia="楷体"/>
                <w:kern w:val="0"/>
                <w:sz w:val="20"/>
                <w:szCs w:val="20"/>
              </w:rPr>
            </w:pPr>
          </w:p>
        </w:tc>
        <w:tc>
          <w:tcPr>
            <w:tcW w:w="615" w:type="dxa"/>
            <w:noWrap w:val="0"/>
            <w:vAlign w:val="center"/>
          </w:tcPr>
          <w:p>
            <w:pPr>
              <w:keepNext w:val="0"/>
              <w:keepLines w:val="0"/>
              <w:widowControl/>
              <w:suppressLineNumbers w:val="0"/>
              <w:jc w:val="right"/>
              <w:textAlignment w:val="center"/>
              <w:rPr>
                <w:rFonts w:ascii="Calibri" w:hAnsi="Calibri" w:eastAsia="楷体"/>
                <w:kern w:val="0"/>
                <w:sz w:val="20"/>
                <w:szCs w:val="20"/>
              </w:rPr>
            </w:pPr>
          </w:p>
        </w:tc>
        <w:tc>
          <w:tcPr>
            <w:tcW w:w="400" w:type="dxa"/>
            <w:noWrap w:val="0"/>
            <w:vAlign w:val="center"/>
          </w:tcPr>
          <w:p>
            <w:pPr>
              <w:jc w:val="left"/>
              <w:rPr>
                <w:rFonts w:ascii="Calibri" w:hAnsi="Calibri" w:eastAsia="楷体"/>
                <w:kern w:val="0"/>
                <w:szCs w:val="32"/>
              </w:rPr>
            </w:pPr>
          </w:p>
        </w:tc>
        <w:tc>
          <w:tcPr>
            <w:tcW w:w="521"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64"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32"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598"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keepNext w:val="0"/>
              <w:keepLines w:val="0"/>
              <w:widowControl/>
              <w:suppressLineNumbers w:val="0"/>
              <w:jc w:val="left"/>
              <w:textAlignment w:val="center"/>
              <w:rPr>
                <w:rFonts w:ascii="Calibri" w:hAnsi="Calibri" w:eastAsia="华文细黑"/>
                <w:color w:val="000000"/>
                <w:sz w:val="20"/>
                <w:szCs w:val="22"/>
              </w:rPr>
            </w:pPr>
          </w:p>
        </w:tc>
        <w:tc>
          <w:tcPr>
            <w:tcW w:w="1107" w:type="dxa"/>
            <w:noWrap w:val="0"/>
            <w:vAlign w:val="center"/>
          </w:tcPr>
          <w:p>
            <w:pPr>
              <w:jc w:val="left"/>
              <w:rPr>
                <w:rFonts w:ascii="Calibri" w:hAnsi="Calibri" w:eastAsia="楷体"/>
                <w:kern w:val="0"/>
                <w:szCs w:val="32"/>
              </w:rPr>
            </w:pPr>
          </w:p>
        </w:tc>
        <w:tc>
          <w:tcPr>
            <w:tcW w:w="864" w:type="dxa"/>
            <w:noWrap w:val="0"/>
            <w:vAlign w:val="center"/>
          </w:tcPr>
          <w:p>
            <w:pPr>
              <w:jc w:val="left"/>
              <w:rPr>
                <w:rFonts w:ascii="Calibri" w:hAnsi="Calibri" w:eastAsia="楷体"/>
                <w:kern w:val="0"/>
                <w:szCs w:val="32"/>
              </w:rPr>
            </w:pPr>
          </w:p>
        </w:tc>
        <w:tc>
          <w:tcPr>
            <w:tcW w:w="590"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615"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400"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21" w:type="dxa"/>
            <w:noWrap w:val="0"/>
            <w:vAlign w:val="center"/>
          </w:tcPr>
          <w:p>
            <w:pPr>
              <w:jc w:val="left"/>
              <w:rPr>
                <w:rFonts w:ascii="Calibri" w:hAnsi="Calibri" w:eastAsia="楷体"/>
                <w:kern w:val="0"/>
                <w:szCs w:val="32"/>
              </w:rPr>
            </w:pPr>
          </w:p>
        </w:tc>
        <w:tc>
          <w:tcPr>
            <w:tcW w:w="564" w:type="dxa"/>
            <w:noWrap w:val="0"/>
            <w:vAlign w:val="center"/>
          </w:tcPr>
          <w:p>
            <w:pPr>
              <w:jc w:val="left"/>
              <w:rPr>
                <w:rFonts w:ascii="Calibri" w:hAnsi="Calibri" w:eastAsia="楷体"/>
                <w:kern w:val="0"/>
                <w:szCs w:val="32"/>
              </w:rPr>
            </w:pPr>
          </w:p>
        </w:tc>
        <w:tc>
          <w:tcPr>
            <w:tcW w:w="532"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598"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jc w:val="left"/>
              <w:rPr>
                <w:rFonts w:ascii="Calibri" w:hAnsi="Calibri" w:eastAsia="华文细黑"/>
                <w:color w:val="000000"/>
                <w:sz w:val="20"/>
                <w:szCs w:val="22"/>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90"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615"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400" w:type="dxa"/>
            <w:noWrap w:val="0"/>
            <w:vAlign w:val="center"/>
          </w:tcPr>
          <w:p>
            <w:pPr>
              <w:jc w:val="left"/>
              <w:rPr>
                <w:rFonts w:ascii="Calibri" w:hAnsi="Calibri" w:eastAsia="楷体"/>
                <w:kern w:val="0"/>
                <w:szCs w:val="32"/>
              </w:rPr>
            </w:pPr>
          </w:p>
        </w:tc>
        <w:tc>
          <w:tcPr>
            <w:tcW w:w="521"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64" w:type="dxa"/>
            <w:noWrap w:val="0"/>
            <w:vAlign w:val="center"/>
          </w:tcPr>
          <w:p>
            <w:pPr>
              <w:keepNext w:val="0"/>
              <w:keepLines w:val="0"/>
              <w:widowControl/>
              <w:suppressLineNumbers w:val="0"/>
              <w:jc w:val="left"/>
              <w:textAlignment w:val="center"/>
              <w:rPr>
                <w:rFonts w:ascii="Calibri" w:hAnsi="Calibri" w:eastAsia="楷体"/>
                <w:kern w:val="0"/>
                <w:szCs w:val="32"/>
              </w:rPr>
            </w:pPr>
          </w:p>
        </w:tc>
        <w:tc>
          <w:tcPr>
            <w:tcW w:w="532"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598"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tbl>
      <w:tblPr>
        <w:tblStyle w:val="9"/>
        <w:tblW w:w="963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9"/>
        <w:gridCol w:w="1770"/>
        <w:gridCol w:w="1710"/>
        <w:gridCol w:w="2580"/>
        <w:gridCol w:w="1665"/>
        <w:gridCol w:w="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9634"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2"/>
                <w:szCs w:val="32"/>
                <w:u w:val="none"/>
              </w:rPr>
            </w:pPr>
            <w:r>
              <w:rPr>
                <w:rFonts w:hint="eastAsia" w:ascii="黑体" w:hAnsi="宋体" w:eastAsia="黑体" w:cs="黑体"/>
                <w:b/>
                <w:bCs/>
                <w:i w:val="0"/>
                <w:iCs w:val="0"/>
                <w:color w:val="000000"/>
                <w:kern w:val="0"/>
                <w:sz w:val="32"/>
                <w:szCs w:val="32"/>
                <w:u w:val="none"/>
                <w:lang w:val="en-US" w:eastAsia="zh-CN" w:bidi="ar"/>
              </w:rPr>
              <w:t>通榆县边昭镇人民政府2024年项目支出绩效目标表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19"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1770"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1710"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2580"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1665"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990" w:type="dxa"/>
            <w:tcBorders>
              <w:top w:val="nil"/>
              <w:left w:val="nil"/>
              <w:bottom w:val="nil"/>
              <w:right w:val="nil"/>
            </w:tcBorders>
            <w:shd w:val="clear" w:color="auto" w:fill="auto"/>
            <w:noWrap/>
            <w:vAlign w:val="center"/>
          </w:tcPr>
          <w:p>
            <w:pPr>
              <w:rPr>
                <w:rFonts w:hint="eastAsia" w:ascii="华文细黑" w:hAnsi="华文细黑" w:eastAsia="华文细黑" w:cs="华文细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项目名称</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 xml:space="preserve"> 边昭镇大学生村官工资1.3（330348）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项目级次</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主管部门及编码</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通榆县边昭镇人民政府-555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项目资金(万元）</w:t>
            </w: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年度资金总额</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33.03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其中：财政拨款</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33.03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 xml:space="preserve">      其他资金</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kern w:val="0"/>
                <w:sz w:val="16"/>
                <w:szCs w:val="16"/>
                <w:u w:val="none"/>
                <w:lang w:val="en-US" w:eastAsia="zh-CN" w:bidi="ar"/>
              </w:rPr>
            </w:pPr>
            <w:r>
              <w:rPr>
                <w:rFonts w:hint="default" w:ascii="华文细黑" w:hAnsi="华文细黑" w:eastAsia="华文细黑" w:cs="华文细黑"/>
                <w:i w:val="0"/>
                <w:iCs w:val="0"/>
                <w:color w:val="000000"/>
                <w:kern w:val="0"/>
                <w:sz w:val="16"/>
                <w:szCs w:val="16"/>
                <w:u w:val="none"/>
                <w:lang w:val="en-US" w:eastAsia="zh-CN" w:bidi="ar"/>
              </w:rPr>
              <w:t>年度绩效</w:t>
            </w:r>
          </w:p>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目标</w:t>
            </w:r>
          </w:p>
        </w:tc>
        <w:tc>
          <w:tcPr>
            <w:tcW w:w="871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我镇有大学生村官 7 人,现申请2024年边昭镇大学生村官工资金额为330348元。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绩效指标</w:t>
            </w: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一级指标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三级指标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指标值</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成本指标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经济成本指标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村官人均工资发放标准</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&lt;=3933元/月/人</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产出指标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大学生村官人数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=7人</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质量指标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大学生村官人员资格合格率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时效指标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工资发放及时率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效益指标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社会效益指标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办公提高效率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满意度指标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服务对象满意度指标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大学生村官人员满意度</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9634"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2"/>
                <w:szCs w:val="32"/>
                <w:u w:val="none"/>
              </w:rPr>
            </w:pPr>
            <w:r>
              <w:rPr>
                <w:rFonts w:hint="eastAsia" w:ascii="黑体" w:hAnsi="宋体" w:eastAsia="黑体" w:cs="黑体"/>
                <w:b/>
                <w:bCs/>
                <w:i w:val="0"/>
                <w:iCs w:val="0"/>
                <w:color w:val="000000"/>
                <w:kern w:val="0"/>
                <w:sz w:val="32"/>
                <w:szCs w:val="32"/>
                <w:u w:val="none"/>
                <w:lang w:val="en-US" w:eastAsia="zh-CN" w:bidi="ar"/>
              </w:rPr>
              <w:t>通榆县边昭镇人民政府2024年项目支出绩效目标表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19"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1770"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1710"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2580"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1665"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990" w:type="dxa"/>
            <w:tcBorders>
              <w:top w:val="nil"/>
              <w:left w:val="nil"/>
              <w:bottom w:val="nil"/>
              <w:right w:val="nil"/>
            </w:tcBorders>
            <w:shd w:val="clear" w:color="auto" w:fill="auto"/>
            <w:noWrap/>
            <w:vAlign w:val="center"/>
          </w:tcPr>
          <w:p>
            <w:pPr>
              <w:rPr>
                <w:rFonts w:hint="eastAsia" w:ascii="华文细黑" w:hAnsi="华文细黑" w:eastAsia="华文细黑" w:cs="华文细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项目名称</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边昭镇辅助岗位人员工资1.5（304568）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项目级次</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主管部门及编码</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通榆县边昭镇人民政府-555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项目资金(万元）</w:t>
            </w: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年度资金总额</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30.46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其中：财政拨款</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30.46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 xml:space="preserve">      其他资金</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kern w:val="0"/>
                <w:sz w:val="16"/>
                <w:szCs w:val="16"/>
                <w:u w:val="none"/>
                <w:lang w:val="en-US" w:eastAsia="zh-CN" w:bidi="ar"/>
              </w:rPr>
            </w:pPr>
            <w:r>
              <w:rPr>
                <w:rFonts w:hint="default" w:ascii="华文细黑" w:hAnsi="华文细黑" w:eastAsia="华文细黑" w:cs="华文细黑"/>
                <w:i w:val="0"/>
                <w:iCs w:val="0"/>
                <w:color w:val="000000"/>
                <w:kern w:val="0"/>
                <w:sz w:val="16"/>
                <w:szCs w:val="16"/>
                <w:u w:val="none"/>
                <w:lang w:val="en-US" w:eastAsia="zh-CN" w:bidi="ar"/>
              </w:rPr>
              <w:t>年度绩效</w:t>
            </w:r>
          </w:p>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目标</w:t>
            </w:r>
          </w:p>
        </w:tc>
        <w:tc>
          <w:tcPr>
            <w:tcW w:w="871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边昭镇有辅助岗位人员7人,现申请2024年边昭镇辅助岗位人员工资金额为304568元.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绩效指标</w:t>
            </w: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一级指标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三级指标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指标值</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成本指标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经济成本指标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辅助岗人均工资发放标准</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&lt;=3625.9元/月/人</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产出指标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边昭镇辅助岗人数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=7人</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质量指标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辅助岗人员资格合格率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时效指标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工资发放及时率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效益指标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社会效益指标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辅助岗提高效率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满意度指标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服务对象满意度指标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辅助岗位人员满意度</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9634"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2"/>
                <w:szCs w:val="32"/>
                <w:u w:val="none"/>
              </w:rPr>
            </w:pPr>
            <w:r>
              <w:rPr>
                <w:rFonts w:hint="eastAsia" w:ascii="黑体" w:hAnsi="宋体" w:eastAsia="黑体" w:cs="黑体"/>
                <w:b/>
                <w:bCs/>
                <w:i w:val="0"/>
                <w:iCs w:val="0"/>
                <w:color w:val="000000"/>
                <w:kern w:val="0"/>
                <w:sz w:val="32"/>
                <w:szCs w:val="32"/>
                <w:u w:val="none"/>
                <w:lang w:val="en-US" w:eastAsia="zh-CN" w:bidi="ar"/>
              </w:rPr>
              <w:t>通榆县边昭镇人民政府2024年项目支出绩效目标表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19"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1770"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1710"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2580"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1665"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990" w:type="dxa"/>
            <w:tcBorders>
              <w:top w:val="nil"/>
              <w:left w:val="nil"/>
              <w:bottom w:val="nil"/>
              <w:right w:val="nil"/>
            </w:tcBorders>
            <w:shd w:val="clear" w:color="auto" w:fill="auto"/>
            <w:noWrap/>
            <w:vAlign w:val="center"/>
          </w:tcPr>
          <w:p>
            <w:pPr>
              <w:rPr>
                <w:rFonts w:hint="eastAsia" w:ascii="华文细黑" w:hAnsi="华文细黑" w:eastAsia="华文细黑" w:cs="华文细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项目名称</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边昭镇乡镇转移支付资金1.3（326474）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项目级次</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主管部门及编码</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通榆县边昭镇人民政府-555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项目资金(万元）</w:t>
            </w: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年度资金总额</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32.65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其中：财政拨款</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32.65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 xml:space="preserve">      其他资金</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kern w:val="0"/>
                <w:sz w:val="16"/>
                <w:szCs w:val="16"/>
                <w:u w:val="none"/>
                <w:lang w:val="en-US" w:eastAsia="zh-CN" w:bidi="ar"/>
              </w:rPr>
            </w:pPr>
            <w:r>
              <w:rPr>
                <w:rFonts w:hint="default" w:ascii="华文细黑" w:hAnsi="华文细黑" w:eastAsia="华文细黑" w:cs="华文细黑"/>
                <w:i w:val="0"/>
                <w:iCs w:val="0"/>
                <w:color w:val="000000"/>
                <w:kern w:val="0"/>
                <w:sz w:val="16"/>
                <w:szCs w:val="16"/>
                <w:u w:val="none"/>
                <w:lang w:val="en-US" w:eastAsia="zh-CN" w:bidi="ar"/>
              </w:rPr>
              <w:t>年度绩效</w:t>
            </w:r>
          </w:p>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目标</w:t>
            </w:r>
          </w:p>
        </w:tc>
        <w:tc>
          <w:tcPr>
            <w:tcW w:w="871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2024年边昭镇转移支付资金用于正常运转所需的经费资金,边昭镇申请2024年村级运转经费资金326474元.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绩效指标</w:t>
            </w: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一级指标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三级指标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指标值</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成本指标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经济成本指标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镇政府使用乡镇转移支付资金标准</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=326474元/个</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产出指标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使用乡镇转移支付资金镇政府数量</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=1个</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质量指标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资金使用合规率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时效指标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补充各种办公耗材及时率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效益指标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社会效益指标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办公提高效率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满意度指标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服务对象满意度指标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办公人员满意度</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9634"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2"/>
                <w:szCs w:val="32"/>
                <w:u w:val="none"/>
              </w:rPr>
            </w:pPr>
            <w:r>
              <w:rPr>
                <w:rFonts w:hint="eastAsia" w:ascii="黑体" w:hAnsi="宋体" w:eastAsia="黑体" w:cs="黑体"/>
                <w:b/>
                <w:bCs/>
                <w:i w:val="0"/>
                <w:iCs w:val="0"/>
                <w:color w:val="000000"/>
                <w:kern w:val="0"/>
                <w:sz w:val="32"/>
                <w:szCs w:val="32"/>
                <w:u w:val="none"/>
                <w:lang w:val="en-US" w:eastAsia="zh-CN" w:bidi="ar"/>
              </w:rPr>
              <w:t>通榆县边昭镇人民政府2024年项目支出绩效目标表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19"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1770"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1710"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2580"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1665"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990" w:type="dxa"/>
            <w:tcBorders>
              <w:top w:val="nil"/>
              <w:left w:val="nil"/>
              <w:bottom w:val="nil"/>
              <w:right w:val="nil"/>
            </w:tcBorders>
            <w:shd w:val="clear" w:color="auto" w:fill="auto"/>
            <w:noWrap/>
            <w:vAlign w:val="center"/>
          </w:tcPr>
          <w:p>
            <w:pPr>
              <w:rPr>
                <w:rFonts w:hint="eastAsia" w:ascii="华文细黑" w:hAnsi="华文细黑" w:eastAsia="华文细黑" w:cs="华文细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项目名称</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边昭镇驻村工作队生活补贴1.3（72000）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项目级次</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主管部门及编码</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通榆县边昭镇人民政府-555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项目资金(万元）</w:t>
            </w: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年度资金总额</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7.20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其中：财政拨款</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7.20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 xml:space="preserve">      其他资金</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kern w:val="0"/>
                <w:sz w:val="16"/>
                <w:szCs w:val="16"/>
                <w:u w:val="none"/>
                <w:lang w:val="en-US" w:eastAsia="zh-CN" w:bidi="ar"/>
              </w:rPr>
            </w:pPr>
            <w:r>
              <w:rPr>
                <w:rFonts w:hint="default" w:ascii="华文细黑" w:hAnsi="华文细黑" w:eastAsia="华文细黑" w:cs="华文细黑"/>
                <w:i w:val="0"/>
                <w:iCs w:val="0"/>
                <w:color w:val="000000"/>
                <w:kern w:val="0"/>
                <w:sz w:val="16"/>
                <w:szCs w:val="16"/>
                <w:u w:val="none"/>
                <w:lang w:val="en-US" w:eastAsia="zh-CN" w:bidi="ar"/>
              </w:rPr>
              <w:t>年度绩效</w:t>
            </w:r>
          </w:p>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目标</w:t>
            </w:r>
          </w:p>
        </w:tc>
        <w:tc>
          <w:tcPr>
            <w:tcW w:w="871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我镇派驻的第一书记共计 2 名，具体情况如下：一、佟家店村1.崔亚波，边昭镇佟家店村第一书记.二、天宝村2.孙鹏，边昭镇天宝村第一书记.现申请2024年两名驻村工作队生活补贴资金72000元。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绩效指标</w:t>
            </w: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一级指标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三级指标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指标值</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成本指标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经济成本指标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每名驻村干部每天补贴标准</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=100元/天/人</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产出指标</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驻村干部人数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=2人</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驻村人员补助天数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=720天</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质量指标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资金拨付程序规范性</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时效指标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驻村补助发放及时率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效益指标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经济效益指标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工作效率提高，更好的为人民服务</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满意度指标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服务对象满意度指标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驻村人员满意度</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bl>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441.53万元</w:t>
      </w:r>
      <w:r>
        <w:rPr>
          <w:rFonts w:hint="eastAsia" w:ascii="仿宋_GB2312" w:hAnsi="仿宋_GB2312" w:eastAsia="仿宋_GB2312" w:cs="仿宋_GB2312"/>
          <w:szCs w:val="32"/>
        </w:rPr>
        <w:t>；支出包括：一般公共服务支出</w:t>
      </w:r>
      <w:r>
        <w:rPr>
          <w:rFonts w:hint="eastAsia" w:ascii="仿宋_GB2312" w:hAnsi="仿宋_GB2312" w:cs="仿宋_GB2312"/>
          <w:szCs w:val="32"/>
          <w:lang w:val="en-US" w:eastAsia="zh-CN"/>
        </w:rPr>
        <w:t>365.87万元</w:t>
      </w:r>
      <w:r>
        <w:rPr>
          <w:rFonts w:hint="eastAsia" w:ascii="仿宋_GB2312" w:hAnsi="仿宋_GB2312" w:eastAsia="仿宋_GB2312" w:cs="仿宋_GB2312"/>
          <w:szCs w:val="32"/>
        </w:rPr>
        <w:t>、社会保障和就业支出</w:t>
      </w:r>
      <w:r>
        <w:rPr>
          <w:rFonts w:hint="eastAsia" w:ascii="仿宋_GB2312" w:hAnsi="仿宋_GB2312" w:cs="仿宋_GB2312"/>
          <w:szCs w:val="32"/>
          <w:lang w:val="en-US" w:eastAsia="zh-CN"/>
        </w:rPr>
        <w:t>39.29万元</w:t>
      </w:r>
      <w:r>
        <w:rPr>
          <w:rFonts w:hint="eastAsia" w:ascii="仿宋_GB2312" w:hAnsi="仿宋_GB2312" w:eastAsia="仿宋_GB2312" w:cs="仿宋_GB2312"/>
          <w:szCs w:val="32"/>
        </w:rPr>
        <w:t>、住房保障支出</w:t>
      </w:r>
      <w:r>
        <w:rPr>
          <w:rFonts w:hint="eastAsia" w:ascii="仿宋_GB2312" w:hAnsi="仿宋_GB2312" w:cs="仿宋_GB2312"/>
          <w:szCs w:val="32"/>
          <w:lang w:val="en-US" w:eastAsia="zh-CN"/>
        </w:rPr>
        <w:t>22.58万元、卫生健康支出13.79万元</w:t>
      </w:r>
      <w:r>
        <w:rPr>
          <w:rFonts w:hint="eastAsia" w:ascii="仿宋_GB2312" w:hAnsi="仿宋_GB2312" w:eastAsia="仿宋_GB2312" w:cs="仿宋_GB2312"/>
          <w:szCs w:val="32"/>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441.53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441.53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预算减少</w:t>
      </w:r>
      <w:r>
        <w:rPr>
          <w:rFonts w:hint="eastAsia" w:ascii="仿宋_GB2312" w:hAnsi="仿宋_GB2312" w:cs="仿宋_GB2312"/>
          <w:szCs w:val="32"/>
          <w:lang w:val="en-US" w:eastAsia="zh-CN"/>
        </w:rPr>
        <w:t>12.54</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人员退休，支出减少</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441.53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441.53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441.53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441.53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338.19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76.60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103.34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23.4</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441.53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441.53</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441.53</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365.87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39.29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13.79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22.58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441.53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338.19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76.60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103.33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23.40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296.67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87.72</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41.52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12.28</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365.87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82.86</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行政运行</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39.29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8.90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养老保险及职业年金</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cs="仿宋_GB2312"/>
          <w:szCs w:val="32"/>
          <w:lang w:eastAsia="zh-CN"/>
        </w:rPr>
        <w:t>卫生健康支出</w:t>
      </w:r>
      <w:r>
        <w:rPr>
          <w:rFonts w:hint="eastAsia" w:ascii="仿宋_GB2312" w:hAnsi="仿宋_GB2312" w:cs="仿宋_GB2312"/>
          <w:szCs w:val="32"/>
          <w:lang w:val="en-US" w:eastAsia="zh-CN"/>
        </w:rPr>
        <w:t>13.79万元，占3.12%，主要用于单位医疗支出。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22.58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5.12</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住房公积金</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338.19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296.67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41.52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10.00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10.00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预算数增加</w:t>
      </w:r>
      <w:r>
        <w:rPr>
          <w:rFonts w:hint="eastAsia" w:ascii="仿宋_GB2312" w:hAnsi="仿宋_GB2312" w:cs="仿宋_GB2312"/>
          <w:szCs w:val="32"/>
          <w:lang w:val="en-US" w:eastAsia="zh-CN"/>
        </w:rPr>
        <w:t>3.00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10.00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10.00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预算数增加</w:t>
      </w:r>
      <w:r>
        <w:rPr>
          <w:rFonts w:hint="eastAsia" w:ascii="仿宋_GB2312" w:hAnsi="仿宋_GB2312" w:cs="仿宋_GB2312"/>
          <w:szCs w:val="32"/>
          <w:lang w:val="en-US" w:eastAsia="zh-CN"/>
        </w:rPr>
        <w:t>3.00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10.00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10.00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预算数增加</w:t>
      </w:r>
      <w:r>
        <w:rPr>
          <w:rFonts w:hint="eastAsia" w:ascii="仿宋_GB2312" w:hAnsi="仿宋_GB2312" w:cs="仿宋_GB2312"/>
          <w:szCs w:val="32"/>
          <w:lang w:val="en-US" w:eastAsia="zh-CN"/>
        </w:rPr>
        <w:t>3.00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政府事务增多</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eastAsia="楷体"/>
          <w:szCs w:val="32"/>
        </w:rPr>
        <w:t>本部门无政府性基金预算拨款</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numPr>
          <w:ilvl w:val="0"/>
          <w:numId w:val="1"/>
        </w:numPr>
        <w:ind w:firstLine="640"/>
        <w:rPr>
          <w:rFonts w:eastAsia="黑体"/>
          <w:szCs w:val="32"/>
        </w:rPr>
      </w:pP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bookmarkStart w:id="0" w:name="_GoBack"/>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eastAsia="zh-CN"/>
        </w:rPr>
        <w:t>一</w:t>
      </w:r>
      <w:r>
        <w:rPr>
          <w:rFonts w:hint="eastAsia" w:ascii="仿宋_GB2312" w:hAnsi="仿宋_GB2312" w:eastAsia="仿宋_GB2312" w:cs="仿宋_GB2312"/>
          <w:szCs w:val="32"/>
        </w:rPr>
        <w:t>家行政单位机关运行经费财政拨款预算</w:t>
      </w:r>
      <w:r>
        <w:rPr>
          <w:rFonts w:hint="eastAsia" w:ascii="仿宋_GB2312" w:hAnsi="仿宋_GB2312" w:cs="仿宋_GB2312"/>
          <w:szCs w:val="32"/>
          <w:lang w:val="en-US" w:eastAsia="zh-CN"/>
        </w:rPr>
        <w:t>441.53</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预算减少</w:t>
      </w:r>
      <w:r>
        <w:rPr>
          <w:rFonts w:hint="eastAsia" w:ascii="仿宋_GB2312" w:hAnsi="仿宋_GB2312" w:cs="仿宋_GB2312"/>
          <w:szCs w:val="32"/>
          <w:lang w:val="en-US" w:eastAsia="zh-CN"/>
        </w:rPr>
        <w:t>12.54</w:t>
      </w:r>
      <w:r>
        <w:rPr>
          <w:rFonts w:hint="eastAsia" w:ascii="仿宋_GB2312" w:hAnsi="仿宋_GB2312" w:eastAsia="仿宋_GB2312" w:cs="仿宋_GB2312"/>
          <w:szCs w:val="32"/>
        </w:rPr>
        <w:t>万元，下降</w:t>
      </w:r>
      <w:r>
        <w:rPr>
          <w:rFonts w:hint="eastAsia" w:ascii="仿宋_GB2312" w:hAnsi="仿宋_GB2312" w:cs="仿宋_GB2312"/>
          <w:szCs w:val="32"/>
          <w:lang w:val="en-US" w:eastAsia="zh-CN"/>
        </w:rPr>
        <w:t>2.76</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人员退休，支出减少</w:t>
      </w:r>
      <w:r>
        <w:rPr>
          <w:rFonts w:hint="eastAsia" w:ascii="仿宋_GB2312" w:hAnsi="仿宋_GB2312" w:eastAsia="仿宋_GB2312" w:cs="仿宋_GB2312"/>
          <w:szCs w:val="32"/>
        </w:rPr>
        <w:t>。</w:t>
      </w:r>
      <w:bookmarkEnd w:id="0"/>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eastAsia="仿宋_GB2312"/>
          <w:szCs w:val="32"/>
          <w:lang w:eastAsia="zh-CN"/>
        </w:rPr>
      </w:pPr>
      <w:r>
        <w:rPr>
          <w:rFonts w:eastAsia="楷体"/>
          <w:szCs w:val="32"/>
        </w:rPr>
        <w:t>本部门无</w:t>
      </w:r>
      <w:r>
        <w:rPr>
          <w:rFonts w:hint="eastAsia" w:ascii="仿宋_GB2312" w:hAnsi="仿宋_GB2312" w:eastAsia="仿宋_GB2312" w:cs="仿宋_GB2312"/>
          <w:szCs w:val="32"/>
        </w:rPr>
        <w:t>政府采购</w:t>
      </w:r>
      <w:r>
        <w:rPr>
          <w:rFonts w:hint="eastAsia" w:ascii="仿宋_GB2312" w:hAnsi="仿宋_GB2312" w:cs="仿宋_GB2312"/>
          <w:szCs w:val="32"/>
          <w:lang w:eastAsia="zh-CN"/>
        </w:rPr>
        <w:t>情况。</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2023年</w:t>
      </w:r>
      <w:r>
        <w:rPr>
          <w:rFonts w:hint="eastAsia" w:ascii="仿宋_GB2312" w:hAnsi="仿宋_GB2312" w:eastAsia="仿宋_GB2312" w:cs="仿宋_GB2312"/>
          <w:szCs w:val="32"/>
        </w:rPr>
        <w:t>8月底，部门本级和所属各预算单位共有车辆</w:t>
      </w:r>
      <w:r>
        <w:rPr>
          <w:rFonts w:hint="eastAsia" w:ascii="仿宋_GB2312" w:hAnsi="仿宋_GB2312" w:cs="仿宋_GB2312"/>
          <w:szCs w:val="32"/>
          <w:lang w:val="en-US" w:eastAsia="zh-CN"/>
        </w:rPr>
        <w:t>3</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1668</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103.34</w:t>
      </w:r>
      <w:r>
        <w:rPr>
          <w:rFonts w:hint="eastAsia" w:ascii="仿宋_GB2312" w:hAnsi="仿宋_GB2312" w:eastAsia="仿宋_GB2312" w:cs="仿宋_GB2312"/>
          <w:szCs w:val="32"/>
          <w:highlight w:val="none"/>
        </w:rPr>
        <w:t>万元，其中：二级项目</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103.34</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4</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103.34</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B2BAAF5-DF34-4759-9C9D-9F3DE64DE4C0}"/>
  </w:font>
  <w:font w:name="黑体">
    <w:panose1 w:val="02010609060101010101"/>
    <w:charset w:val="86"/>
    <w:family w:val="auto"/>
    <w:pitch w:val="default"/>
    <w:sig w:usb0="800002BF" w:usb1="38CF7CFA" w:usb2="00000016" w:usb3="00000000" w:csb0="00040001" w:csb1="00000000"/>
    <w:embedRegular r:id="rId2" w:fontKey="{1D6EF4FE-D4C8-40C1-A234-016310F854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0E5440B1-B88F-4FD7-AEBB-0123688E2548}"/>
  </w:font>
  <w:font w:name="仿宋_GB2312">
    <w:altName w:val="仿宋"/>
    <w:panose1 w:val="02010609030101010101"/>
    <w:charset w:val="86"/>
    <w:family w:val="modern"/>
    <w:pitch w:val="default"/>
    <w:sig w:usb0="00000000" w:usb1="00000000" w:usb2="00000000" w:usb3="00000000" w:csb0="00040000" w:csb1="00000000"/>
    <w:embedRegular r:id="rId4" w:fontKey="{6969C7C9-1BE9-4F06-B0EF-037C4E41BDB9}"/>
  </w:font>
  <w:font w:name="华文细黑">
    <w:panose1 w:val="02010600040101010101"/>
    <w:charset w:val="86"/>
    <w:family w:val="auto"/>
    <w:pitch w:val="default"/>
    <w:sig w:usb0="00000287" w:usb1="080F0000" w:usb2="00000000" w:usb3="00000000" w:csb0="0004009F" w:csb1="DFD70000"/>
    <w:embedRegular r:id="rId5" w:fontKey="{477B2FA3-5EC4-48F9-9DED-39E3AD16A729}"/>
  </w:font>
  <w:font w:name="方正小标宋简体">
    <w:panose1 w:val="02000000000000000000"/>
    <w:charset w:val="86"/>
    <w:family w:val="auto"/>
    <w:pitch w:val="default"/>
    <w:sig w:usb0="00000001" w:usb1="08000000" w:usb2="00000000" w:usb3="00000000" w:csb0="00040000" w:csb1="00000000"/>
    <w:embedRegular r:id="rId6" w:fontKey="{C7E7419C-B69D-470C-BA0A-762AB68FD19F}"/>
  </w:font>
  <w:font w:name="楷体_GB2312">
    <w:altName w:val="楷体"/>
    <w:panose1 w:val="02010609030101010101"/>
    <w:charset w:val="86"/>
    <w:family w:val="modern"/>
    <w:pitch w:val="default"/>
    <w:sig w:usb0="00000000" w:usb1="00000000" w:usb2="00000000" w:usb3="00000000" w:csb0="00040000" w:csb1="00000000"/>
    <w:embedRegular r:id="rId7" w:fontKey="{CDD8B3DF-0320-4046-9212-F0F8FA295A8B}"/>
  </w:font>
  <w:font w:name="仿宋">
    <w:panose1 w:val="02010609060101010101"/>
    <w:charset w:val="86"/>
    <w:family w:val="auto"/>
    <w:pitch w:val="default"/>
    <w:sig w:usb0="800002BF" w:usb1="38CF7CFA" w:usb2="00000016" w:usb3="00000000" w:csb0="00040001" w:csb1="00000000"/>
    <w:embedRegular r:id="rId8" w:fontKey="{83244B63-DD9C-4797-9DB8-FFB196526A35}"/>
  </w:font>
  <w:font w:name="楷体">
    <w:panose1 w:val="02010609060101010101"/>
    <w:charset w:val="86"/>
    <w:family w:val="auto"/>
    <w:pitch w:val="default"/>
    <w:sig w:usb0="800002BF" w:usb1="38CF7CFA" w:usb2="00000016" w:usb3="00000000" w:csb0="00040001" w:csb1="00000000"/>
    <w:embedRegular r:id="rId9" w:fontKey="{AF7C27A9-3159-40F5-9EA1-CFE6D15A2257}"/>
  </w:font>
  <w:font w:name="Verdana">
    <w:panose1 w:val="020B0604030504040204"/>
    <w:charset w:val="00"/>
    <w:family w:val="auto"/>
    <w:pitch w:val="default"/>
    <w:sig w:usb0="A00006FF" w:usb1="4000205B" w:usb2="00000010" w:usb3="00000000" w:csb0="2000019F" w:csb1="00000000"/>
    <w:embedRegular r:id="rId10" w:fontKey="{26DB924E-FA9A-4964-A633-61F6E5FE8FB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B2225"/>
    <w:multiLevelType w:val="singleLevel"/>
    <w:tmpl w:val="AD3B2225"/>
    <w:lvl w:ilvl="0" w:tentative="0">
      <w:start w:val="10"/>
      <w:numFmt w:val="chineseCounting"/>
      <w:suff w:val="nothing"/>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3D26F4"/>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830498"/>
    <w:rsid w:val="1ADC594E"/>
    <w:rsid w:val="1AEB5252"/>
    <w:rsid w:val="1C852172"/>
    <w:rsid w:val="1CA40C0C"/>
    <w:rsid w:val="1CFF4A32"/>
    <w:rsid w:val="1D833200"/>
    <w:rsid w:val="1E2D59A2"/>
    <w:rsid w:val="1E3A3FD0"/>
    <w:rsid w:val="1EB55C07"/>
    <w:rsid w:val="1F351A10"/>
    <w:rsid w:val="1FED47E9"/>
    <w:rsid w:val="206816AC"/>
    <w:rsid w:val="20E6663C"/>
    <w:rsid w:val="22A4003E"/>
    <w:rsid w:val="23984063"/>
    <w:rsid w:val="23CE11F0"/>
    <w:rsid w:val="23EC61F6"/>
    <w:rsid w:val="244C543C"/>
    <w:rsid w:val="24624768"/>
    <w:rsid w:val="249944D1"/>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48C405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9BF3909"/>
    <w:rsid w:val="4A8F26EE"/>
    <w:rsid w:val="4AF16062"/>
    <w:rsid w:val="4B46773A"/>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CB0999"/>
    <w:rsid w:val="51E55C99"/>
    <w:rsid w:val="52071113"/>
    <w:rsid w:val="52447C09"/>
    <w:rsid w:val="525A440D"/>
    <w:rsid w:val="54741940"/>
    <w:rsid w:val="54810E66"/>
    <w:rsid w:val="54C2556E"/>
    <w:rsid w:val="5505597A"/>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E36057A"/>
    <w:rsid w:val="5F6235A9"/>
    <w:rsid w:val="614125C2"/>
    <w:rsid w:val="624C5C52"/>
    <w:rsid w:val="63952BB5"/>
    <w:rsid w:val="63DF08E4"/>
    <w:rsid w:val="64127E15"/>
    <w:rsid w:val="64C04AFD"/>
    <w:rsid w:val="661A7B69"/>
    <w:rsid w:val="664909C1"/>
    <w:rsid w:val="66C63EB5"/>
    <w:rsid w:val="677772D0"/>
    <w:rsid w:val="679461D3"/>
    <w:rsid w:val="6858287E"/>
    <w:rsid w:val="68B734F1"/>
    <w:rsid w:val="69157114"/>
    <w:rsid w:val="691A443E"/>
    <w:rsid w:val="6A310D27"/>
    <w:rsid w:val="6A80735F"/>
    <w:rsid w:val="6ACC5E47"/>
    <w:rsid w:val="6AD43ED1"/>
    <w:rsid w:val="6B110132"/>
    <w:rsid w:val="6B11024D"/>
    <w:rsid w:val="6B7D5B36"/>
    <w:rsid w:val="6CF120A8"/>
    <w:rsid w:val="70104C0E"/>
    <w:rsid w:val="713802AB"/>
    <w:rsid w:val="714213DD"/>
    <w:rsid w:val="717F272E"/>
    <w:rsid w:val="728027C6"/>
    <w:rsid w:val="72D54D7C"/>
    <w:rsid w:val="737664E0"/>
    <w:rsid w:val="73FE7ACC"/>
    <w:rsid w:val="74053F35"/>
    <w:rsid w:val="74556746"/>
    <w:rsid w:val="74AB7A24"/>
    <w:rsid w:val="762C7D1C"/>
    <w:rsid w:val="76BB79B1"/>
    <w:rsid w:val="76C17E06"/>
    <w:rsid w:val="76CA67BD"/>
    <w:rsid w:val="774E6400"/>
    <w:rsid w:val="775B0046"/>
    <w:rsid w:val="78796248"/>
    <w:rsid w:val="79350C82"/>
    <w:rsid w:val="79700BEF"/>
    <w:rsid w:val="79F85634"/>
    <w:rsid w:val="7A090695"/>
    <w:rsid w:val="7AE175F4"/>
    <w:rsid w:val="7B417685"/>
    <w:rsid w:val="7B5220F0"/>
    <w:rsid w:val="7BA169C0"/>
    <w:rsid w:val="7BE95D3C"/>
    <w:rsid w:val="7CAD595B"/>
    <w:rsid w:val="7CF65D07"/>
    <w:rsid w:val="7D2975D1"/>
    <w:rsid w:val="7DCC0CD6"/>
    <w:rsid w:val="7EA647E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20</TotalTime>
  <ScaleCrop>false</ScaleCrop>
  <LinksUpToDate>false</LinksUpToDate>
  <CharactersWithSpaces>8690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逍遥</cp:lastModifiedBy>
  <cp:lastPrinted>2022-02-21T08:08:00Z</cp:lastPrinted>
  <dcterms:modified xsi:type="dcterms:W3CDTF">2024-01-27T01:10:35Z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C90537F601694AAEBF9F4E57A9AF6282_13</vt:lpwstr>
  </property>
</Properties>
</file>