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通榆县财税督查办公室</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楷体" w:hAnsi="楷体" w:eastAsia="楷体" w:cs="楷体"/>
          <w:color w:val="000000"/>
          <w:szCs w:val="32"/>
        </w:rPr>
      </w:pPr>
      <w:r>
        <w:rPr>
          <w:rFonts w:hint="eastAsia" w:ascii="楷体" w:hAnsi="楷体" w:eastAsia="楷体" w:cs="楷体"/>
          <w:color w:val="000000"/>
          <w:szCs w:val="32"/>
        </w:rPr>
        <w:t>（一</w:t>
      </w:r>
      <w:r>
        <w:rPr>
          <w:rFonts w:hint="eastAsia" w:ascii="楷体" w:hAnsi="楷体" w:eastAsia="楷体" w:cs="楷体"/>
          <w:color w:val="000000"/>
          <w:szCs w:val="32"/>
          <w:lang w:eastAsia="zh-CN"/>
        </w:rPr>
        <w:t>）</w:t>
      </w:r>
      <w:r>
        <w:rPr>
          <w:rFonts w:hint="eastAsia" w:ascii="楷体" w:hAnsi="楷体" w:eastAsia="楷体" w:cs="楷体"/>
          <w:color w:val="000000"/>
          <w:szCs w:val="32"/>
        </w:rPr>
        <w:t>贯彻执行财政监督检查的政策和制度，负责统一组织全</w:t>
      </w:r>
      <w:r>
        <w:rPr>
          <w:rFonts w:hint="eastAsia" w:ascii="楷体" w:hAnsi="楷体" w:eastAsia="楷体" w:cs="楷体"/>
          <w:color w:val="000000"/>
          <w:szCs w:val="32"/>
          <w:lang w:eastAsia="zh-CN"/>
        </w:rPr>
        <w:t>县</w:t>
      </w:r>
      <w:r>
        <w:rPr>
          <w:rFonts w:hint="eastAsia" w:ascii="楷体" w:hAnsi="楷体" w:eastAsia="楷体" w:cs="楷体"/>
          <w:color w:val="000000"/>
          <w:szCs w:val="32"/>
        </w:rPr>
        <w:t>财税法规、政策和资金、账户等财政财务管理制度执行情况的监督检查；</w:t>
      </w:r>
    </w:p>
    <w:p>
      <w:pPr>
        <w:ind w:firstLine="640" w:firstLineChars="200"/>
        <w:rPr>
          <w:rFonts w:hint="eastAsia" w:ascii="楷体" w:hAnsi="楷体" w:eastAsia="楷体" w:cs="楷体"/>
          <w:color w:val="000000"/>
          <w:szCs w:val="32"/>
        </w:rPr>
      </w:pPr>
      <w:r>
        <w:rPr>
          <w:rFonts w:hint="eastAsia" w:ascii="楷体" w:hAnsi="楷体" w:eastAsia="楷体" w:cs="楷体"/>
          <w:color w:val="000000"/>
          <w:szCs w:val="32"/>
        </w:rPr>
        <w:t>（</w:t>
      </w:r>
      <w:r>
        <w:rPr>
          <w:rFonts w:hint="eastAsia" w:ascii="楷体" w:hAnsi="楷体" w:eastAsia="楷体" w:cs="楷体"/>
          <w:color w:val="000000"/>
          <w:szCs w:val="32"/>
          <w:lang w:eastAsia="zh-CN"/>
        </w:rPr>
        <w:t>二</w:t>
      </w:r>
      <w:r>
        <w:rPr>
          <w:rFonts w:hint="eastAsia" w:ascii="楷体" w:hAnsi="楷体" w:eastAsia="楷体" w:cs="楷体"/>
          <w:color w:val="000000"/>
          <w:szCs w:val="32"/>
        </w:rPr>
        <w:t>）依法纠正和查处违反财政、财务、会计法律、法规、制度的行为；</w:t>
      </w:r>
    </w:p>
    <w:p>
      <w:pPr>
        <w:ind w:firstLine="640" w:firstLineChars="200"/>
        <w:rPr>
          <w:rFonts w:hint="eastAsia" w:ascii="楷体" w:hAnsi="楷体" w:eastAsia="楷体" w:cs="楷体"/>
          <w:color w:val="000000"/>
          <w:szCs w:val="32"/>
          <w:lang w:eastAsia="zh-CN"/>
        </w:rPr>
      </w:pPr>
      <w:r>
        <w:rPr>
          <w:rFonts w:hint="eastAsia" w:ascii="楷体" w:hAnsi="楷体" w:eastAsia="楷体" w:cs="楷体"/>
          <w:color w:val="000000"/>
          <w:szCs w:val="32"/>
        </w:rPr>
        <w:t>（</w:t>
      </w:r>
      <w:r>
        <w:rPr>
          <w:rFonts w:hint="eastAsia" w:ascii="楷体" w:hAnsi="楷体" w:eastAsia="楷体" w:cs="楷体"/>
          <w:color w:val="000000"/>
          <w:szCs w:val="32"/>
          <w:lang w:eastAsia="zh-CN"/>
        </w:rPr>
        <w:t>三</w:t>
      </w:r>
      <w:r>
        <w:rPr>
          <w:rFonts w:hint="eastAsia" w:ascii="楷体" w:hAnsi="楷体" w:eastAsia="楷体" w:cs="楷体"/>
          <w:color w:val="000000"/>
          <w:szCs w:val="32"/>
        </w:rPr>
        <w:t>）</w:t>
      </w:r>
      <w:r>
        <w:rPr>
          <w:rFonts w:hint="eastAsia" w:ascii="楷体" w:hAnsi="楷体" w:eastAsia="楷体" w:cs="楷体"/>
          <w:color w:val="000000"/>
          <w:szCs w:val="32"/>
          <w:lang w:eastAsia="zh-CN"/>
        </w:rPr>
        <w:t>反映财政收支管理和重要财政政策执行中的重大问题，提出加强财政管理的政策建议；</w:t>
      </w:r>
    </w:p>
    <w:p>
      <w:pPr>
        <w:ind w:firstLine="640" w:firstLineChars="200"/>
        <w:rPr>
          <w:rFonts w:hint="eastAsia" w:ascii="楷体" w:hAnsi="楷体" w:eastAsia="楷体" w:cs="楷体"/>
          <w:color w:val="000000"/>
          <w:szCs w:val="32"/>
          <w:lang w:eastAsia="zh-CN"/>
        </w:rPr>
      </w:pPr>
      <w:r>
        <w:rPr>
          <w:rFonts w:hint="eastAsia" w:ascii="楷体" w:hAnsi="楷体" w:eastAsia="楷体" w:cs="楷体"/>
          <w:color w:val="000000"/>
          <w:szCs w:val="32"/>
          <w:lang w:eastAsia="zh-CN"/>
        </w:rPr>
        <w:t>（四）负责全县会计信息质量的监督检查和行政处罚工作；</w:t>
      </w:r>
    </w:p>
    <w:p>
      <w:pPr>
        <w:ind w:firstLine="64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Cs w:val="32"/>
        </w:rPr>
        <w:t>（按照部门“三定”方案表述）</w:t>
      </w:r>
    </w:p>
    <w:p>
      <w:pPr>
        <w:ind w:firstLine="640" w:firstLineChars="200"/>
      </w:pPr>
      <w:r>
        <w:rPr>
          <w:rFonts w:eastAsia="楷体_GB2312"/>
        </w:rPr>
        <w:t>二、机构设置</w:t>
      </w:r>
    </w:p>
    <w:p>
      <w:pPr>
        <w:pStyle w:val="51"/>
        <w:ind w:firstLine="640" w:firstLineChars="200"/>
        <w:rPr>
          <w:rFonts w:hint="eastAsia" w:ascii="楷体" w:hAnsi="楷体" w:eastAsia="楷体" w:cs="楷体"/>
        </w:rPr>
      </w:pPr>
      <w:r>
        <w:rPr>
          <w:rFonts w:hint="eastAsia" w:ascii="楷体" w:hAnsi="楷体" w:eastAsia="楷体" w:cs="楷体"/>
        </w:rPr>
        <w:t>根据上述职责，内设</w:t>
      </w:r>
      <w:r>
        <w:rPr>
          <w:rFonts w:hint="eastAsia" w:ascii="楷体" w:hAnsi="楷体" w:eastAsia="楷体" w:cs="楷体"/>
          <w:lang w:val="en-US" w:eastAsia="zh-CN"/>
        </w:rPr>
        <w:t>3</w:t>
      </w:r>
      <w:r>
        <w:rPr>
          <w:rFonts w:hint="eastAsia" w:ascii="楷体" w:hAnsi="楷体" w:eastAsia="楷体" w:cs="楷体"/>
        </w:rPr>
        <w:t>个</w:t>
      </w:r>
      <w:r>
        <w:rPr>
          <w:rFonts w:hint="eastAsia" w:ascii="楷体" w:hAnsi="楷体" w:eastAsia="楷体" w:cs="楷体"/>
          <w:lang w:eastAsia="zh-CN"/>
        </w:rPr>
        <w:t>工作组</w:t>
      </w:r>
      <w:r>
        <w:rPr>
          <w:rFonts w:hint="eastAsia" w:ascii="楷体" w:hAnsi="楷体" w:eastAsia="楷体" w:cs="楷体"/>
        </w:rPr>
        <w:t>，分别为</w:t>
      </w:r>
      <w:r>
        <w:rPr>
          <w:rFonts w:hint="eastAsia" w:ascii="楷体" w:hAnsi="楷体" w:eastAsia="楷体" w:cs="楷体"/>
          <w:lang w:eastAsia="zh-CN"/>
        </w:rPr>
        <w:t>检查组，审理组，综合组</w:t>
      </w:r>
      <w:r>
        <w:rPr>
          <w:rFonts w:hint="eastAsia" w:ascii="楷体" w:hAnsi="楷体" w:eastAsia="楷体" w:cs="楷体"/>
        </w:rPr>
        <w:t>。</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194.07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194.07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144.82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144.82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25.89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25.89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15.07</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15.07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8.29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8.29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105" w:type="dxa"/>
        <w:jc w:val="center"/>
        <w:tblLayout w:type="fixed"/>
        <w:tblCellMar>
          <w:top w:w="0" w:type="dxa"/>
          <w:left w:w="108" w:type="dxa"/>
          <w:bottom w:w="0" w:type="dxa"/>
          <w:right w:w="108" w:type="dxa"/>
        </w:tblCellMar>
      </w:tblPr>
      <w:tblGrid>
        <w:gridCol w:w="428"/>
        <w:gridCol w:w="857"/>
        <w:gridCol w:w="585"/>
        <w:gridCol w:w="659"/>
        <w:gridCol w:w="646"/>
        <w:gridCol w:w="387"/>
        <w:gridCol w:w="303"/>
        <w:gridCol w:w="328"/>
        <w:gridCol w:w="324"/>
        <w:gridCol w:w="41"/>
        <w:gridCol w:w="375"/>
        <w:gridCol w:w="416"/>
        <w:gridCol w:w="270"/>
        <w:gridCol w:w="146"/>
        <w:gridCol w:w="385"/>
        <w:gridCol w:w="31"/>
        <w:gridCol w:w="416"/>
        <w:gridCol w:w="84"/>
        <w:gridCol w:w="332"/>
        <w:gridCol w:w="199"/>
        <w:gridCol w:w="217"/>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893"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28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85"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8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55"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2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85"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8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0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285"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通榆县财税督查办公室</w:t>
            </w:r>
          </w:p>
        </w:tc>
        <w:tc>
          <w:tcPr>
            <w:tcW w:w="58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3"/>
                <w:szCs w:val="13"/>
              </w:rPr>
            </w:pPr>
            <w:r>
              <w:rPr>
                <w:rFonts w:hint="eastAsia" w:eastAsia="宋体"/>
                <w:kern w:val="0"/>
                <w:sz w:val="13"/>
                <w:szCs w:val="13"/>
                <w:lang w:val="en-US" w:eastAsia="zh-CN"/>
              </w:rPr>
              <w:t>194.07</w:t>
            </w:r>
          </w:p>
        </w:tc>
        <w:tc>
          <w:tcPr>
            <w:tcW w:w="65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3"/>
                <w:szCs w:val="13"/>
              </w:rPr>
            </w:pPr>
            <w:r>
              <w:rPr>
                <w:rFonts w:hint="eastAsia" w:eastAsia="宋体"/>
                <w:kern w:val="0"/>
                <w:sz w:val="13"/>
                <w:szCs w:val="13"/>
                <w:lang w:val="en-US" w:eastAsia="zh-CN"/>
              </w:rPr>
              <w:t>194.07</w:t>
            </w:r>
          </w:p>
        </w:tc>
        <w:tc>
          <w:tcPr>
            <w:tcW w:w="64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3"/>
                <w:szCs w:val="13"/>
              </w:rPr>
            </w:pPr>
            <w:r>
              <w:rPr>
                <w:rFonts w:hint="eastAsia" w:eastAsia="宋体"/>
                <w:kern w:val="0"/>
                <w:sz w:val="13"/>
                <w:szCs w:val="13"/>
                <w:lang w:val="en-US" w:eastAsia="zh-CN"/>
              </w:rPr>
              <w:t>194.07</w:t>
            </w:r>
          </w:p>
        </w:tc>
        <w:tc>
          <w:tcPr>
            <w:tcW w:w="387"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0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28"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2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28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28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28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28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28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28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28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28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13"/>
                <w:szCs w:val="13"/>
                <w:lang w:val="en-US" w:eastAsia="zh-CN" w:bidi="ar-SA"/>
              </w:rPr>
            </w:pPr>
            <w:r>
              <w:rPr>
                <w:rFonts w:hint="eastAsia" w:eastAsia="宋体"/>
                <w:kern w:val="0"/>
                <w:sz w:val="13"/>
                <w:szCs w:val="13"/>
                <w:lang w:val="en-US" w:eastAsia="zh-CN"/>
              </w:rPr>
              <w:t>194.07</w:t>
            </w:r>
          </w:p>
        </w:tc>
        <w:tc>
          <w:tcPr>
            <w:tcW w:w="6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13"/>
                <w:szCs w:val="13"/>
                <w:lang w:val="en-US" w:eastAsia="zh-CN" w:bidi="ar-SA"/>
              </w:rPr>
            </w:pPr>
            <w:r>
              <w:rPr>
                <w:rFonts w:hint="eastAsia" w:eastAsia="宋体"/>
                <w:kern w:val="0"/>
                <w:sz w:val="13"/>
                <w:szCs w:val="13"/>
                <w:lang w:val="en-US" w:eastAsia="zh-CN"/>
              </w:rPr>
              <w:t>194.07</w:t>
            </w: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13"/>
                <w:szCs w:val="13"/>
                <w:lang w:val="en-US" w:eastAsia="zh-CN" w:bidi="ar-SA"/>
              </w:rPr>
            </w:pPr>
            <w:r>
              <w:rPr>
                <w:rFonts w:hint="eastAsia" w:eastAsia="宋体"/>
                <w:kern w:val="0"/>
                <w:sz w:val="13"/>
                <w:szCs w:val="13"/>
                <w:lang w:val="en-US" w:eastAsia="zh-CN"/>
              </w:rPr>
              <w:t>194.07</w:t>
            </w:r>
          </w:p>
        </w:tc>
        <w:tc>
          <w:tcPr>
            <w:tcW w:w="38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835"/>
              <w:gridCol w:w="1230"/>
              <w:gridCol w:w="1380"/>
              <w:gridCol w:w="1125"/>
              <w:gridCol w:w="1125"/>
              <w:gridCol w:w="712"/>
              <w:gridCol w:w="278"/>
              <w:gridCol w:w="1019"/>
              <w:gridCol w:w="139"/>
            </w:tblGrid>
            <w:tr>
              <w:tblPrEx>
                <w:tblCellMar>
                  <w:top w:w="15" w:type="dxa"/>
                  <w:left w:w="15" w:type="dxa"/>
                  <w:bottom w:w="15" w:type="dxa"/>
                  <w:right w:w="15" w:type="dxa"/>
                </w:tblCellMar>
              </w:tblPrEx>
              <w:trPr>
                <w:gridAfter w:val="1"/>
                <w:wAfter w:w="139" w:type="dxa"/>
                <w:trHeight w:val="390" w:hRule="atLeast"/>
              </w:trPr>
              <w:tc>
                <w:tcPr>
                  <w:tcW w:w="6570" w:type="dxa"/>
                  <w:gridSpan w:val="4"/>
                  <w:tcBorders>
                    <w:bottom w:val="single" w:color="000000" w:sz="4" w:space="0"/>
                  </w:tcBorders>
                  <w:noWrap w:val="0"/>
                  <w:vAlign w:val="center"/>
                </w:tcPr>
                <w:p>
                  <w:pPr>
                    <w:widowControl/>
                    <w:jc w:val="left"/>
                    <w:rPr>
                      <w:rFonts w:eastAsia="华文细黑"/>
                      <w:color w:val="000000"/>
                      <w:kern w:val="0"/>
                      <w:sz w:val="20"/>
                    </w:rPr>
                  </w:pPr>
                </w:p>
              </w:tc>
              <w:tc>
                <w:tcPr>
                  <w:tcW w:w="1125" w:type="dxa"/>
                  <w:tcBorders>
                    <w:bottom w:val="single" w:color="000000" w:sz="4" w:space="0"/>
                  </w:tcBorders>
                  <w:noWrap w:val="0"/>
                  <w:vAlign w:val="center"/>
                </w:tcPr>
                <w:p>
                  <w:pPr>
                    <w:widowControl/>
                    <w:jc w:val="right"/>
                    <w:rPr>
                      <w:rFonts w:eastAsia="华文细黑"/>
                      <w:color w:val="000000"/>
                      <w:kern w:val="0"/>
                      <w:sz w:val="20"/>
                    </w:rPr>
                  </w:pPr>
                </w:p>
              </w:tc>
              <w:tc>
                <w:tcPr>
                  <w:tcW w:w="712"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835"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30"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99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144.82</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144.82</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18"/>
                      <w:szCs w:val="18"/>
                      <w:u w:val="none"/>
                      <w:lang w:val="en-US" w:eastAsia="zh-CN" w:bidi="ar"/>
                    </w:rPr>
                    <w:t>　财政事务</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144.82</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144.82</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18"/>
                      <w:szCs w:val="18"/>
                      <w:u w:val="none"/>
                      <w:lang w:val="en-US" w:eastAsia="zh-CN" w:bidi="ar"/>
                    </w:rPr>
                    <w:t>　　事业运行</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144.82</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144.82</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18"/>
                      <w:szCs w:val="18"/>
                      <w:u w:val="none"/>
                      <w:lang w:val="en-US" w:eastAsia="zh-CN" w:bidi="ar"/>
                    </w:rPr>
                    <w:t>二、社会保障和就业支出</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25.89</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25.89</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18"/>
                      <w:szCs w:val="18"/>
                      <w:u w:val="none"/>
                      <w:lang w:val="en-US" w:eastAsia="zh-CN" w:bidi="ar"/>
                    </w:rPr>
                    <w:t>　行政事业单位养老支出</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25.89</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25.89</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18"/>
                      <w:szCs w:val="18"/>
                      <w:u w:val="none"/>
                      <w:lang w:val="en-US" w:eastAsia="zh-CN" w:bidi="ar"/>
                    </w:rPr>
                    <w:t>　　机关事业单位基本养老保险缴费支出</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20.10</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20.10</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20" w:firstLineChars="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机关事业单位职业年金缴费支出</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4.91</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4.91</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540" w:firstLineChars="30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其他行政事业单位养老支出</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0.88</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0.88</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三、卫生健康支出</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8.29</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8.29</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行政事业单位医疗</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8.29</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8.29</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事业单位医疗</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8.04</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8.04</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eastAsia="宋体"/>
                      <w:color w:val="000000"/>
                      <w:kern w:val="0"/>
                      <w:sz w:val="20"/>
                      <w:lang w:eastAsia="zh-CN"/>
                    </w:rPr>
                  </w:pPr>
                  <w:r>
                    <w:rPr>
                      <w:rFonts w:hint="eastAsia" w:eastAsia="宋体"/>
                      <w:color w:val="000000"/>
                      <w:kern w:val="0"/>
                      <w:sz w:val="20"/>
                      <w:lang w:eastAsia="zh-CN"/>
                    </w:rPr>
                    <w:t>其他</w:t>
                  </w:r>
                  <w:r>
                    <w:rPr>
                      <w:rFonts w:hint="eastAsia" w:eastAsia="宋体"/>
                      <w:color w:val="000000"/>
                      <w:kern w:val="0"/>
                      <w:sz w:val="20"/>
                    </w:rPr>
                    <w:t>事业单位医疗</w:t>
                  </w:r>
                  <w:r>
                    <w:rPr>
                      <w:rFonts w:hint="eastAsia" w:eastAsia="宋体"/>
                      <w:color w:val="000000"/>
                      <w:kern w:val="0"/>
                      <w:sz w:val="20"/>
                      <w:lang w:eastAsia="zh-CN"/>
                    </w:rPr>
                    <w:t>支出</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0.25</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0.25</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四、住房保障支出</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15.07</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15.07</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rPr>
                    <w:t>住房改革支出</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rPr>
                    <w:t>住房公积金</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835"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3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194.07</w:t>
                  </w:r>
                </w:p>
              </w:tc>
              <w:tc>
                <w:tcPr>
                  <w:tcW w:w="13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194.07</w:t>
                  </w: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2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58"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792"/>
              <w:gridCol w:w="859"/>
              <w:gridCol w:w="688"/>
              <w:gridCol w:w="1721"/>
              <w:gridCol w:w="864"/>
              <w:gridCol w:w="893"/>
              <w:gridCol w:w="595"/>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7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5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5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194.07</w:t>
                  </w: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194.07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144.82</w:t>
                  </w: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144.82</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194.07</w:t>
                  </w: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25.89</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25.89</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8.29</w:t>
                  </w: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8.29</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15.07</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15.07</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194.07</w:t>
                  </w: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194.07</w:t>
                  </w: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7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5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79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194.07</w:t>
                  </w:r>
                  <w:r>
                    <w:rPr>
                      <w:rFonts w:eastAsia="宋体"/>
                      <w:kern w:val="0"/>
                      <w:sz w:val="20"/>
                    </w:rPr>
                    <w:t>　</w:t>
                  </w:r>
                </w:p>
              </w:tc>
              <w:tc>
                <w:tcPr>
                  <w:tcW w:w="8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194.07</w:t>
                  </w: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194.07</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华文细黑" w:cs="Times New Roman"/>
                      <w:color w:val="000000"/>
                      <w:kern w:val="0"/>
                      <w:sz w:val="20"/>
                      <w:lang w:val="en-US" w:eastAsia="zh-CN" w:bidi="ar-SA"/>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华文细黑" w:cs="Times New Roman"/>
                      <w:color w:val="000000"/>
                      <w:kern w:val="0"/>
                      <w:sz w:val="20"/>
                      <w:lang w:val="en-US" w:eastAsia="zh-CN" w:bidi="ar-SA"/>
                    </w:rPr>
                  </w:pPr>
                  <w:r>
                    <w:rPr>
                      <w:rFonts w:hint="eastAsia" w:ascii="宋体" w:hAnsi="宋体" w:eastAsia="宋体" w:cs="宋体"/>
                      <w:i w:val="0"/>
                      <w:iCs w:val="0"/>
                      <w:color w:val="000000"/>
                      <w:kern w:val="0"/>
                      <w:sz w:val="18"/>
                      <w:szCs w:val="18"/>
                      <w:u w:val="none"/>
                      <w:lang w:val="en-US" w:eastAsia="zh-CN" w:bidi="ar"/>
                    </w:rPr>
                    <w:t>　财政事务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eastAsia" w:ascii="宋体" w:hAnsi="宋体" w:eastAsia="宋体" w:cs="宋体"/>
                      <w:i w:val="0"/>
                      <w:iCs w:val="0"/>
                      <w:color w:val="000000"/>
                      <w:kern w:val="0"/>
                      <w:sz w:val="18"/>
                      <w:szCs w:val="18"/>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eastAsia" w:ascii="宋体" w:hAnsi="宋体" w:eastAsia="宋体" w:cs="宋体"/>
                      <w:i w:val="0"/>
                      <w:iCs w:val="0"/>
                      <w:color w:val="000000"/>
                      <w:kern w:val="0"/>
                      <w:sz w:val="18"/>
                      <w:szCs w:val="18"/>
                      <w:u w:val="none"/>
                      <w:lang w:val="en-US" w:eastAsia="zh-CN" w:bidi="ar"/>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eastAsia" w:ascii="宋体" w:hAnsi="宋体" w:eastAsia="宋体" w:cs="宋体"/>
                      <w:i w:val="0"/>
                      <w:iCs w:val="0"/>
                      <w:color w:val="000000"/>
                      <w:kern w:val="0"/>
                      <w:sz w:val="18"/>
                      <w:szCs w:val="18"/>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eastAsia" w:ascii="宋体" w:hAnsi="宋体" w:eastAsia="宋体" w:cs="宋体"/>
                      <w:i w:val="0"/>
                      <w:iCs w:val="0"/>
                      <w:color w:val="000000"/>
                      <w:kern w:val="0"/>
                      <w:sz w:val="18"/>
                      <w:szCs w:val="18"/>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20" w:firstLineChars="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540" w:firstLineChars="30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w:t>
                  </w:r>
                  <w:r>
                    <w:rPr>
                      <w:rFonts w:hint="eastAsia" w:eastAsia="宋体"/>
                      <w:color w:val="000000"/>
                      <w:kern w:val="0"/>
                      <w:sz w:val="20"/>
                    </w:rPr>
                    <w:t>事业单位医疗</w:t>
                  </w:r>
                  <w:r>
                    <w:rPr>
                      <w:rFonts w:hint="eastAsia" w:eastAsia="宋体"/>
                      <w:color w:val="000000"/>
                      <w:kern w:val="0"/>
                      <w:sz w:val="20"/>
                      <w:lang w:eastAsia="zh-CN"/>
                    </w:rPr>
                    <w:t>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194.07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194.07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179.67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176.46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176.46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tabs>
                <w:tab w:val="left" w:pos="278"/>
              </w:tabs>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ab/>
            </w: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37.58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360" w:firstLineChars="200"/>
              <w:jc w:val="left"/>
              <w:textAlignment w:val="center"/>
              <w:rPr>
                <w:rFonts w:eastAsia="宋体"/>
                <w:color w:val="000000"/>
                <w:sz w:val="20"/>
              </w:rPr>
            </w:pPr>
            <w:r>
              <w:rPr>
                <w:rFonts w:hint="eastAsia" w:ascii="宋体" w:hAnsi="宋体" w:eastAsia="宋体" w:cs="宋体"/>
                <w:i w:val="0"/>
                <w:iCs w:val="0"/>
                <w:color w:val="000000"/>
                <w:kern w:val="0"/>
                <w:sz w:val="18"/>
                <w:szCs w:val="18"/>
                <w:u w:val="none"/>
                <w:lang w:val="en-US" w:eastAsia="zh-CN" w:bidi="ar"/>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360" w:firstLineChars="200"/>
              <w:jc w:val="left"/>
              <w:textAlignment w:val="center"/>
              <w:rPr>
                <w:rFonts w:eastAsia="宋体"/>
                <w:color w:val="000000"/>
                <w:sz w:val="20"/>
              </w:rPr>
            </w:pPr>
            <w:r>
              <w:rPr>
                <w:rFonts w:hint="eastAsia" w:ascii="宋体" w:hAnsi="宋体" w:eastAsia="宋体" w:cs="宋体"/>
                <w:i w:val="0"/>
                <w:iCs w:val="0"/>
                <w:color w:val="000000"/>
                <w:kern w:val="0"/>
                <w:sz w:val="18"/>
                <w:szCs w:val="18"/>
                <w:u w:val="none"/>
                <w:lang w:val="en-US" w:eastAsia="zh-CN" w:bidi="ar"/>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360" w:firstLineChars="20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其他</w:t>
            </w: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15.07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15.07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eastAsia="宋体"/>
                <w:kern w:val="0"/>
                <w:sz w:val="20"/>
                <w:lang w:val="en-US" w:eastAsia="zh-CN"/>
              </w:rPr>
              <w:t>14.4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其他交通费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3.21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eastAsia="宋体"/>
                <w:kern w:val="0"/>
                <w:sz w:val="20"/>
                <w:lang w:val="en-US" w:eastAsia="zh-CN"/>
              </w:rPr>
              <w:t>3.21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2.69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2.69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u w:val="single"/>
                <w:lang w:val="en-US" w:eastAsia="zh-CN"/>
              </w:rPr>
              <w:t>38</w:t>
            </w:r>
            <w:r>
              <w:rPr>
                <w:color w:val="000000"/>
                <w:kern w:val="0"/>
                <w:sz w:val="28"/>
                <w:szCs w:val="28"/>
              </w:rPr>
              <w:t>人，其中：在职人员</w:t>
            </w:r>
            <w:r>
              <w:rPr>
                <w:rFonts w:hint="eastAsia"/>
                <w:color w:val="000000"/>
                <w:kern w:val="0"/>
                <w:sz w:val="28"/>
                <w:szCs w:val="28"/>
                <w:u w:val="single"/>
                <w:lang w:val="en-US" w:eastAsia="zh-CN"/>
              </w:rPr>
              <w:t>15</w:t>
            </w:r>
            <w:r>
              <w:rPr>
                <w:color w:val="000000"/>
                <w:kern w:val="0"/>
                <w:sz w:val="28"/>
                <w:szCs w:val="28"/>
              </w:rPr>
              <w:t>人，离退休人员</w:t>
            </w:r>
            <w:r>
              <w:rPr>
                <w:rFonts w:hint="eastAsia"/>
                <w:color w:val="000000"/>
                <w:kern w:val="0"/>
                <w:sz w:val="28"/>
                <w:szCs w:val="28"/>
                <w:u w:val="single"/>
                <w:lang w:val="en-US" w:eastAsia="zh-CN"/>
              </w:rPr>
              <w:t>23</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45.7</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1人退休人员经费和公用经费减少</w:t>
      </w:r>
      <w:r>
        <w:rPr>
          <w:rFonts w:hint="eastAsia" w:ascii="仿宋_GB2312" w:hAnsi="仿宋_GB2312" w:eastAsia="仿宋_GB2312" w:cs="仿宋_GB2312"/>
          <w:szCs w:val="32"/>
          <w:u w:val="single"/>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w:t>
      </w:r>
      <w:r>
        <w:rPr>
          <w:szCs w:val="32"/>
        </w:rPr>
        <w:t>上年结转</w:t>
      </w:r>
      <w:r>
        <w:rPr>
          <w:rFonts w:hint="eastAsia"/>
          <w:szCs w:val="32"/>
          <w:u w:val="single"/>
          <w:lang w:val="en-US" w:eastAsia="zh-CN"/>
        </w:rPr>
        <w:t>0</w:t>
      </w:r>
      <w:r>
        <w:rPr>
          <w:szCs w:val="32"/>
        </w:rPr>
        <w:t>万元，占</w:t>
      </w:r>
      <w:r>
        <w:rPr>
          <w:rFonts w:hint="eastAsia"/>
          <w:szCs w:val="32"/>
          <w:u w:val="single"/>
          <w:lang w:val="en-US" w:eastAsia="zh-CN"/>
        </w:rPr>
        <w:t>0</w:t>
      </w:r>
      <w:r>
        <w:rPr>
          <w:szCs w:val="32"/>
        </w:rPr>
        <w:t>%。本年收入中，一般公共预算拨款收入</w:t>
      </w:r>
      <w:r>
        <w:rPr>
          <w:rFonts w:hint="eastAsia" w:ascii="仿宋_GB2312" w:hAnsi="仿宋_GB2312" w:cs="仿宋_GB2312"/>
          <w:szCs w:val="32"/>
          <w:u w:val="single"/>
          <w:lang w:val="en-US" w:eastAsia="zh-CN"/>
        </w:rPr>
        <w:t>194.07</w:t>
      </w:r>
      <w:r>
        <w:rPr>
          <w:szCs w:val="32"/>
        </w:rPr>
        <w:t>万元，占</w:t>
      </w:r>
      <w:r>
        <w:rPr>
          <w:rFonts w:hint="eastAsia"/>
          <w:szCs w:val="32"/>
          <w:lang w:val="en-US" w:eastAsia="zh-CN"/>
        </w:rPr>
        <w:t>10</w:t>
      </w:r>
      <w:r>
        <w:rPr>
          <w:rFonts w:hint="eastAsia"/>
          <w:szCs w:val="32"/>
          <w:lang w:eastAsia="zh-CN"/>
        </w:rPr>
        <w:t>0</w:t>
      </w:r>
      <w:r>
        <w:rPr>
          <w:szCs w:val="32"/>
        </w:rPr>
        <w:t>%；政府性基金预算拨款收入</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国有资本经营</w:t>
      </w:r>
      <w:r>
        <w:rPr>
          <w:szCs w:val="32"/>
        </w:rPr>
        <w:t>预算拨款收入</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财政专户管理资金收入</w:t>
      </w:r>
      <w:r>
        <w:rPr>
          <w:rFonts w:hint="eastAsia"/>
          <w:szCs w:val="32"/>
          <w:u w:val="single"/>
          <w:lang w:val="en-US" w:eastAsia="zh-CN"/>
        </w:rPr>
        <w:t>0</w:t>
      </w:r>
      <w:r>
        <w:rPr>
          <w:szCs w:val="32"/>
        </w:rPr>
        <w:t>万元，占</w:t>
      </w:r>
      <w:r>
        <w:rPr>
          <w:rFonts w:hint="eastAsia"/>
          <w:szCs w:val="32"/>
          <w:u w:val="single"/>
          <w:lang w:val="en-US" w:eastAsia="zh-CN"/>
        </w:rPr>
        <w:t>0</w:t>
      </w:r>
      <w:r>
        <w:rPr>
          <w:szCs w:val="32"/>
        </w:rPr>
        <w:t>%；事业收入</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上级补助收入</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附属单位上缴收入</w:t>
      </w:r>
      <w:r>
        <w:rPr>
          <w:rFonts w:hint="eastAsia"/>
          <w:szCs w:val="32"/>
          <w:u w:val="single"/>
          <w:lang w:val="en-US" w:eastAsia="zh-CN"/>
        </w:rPr>
        <w:t>0</w:t>
      </w:r>
      <w:r>
        <w:rPr>
          <w:szCs w:val="32"/>
        </w:rPr>
        <w:t>万元，占</w:t>
      </w:r>
      <w:r>
        <w:rPr>
          <w:rFonts w:hint="eastAsia"/>
          <w:szCs w:val="32"/>
          <w:u w:val="single"/>
          <w:lang w:val="en-US" w:eastAsia="zh-CN"/>
        </w:rPr>
        <w:t>0</w:t>
      </w:r>
      <w:r>
        <w:rPr>
          <w:szCs w:val="32"/>
        </w:rPr>
        <w:t>%；事业单位经营收入</w:t>
      </w:r>
      <w:r>
        <w:rPr>
          <w:rFonts w:hint="eastAsia"/>
          <w:szCs w:val="32"/>
          <w:u w:val="single"/>
          <w:lang w:val="en-US" w:eastAsia="zh-CN"/>
        </w:rPr>
        <w:t>0</w:t>
      </w:r>
      <w:r>
        <w:rPr>
          <w:szCs w:val="32"/>
        </w:rPr>
        <w:t>万元，占</w:t>
      </w:r>
      <w:r>
        <w:rPr>
          <w:rFonts w:hint="eastAsia"/>
          <w:szCs w:val="32"/>
          <w:u w:val="single"/>
          <w:lang w:val="en-US" w:eastAsia="zh-CN"/>
        </w:rPr>
        <w:t>0</w:t>
      </w:r>
      <w:r>
        <w:rPr>
          <w:szCs w:val="32"/>
        </w:rPr>
        <w:t>%；其他收入</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w:t>
      </w:r>
      <w:r>
        <w:rPr>
          <w:szCs w:val="32"/>
        </w:rPr>
        <w:t>上年结转</w:t>
      </w:r>
      <w:r>
        <w:rPr>
          <w:rFonts w:hint="eastAsia"/>
          <w:szCs w:val="32"/>
        </w:rPr>
        <w:t>中，一般公共预算拨款结转</w:t>
      </w:r>
      <w:r>
        <w:rPr>
          <w:rFonts w:hint="eastAsia"/>
          <w:szCs w:val="32"/>
          <w:u w:val="single"/>
          <w:lang w:val="en-US" w:eastAsia="zh-CN"/>
        </w:rPr>
        <w:t>0</w:t>
      </w:r>
      <w:r>
        <w:rPr>
          <w:szCs w:val="32"/>
        </w:rPr>
        <w:t>万元，占</w:t>
      </w:r>
      <w:r>
        <w:rPr>
          <w:rFonts w:hint="eastAsia"/>
          <w:szCs w:val="32"/>
          <w:u w:val="single"/>
          <w:lang w:val="en-US" w:eastAsia="zh-CN"/>
        </w:rPr>
        <w:t>0</w:t>
      </w:r>
      <w:r>
        <w:rPr>
          <w:szCs w:val="32"/>
        </w:rPr>
        <w:t>_%；</w:t>
      </w:r>
      <w:r>
        <w:rPr>
          <w:rFonts w:hint="eastAsia"/>
          <w:szCs w:val="32"/>
        </w:rPr>
        <w:t>政府性基金预算拨款结转</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国有资本经营预算拨款结转</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财政专户管理资金结转结余</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单位资金结转</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用事业基金弥补收支差额</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r>
        <w:rPr>
          <w:rFonts w:hint="eastAsia"/>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w:t>
      </w:r>
      <w:r>
        <w:rPr>
          <w:szCs w:val="32"/>
        </w:rPr>
        <w:t>项目支出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%；事业单位经营支出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%；上缴上级支出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%；对附属单位补助支出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p>
    <w:p>
      <w:pPr>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144.82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25.89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8.29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15.07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179.67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92.58</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14.4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7.42</w:t>
      </w:r>
      <w:r>
        <w:rPr>
          <w:rFonts w:hint="eastAsia" w:ascii="仿宋_GB2312" w:hAnsi="仿宋_GB2312" w:eastAsia="仿宋_GB2312" w:cs="仿宋_GB2312"/>
          <w:szCs w:val="32"/>
        </w:rPr>
        <w:t>%。</w:t>
      </w:r>
    </w:p>
    <w:p>
      <w:pPr>
        <w:spacing w:line="520" w:lineRule="exact"/>
        <w:ind w:firstLine="200"/>
        <w:rPr>
          <w:szCs w:val="32"/>
        </w:rPr>
      </w:pPr>
      <w:r>
        <w:rPr>
          <w:szCs w:val="32"/>
        </w:rPr>
        <w:t>一般公共服务（类）支出</w:t>
      </w:r>
      <w:r>
        <w:rPr>
          <w:rFonts w:hint="eastAsia"/>
          <w:szCs w:val="32"/>
          <w:u w:val="single"/>
          <w:lang w:val="en-US" w:eastAsia="zh-CN"/>
        </w:rPr>
        <w:t>144.82</w:t>
      </w:r>
      <w:r>
        <w:rPr>
          <w:szCs w:val="32"/>
        </w:rPr>
        <w:t>万元，占</w:t>
      </w:r>
      <w:r>
        <w:rPr>
          <w:rFonts w:hint="eastAsia"/>
          <w:szCs w:val="32"/>
          <w:u w:val="single"/>
          <w:lang w:val="en-US" w:eastAsia="zh-CN"/>
        </w:rPr>
        <w:t>74.62</w:t>
      </w:r>
      <w:r>
        <w:rPr>
          <w:szCs w:val="32"/>
        </w:rPr>
        <w:t>%，主要用于</w:t>
      </w:r>
      <w:r>
        <w:rPr>
          <w:rFonts w:hint="eastAsia"/>
          <w:szCs w:val="32"/>
          <w:u w:val="single"/>
          <w:lang w:eastAsia="zh-CN"/>
        </w:rPr>
        <w:t>职工的工资福利性支出及公用经费</w:t>
      </w:r>
      <w:r>
        <w:rPr>
          <w:szCs w:val="32"/>
        </w:rPr>
        <w:t>。</w:t>
      </w:r>
    </w:p>
    <w:p>
      <w:pPr>
        <w:spacing w:line="520" w:lineRule="exact"/>
        <w:ind w:firstLine="200"/>
        <w:rPr>
          <w:rFonts w:hint="eastAsia"/>
          <w:szCs w:val="32"/>
          <w:lang w:eastAsia="zh-CN"/>
        </w:rPr>
      </w:pPr>
      <w:r>
        <w:rPr>
          <w:szCs w:val="32"/>
        </w:rPr>
        <w:t>国防（类）支出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%，主要原因是</w:t>
      </w:r>
      <w:r>
        <w:rPr>
          <w:rFonts w:eastAsia="楷体"/>
          <w:szCs w:val="32"/>
          <w:u w:val="single"/>
        </w:rPr>
        <w:t>本部门无一般公共预算拨款</w:t>
      </w:r>
      <w:r>
        <w:rPr>
          <w:rFonts w:hint="eastAsia"/>
          <w:szCs w:val="32"/>
          <w:lang w:eastAsia="zh-CN"/>
        </w:rPr>
        <w:t>。</w:t>
      </w:r>
    </w:p>
    <w:p>
      <w:pPr>
        <w:spacing w:line="520" w:lineRule="exact"/>
        <w:ind w:firstLine="200"/>
        <w:rPr>
          <w:rFonts w:hint="eastAsia"/>
          <w:szCs w:val="32"/>
          <w:lang w:eastAsia="zh-CN"/>
        </w:rPr>
      </w:pPr>
      <w:r>
        <w:rPr>
          <w:szCs w:val="32"/>
        </w:rPr>
        <w:t>教育（类）支出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%，主要原因是</w:t>
      </w:r>
      <w:r>
        <w:rPr>
          <w:rFonts w:eastAsia="楷体"/>
          <w:szCs w:val="32"/>
          <w:u w:val="single"/>
        </w:rPr>
        <w:t>本部门无一般公共预算拨款</w:t>
      </w:r>
      <w:r>
        <w:rPr>
          <w:rFonts w:hint="eastAsia"/>
          <w:szCs w:val="32"/>
          <w:lang w:eastAsia="zh-CN"/>
        </w:rPr>
        <w:t>。</w:t>
      </w:r>
    </w:p>
    <w:p>
      <w:pPr>
        <w:spacing w:line="520" w:lineRule="exact"/>
        <w:ind w:firstLine="200"/>
        <w:rPr>
          <w:szCs w:val="32"/>
        </w:rPr>
      </w:pPr>
      <w:r>
        <w:rPr>
          <w:szCs w:val="32"/>
        </w:rPr>
        <w:t>科学技术（类）支出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%，主要原因是</w:t>
      </w:r>
      <w:r>
        <w:rPr>
          <w:rFonts w:eastAsia="楷体"/>
          <w:szCs w:val="32"/>
          <w:u w:val="single"/>
        </w:rPr>
        <w:t>本部门无一般公共预算拨款</w:t>
      </w:r>
      <w:r>
        <w:rPr>
          <w:szCs w:val="32"/>
        </w:rPr>
        <w:t>。</w:t>
      </w:r>
    </w:p>
    <w:p>
      <w:pPr>
        <w:spacing w:line="520" w:lineRule="exact"/>
        <w:ind w:firstLine="200"/>
        <w:rPr>
          <w:szCs w:val="32"/>
        </w:rPr>
      </w:pPr>
      <w:r>
        <w:rPr>
          <w:szCs w:val="32"/>
        </w:rPr>
        <w:t>文化</w:t>
      </w:r>
      <w:r>
        <w:rPr>
          <w:rFonts w:hint="eastAsia"/>
          <w:szCs w:val="32"/>
        </w:rPr>
        <w:t>旅游</w:t>
      </w:r>
      <w:r>
        <w:rPr>
          <w:szCs w:val="32"/>
        </w:rPr>
        <w:t>体育与传媒（类）支出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%，主要原因是</w:t>
      </w:r>
      <w:r>
        <w:rPr>
          <w:rFonts w:eastAsia="楷体"/>
          <w:szCs w:val="32"/>
          <w:u w:val="single"/>
        </w:rPr>
        <w:t>本部门无一般公共预算拨款</w:t>
      </w:r>
      <w:r>
        <w:rPr>
          <w:szCs w:val="32"/>
        </w:rPr>
        <w:t>。</w:t>
      </w:r>
    </w:p>
    <w:p>
      <w:pPr>
        <w:spacing w:line="520" w:lineRule="exact"/>
        <w:ind w:firstLine="200"/>
        <w:rPr>
          <w:szCs w:val="32"/>
        </w:rPr>
      </w:pPr>
      <w:r>
        <w:rPr>
          <w:szCs w:val="32"/>
        </w:rPr>
        <w:t>社会保障和就业（类）支出</w:t>
      </w:r>
      <w:r>
        <w:rPr>
          <w:rFonts w:hint="eastAsia"/>
          <w:szCs w:val="32"/>
          <w:u w:val="single"/>
          <w:lang w:val="en-US" w:eastAsia="zh-CN"/>
        </w:rPr>
        <w:t>25.89</w:t>
      </w:r>
      <w:r>
        <w:rPr>
          <w:szCs w:val="32"/>
        </w:rPr>
        <w:t>万元，占</w:t>
      </w:r>
      <w:r>
        <w:rPr>
          <w:rFonts w:hint="eastAsia"/>
          <w:szCs w:val="32"/>
          <w:u w:val="single"/>
          <w:lang w:val="en-US" w:eastAsia="zh-CN"/>
        </w:rPr>
        <w:t>13.34</w:t>
      </w:r>
      <w:r>
        <w:rPr>
          <w:szCs w:val="32"/>
        </w:rPr>
        <w:t>%，主要原因是</w:t>
      </w:r>
      <w:r>
        <w:rPr>
          <w:rFonts w:hint="eastAsia" w:eastAsia="楷体"/>
          <w:szCs w:val="32"/>
          <w:u w:val="single"/>
          <w:lang w:eastAsia="zh-CN"/>
        </w:rPr>
        <w:t>职工的基本养老保险缴费</w:t>
      </w:r>
      <w:r>
        <w:rPr>
          <w:szCs w:val="32"/>
        </w:rPr>
        <w:t>。</w:t>
      </w:r>
    </w:p>
    <w:p>
      <w:pPr>
        <w:spacing w:line="520" w:lineRule="exact"/>
        <w:ind w:firstLine="200"/>
        <w:rPr>
          <w:szCs w:val="32"/>
        </w:rPr>
      </w:pPr>
      <w:r>
        <w:rPr>
          <w:rFonts w:hint="eastAsia"/>
          <w:szCs w:val="32"/>
          <w:lang w:eastAsia="zh-CN"/>
        </w:rPr>
        <w:t>卫生健康支出</w:t>
      </w:r>
      <w:r>
        <w:rPr>
          <w:szCs w:val="32"/>
        </w:rPr>
        <w:t>（类）支出</w:t>
      </w:r>
      <w:r>
        <w:rPr>
          <w:rFonts w:hint="eastAsia"/>
          <w:szCs w:val="32"/>
          <w:u w:val="single"/>
          <w:lang w:val="en-US" w:eastAsia="zh-CN"/>
        </w:rPr>
        <w:t>8.29</w:t>
      </w:r>
      <w:r>
        <w:rPr>
          <w:szCs w:val="32"/>
        </w:rPr>
        <w:t>万元，占</w:t>
      </w:r>
      <w:r>
        <w:rPr>
          <w:rFonts w:hint="eastAsia"/>
          <w:szCs w:val="32"/>
          <w:u w:val="single"/>
          <w:lang w:val="en-US" w:eastAsia="zh-CN"/>
        </w:rPr>
        <w:t>4.27</w:t>
      </w:r>
      <w:r>
        <w:rPr>
          <w:szCs w:val="32"/>
        </w:rPr>
        <w:t>%，主要原因是</w:t>
      </w:r>
      <w:r>
        <w:rPr>
          <w:rFonts w:hint="eastAsia"/>
          <w:szCs w:val="32"/>
          <w:u w:val="single"/>
          <w:lang w:eastAsia="zh-CN"/>
        </w:rPr>
        <w:t>职工的基本</w:t>
      </w:r>
      <w:r>
        <w:rPr>
          <w:rFonts w:hint="eastAsia" w:eastAsia="楷体"/>
          <w:szCs w:val="32"/>
          <w:u w:val="single"/>
          <w:lang w:eastAsia="zh-CN"/>
        </w:rPr>
        <w:t>医疗保险缴费</w:t>
      </w:r>
      <w:r>
        <w:rPr>
          <w:szCs w:val="32"/>
        </w:rPr>
        <w:t>。</w:t>
      </w:r>
    </w:p>
    <w:p>
      <w:pPr>
        <w:spacing w:line="520" w:lineRule="exact"/>
        <w:ind w:firstLine="200"/>
        <w:rPr>
          <w:szCs w:val="32"/>
        </w:rPr>
      </w:pPr>
      <w:r>
        <w:rPr>
          <w:szCs w:val="32"/>
        </w:rPr>
        <w:t>农林水支出（类）支出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%，主要原因是</w:t>
      </w:r>
      <w:r>
        <w:rPr>
          <w:rFonts w:eastAsia="楷体"/>
          <w:szCs w:val="32"/>
          <w:u w:val="single"/>
        </w:rPr>
        <w:t>本部门无一般公共预算拨款</w:t>
      </w:r>
      <w:r>
        <w:rPr>
          <w:szCs w:val="32"/>
        </w:rPr>
        <w:t>。</w:t>
      </w:r>
    </w:p>
    <w:p>
      <w:pPr>
        <w:spacing w:line="520" w:lineRule="exact"/>
        <w:ind w:firstLine="200"/>
        <w:rPr>
          <w:rFonts w:hint="eastAsia"/>
          <w:szCs w:val="32"/>
        </w:rPr>
      </w:pPr>
      <w:r>
        <w:rPr>
          <w:szCs w:val="32"/>
        </w:rPr>
        <w:t>住房保障（类）支出</w:t>
      </w:r>
      <w:r>
        <w:rPr>
          <w:rFonts w:hint="eastAsia"/>
          <w:szCs w:val="32"/>
          <w:u w:val="single"/>
          <w:lang w:val="en-US" w:eastAsia="zh-CN"/>
        </w:rPr>
        <w:t>15.07</w:t>
      </w:r>
      <w:r>
        <w:rPr>
          <w:szCs w:val="32"/>
        </w:rPr>
        <w:t>万元，占</w:t>
      </w:r>
      <w:r>
        <w:rPr>
          <w:rFonts w:hint="eastAsia"/>
          <w:szCs w:val="32"/>
          <w:u w:val="single"/>
          <w:lang w:val="en-US" w:eastAsia="zh-CN"/>
        </w:rPr>
        <w:t>7.77</w:t>
      </w:r>
      <w:r>
        <w:rPr>
          <w:szCs w:val="32"/>
        </w:rPr>
        <w:t>%，主要原因是</w:t>
      </w:r>
      <w:r>
        <w:rPr>
          <w:rFonts w:eastAsia="楷体"/>
          <w:szCs w:val="32"/>
          <w:u w:val="single"/>
        </w:rPr>
        <w:t>本部门</w:t>
      </w:r>
      <w:r>
        <w:rPr>
          <w:rFonts w:hint="eastAsia" w:eastAsia="楷体"/>
          <w:szCs w:val="32"/>
          <w:u w:val="single"/>
          <w:lang w:eastAsia="zh-CN"/>
        </w:rPr>
        <w:t>职工的住房公积金缴费</w:t>
      </w:r>
      <w:r>
        <w:rPr>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194.07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179.67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14.4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bookmarkStart w:id="0" w:name="_GoBack"/>
      <w:bookmarkEnd w:id="0"/>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szCs w:val="32"/>
        </w:rPr>
      </w:pPr>
      <w:r>
        <w:rPr>
          <w:rFonts w:hint="eastAsia"/>
          <w:szCs w:val="32"/>
          <w:lang w:eastAsia="zh-CN"/>
        </w:rPr>
        <w:t>202</w:t>
      </w:r>
      <w:r>
        <w:rPr>
          <w:rFonts w:hint="eastAsia"/>
          <w:szCs w:val="32"/>
          <w:lang w:val="en-US" w:eastAsia="zh-CN"/>
        </w:rPr>
        <w:t>4</w:t>
      </w:r>
      <w:r>
        <w:rPr>
          <w:szCs w:val="32"/>
        </w:rPr>
        <w:t>年“三公”经费预算数为</w:t>
      </w:r>
      <w:r>
        <w:rPr>
          <w:rFonts w:hint="eastAsia"/>
          <w:szCs w:val="32"/>
          <w:u w:val="single"/>
          <w:lang w:val="en-US" w:eastAsia="zh-CN"/>
        </w:rPr>
        <w:t>0</w:t>
      </w:r>
      <w:r>
        <w:rPr>
          <w:szCs w:val="32"/>
        </w:rPr>
        <w:t>万元，</w:t>
      </w:r>
      <w:r>
        <w:rPr>
          <w:rFonts w:hint="eastAsia"/>
          <w:szCs w:val="32"/>
          <w:lang w:eastAsia="zh-CN"/>
        </w:rPr>
        <w:t>其中</w:t>
      </w:r>
      <w:r>
        <w:rPr>
          <w:rFonts w:hint="eastAsia"/>
          <w:szCs w:val="32"/>
          <w:lang w:val="en-US" w:eastAsia="zh-CN"/>
        </w:rPr>
        <w:t>:</w:t>
      </w:r>
      <w:r>
        <w:rPr>
          <w:rFonts w:hint="eastAsia"/>
          <w:szCs w:val="32"/>
          <w:lang w:eastAsia="zh-CN"/>
        </w:rPr>
        <w:t>当年预算</w:t>
      </w:r>
      <w:r>
        <w:rPr>
          <w:rFonts w:hint="eastAsia"/>
          <w:szCs w:val="32"/>
          <w:u w:val="single"/>
          <w:lang w:val="en-US" w:eastAsia="zh-CN"/>
        </w:rPr>
        <w:t>0</w:t>
      </w:r>
      <w:r>
        <w:rPr>
          <w:rFonts w:hint="eastAsia"/>
          <w:szCs w:val="32"/>
          <w:lang w:eastAsia="zh-CN"/>
        </w:rPr>
        <w:t>万元；上年结转</w:t>
      </w:r>
      <w:r>
        <w:rPr>
          <w:rFonts w:hint="eastAsia"/>
          <w:szCs w:val="32"/>
          <w:u w:val="single"/>
          <w:lang w:val="en-US" w:eastAsia="zh-CN"/>
        </w:rPr>
        <w:t>0</w:t>
      </w:r>
      <w:r>
        <w:rPr>
          <w:rFonts w:hint="eastAsia"/>
          <w:szCs w:val="32"/>
          <w:lang w:eastAsia="zh-CN"/>
        </w:rPr>
        <w:t>万元。</w:t>
      </w:r>
      <w:r>
        <w:rPr>
          <w:rFonts w:hint="eastAsia"/>
          <w:szCs w:val="32"/>
          <w:lang w:val="en-US" w:eastAsia="zh-CN"/>
        </w:rPr>
        <w:t>2024年当年预算数</w:t>
      </w:r>
      <w:r>
        <w:rPr>
          <w:szCs w:val="32"/>
        </w:rPr>
        <w:t>比20</w:t>
      </w:r>
      <w:r>
        <w:rPr>
          <w:rFonts w:hint="eastAsia"/>
          <w:szCs w:val="32"/>
        </w:rPr>
        <w:t>2</w:t>
      </w:r>
      <w:r>
        <w:rPr>
          <w:rFonts w:hint="eastAsia"/>
          <w:szCs w:val="32"/>
          <w:lang w:val="en-US" w:eastAsia="zh-CN"/>
        </w:rPr>
        <w:t>3</w:t>
      </w:r>
      <w:r>
        <w:rPr>
          <w:szCs w:val="32"/>
        </w:rPr>
        <w:t>年预算数增加（减少）</w:t>
      </w:r>
      <w:r>
        <w:rPr>
          <w:rFonts w:hint="eastAsia"/>
          <w:szCs w:val="32"/>
          <w:u w:val="single"/>
          <w:lang w:val="en-US" w:eastAsia="zh-CN"/>
        </w:rPr>
        <w:t>0</w:t>
      </w:r>
      <w:r>
        <w:rPr>
          <w:szCs w:val="32"/>
        </w:rPr>
        <w:t>万元。其中：</w:t>
      </w:r>
    </w:p>
    <w:p>
      <w:pPr>
        <w:ind w:firstLine="640" w:firstLineChars="200"/>
        <w:jc w:val="both"/>
        <w:rPr>
          <w:rFonts w:hint="eastAsia" w:eastAsia="仿宋_GB2312"/>
          <w:szCs w:val="32"/>
          <w:lang w:val="en-US" w:eastAsia="zh-CN"/>
        </w:rPr>
      </w:pPr>
      <w:r>
        <w:rPr>
          <w:szCs w:val="32"/>
        </w:rPr>
        <w:t>1.因公出国（境）费</w:t>
      </w:r>
      <w:r>
        <w:rPr>
          <w:rFonts w:hint="eastAsia"/>
          <w:szCs w:val="32"/>
          <w:u w:val="single"/>
          <w:lang w:val="en-US" w:eastAsia="zh-CN"/>
        </w:rPr>
        <w:t>0</w:t>
      </w:r>
      <w:r>
        <w:rPr>
          <w:szCs w:val="32"/>
        </w:rPr>
        <w:t>万元，</w:t>
      </w:r>
      <w:r>
        <w:rPr>
          <w:rFonts w:hint="eastAsia"/>
          <w:szCs w:val="32"/>
          <w:lang w:eastAsia="zh-CN"/>
        </w:rPr>
        <w:t>其中：当年预算</w:t>
      </w:r>
      <w:r>
        <w:rPr>
          <w:rFonts w:hint="eastAsia"/>
          <w:szCs w:val="32"/>
          <w:u w:val="single"/>
          <w:lang w:val="en-US" w:eastAsia="zh-CN"/>
        </w:rPr>
        <w:t>0</w:t>
      </w:r>
      <w:r>
        <w:rPr>
          <w:rFonts w:hint="eastAsia"/>
          <w:szCs w:val="32"/>
          <w:lang w:eastAsia="zh-CN"/>
        </w:rPr>
        <w:t>万元；上年结转</w:t>
      </w:r>
      <w:r>
        <w:rPr>
          <w:rFonts w:hint="eastAsia"/>
          <w:szCs w:val="32"/>
          <w:u w:val="single"/>
          <w:lang w:val="en-US" w:eastAsia="zh-CN"/>
        </w:rPr>
        <w:t>0</w:t>
      </w:r>
      <w:r>
        <w:rPr>
          <w:rFonts w:hint="eastAsia"/>
          <w:szCs w:val="32"/>
          <w:lang w:eastAsia="zh-CN"/>
        </w:rPr>
        <w:t>万元。</w:t>
      </w:r>
      <w:r>
        <w:rPr>
          <w:rFonts w:hint="eastAsia"/>
          <w:szCs w:val="32"/>
          <w:lang w:val="en-US" w:eastAsia="zh-CN"/>
        </w:rPr>
        <w:t>2024年当年预算数</w:t>
      </w:r>
      <w:r>
        <w:rPr>
          <w:szCs w:val="32"/>
        </w:rPr>
        <w:t>比20</w:t>
      </w:r>
      <w:r>
        <w:rPr>
          <w:rFonts w:hint="eastAsia"/>
          <w:szCs w:val="32"/>
        </w:rPr>
        <w:t>2</w:t>
      </w:r>
      <w:r>
        <w:rPr>
          <w:rFonts w:hint="eastAsia"/>
          <w:szCs w:val="32"/>
          <w:lang w:val="en-US" w:eastAsia="zh-CN"/>
        </w:rPr>
        <w:t>3</w:t>
      </w:r>
      <w:r>
        <w:rPr>
          <w:szCs w:val="32"/>
        </w:rPr>
        <w:t>年预算数增加（减少）</w:t>
      </w:r>
      <w:r>
        <w:rPr>
          <w:rFonts w:hint="eastAsia"/>
          <w:szCs w:val="32"/>
          <w:u w:val="single"/>
          <w:lang w:val="en-US" w:eastAsia="zh-CN"/>
        </w:rPr>
        <w:t>0</w:t>
      </w:r>
      <w:r>
        <w:rPr>
          <w:szCs w:val="32"/>
        </w:rPr>
        <w:t>万元，主要原因是</w:t>
      </w:r>
      <w:r>
        <w:rPr>
          <w:rFonts w:eastAsia="楷体"/>
          <w:szCs w:val="32"/>
          <w:u w:val="single"/>
        </w:rPr>
        <w:t>本部门无一般公共预算拨款</w:t>
      </w:r>
      <w:r>
        <w:rPr>
          <w:rFonts w:hint="eastAsia"/>
          <w:szCs w:val="32"/>
          <w:lang w:eastAsia="zh-CN"/>
        </w:rPr>
        <w:t>。</w:t>
      </w:r>
    </w:p>
    <w:p>
      <w:pPr>
        <w:ind w:firstLine="640" w:firstLineChars="200"/>
        <w:rPr>
          <w:rFonts w:hint="eastAsia" w:eastAsia="仿宋_GB2312"/>
          <w:szCs w:val="32"/>
          <w:lang w:eastAsia="zh-CN"/>
        </w:rPr>
      </w:pPr>
      <w:r>
        <w:rPr>
          <w:szCs w:val="32"/>
        </w:rPr>
        <w:t>2.公务接待费</w:t>
      </w:r>
      <w:r>
        <w:rPr>
          <w:rFonts w:hint="eastAsia"/>
          <w:szCs w:val="32"/>
          <w:u w:val="single"/>
          <w:lang w:val="en-US" w:eastAsia="zh-CN"/>
        </w:rPr>
        <w:t>0</w:t>
      </w:r>
      <w:r>
        <w:rPr>
          <w:szCs w:val="32"/>
        </w:rPr>
        <w:t>万元，</w:t>
      </w:r>
      <w:r>
        <w:rPr>
          <w:rFonts w:hint="eastAsia"/>
          <w:szCs w:val="32"/>
          <w:lang w:eastAsia="zh-CN"/>
        </w:rPr>
        <w:t>其中：当年预算</w:t>
      </w:r>
      <w:r>
        <w:rPr>
          <w:rFonts w:hint="eastAsia"/>
          <w:szCs w:val="32"/>
          <w:u w:val="single"/>
          <w:lang w:val="en-US" w:eastAsia="zh-CN"/>
        </w:rPr>
        <w:t>0</w:t>
      </w:r>
      <w:r>
        <w:rPr>
          <w:rFonts w:hint="eastAsia"/>
          <w:szCs w:val="32"/>
          <w:lang w:eastAsia="zh-CN"/>
        </w:rPr>
        <w:t>万元；上年结转</w:t>
      </w:r>
      <w:r>
        <w:rPr>
          <w:rFonts w:hint="eastAsia"/>
          <w:szCs w:val="32"/>
          <w:u w:val="single"/>
          <w:lang w:val="en-US" w:eastAsia="zh-CN"/>
        </w:rPr>
        <w:t>0</w:t>
      </w:r>
      <w:r>
        <w:rPr>
          <w:rFonts w:hint="eastAsia"/>
          <w:szCs w:val="32"/>
          <w:lang w:eastAsia="zh-CN"/>
        </w:rPr>
        <w:t>万元。</w:t>
      </w:r>
      <w:r>
        <w:rPr>
          <w:rFonts w:hint="eastAsia"/>
          <w:szCs w:val="32"/>
          <w:lang w:val="en-US" w:eastAsia="zh-CN"/>
        </w:rPr>
        <w:t>2024年当年预算数</w:t>
      </w:r>
      <w:r>
        <w:rPr>
          <w:szCs w:val="32"/>
        </w:rPr>
        <w:t>比20</w:t>
      </w:r>
      <w:r>
        <w:rPr>
          <w:rFonts w:hint="eastAsia"/>
          <w:szCs w:val="32"/>
        </w:rPr>
        <w:t>2</w:t>
      </w:r>
      <w:r>
        <w:rPr>
          <w:rFonts w:hint="eastAsia"/>
          <w:szCs w:val="32"/>
          <w:lang w:val="en-US" w:eastAsia="zh-CN"/>
        </w:rPr>
        <w:t>3</w:t>
      </w:r>
      <w:r>
        <w:rPr>
          <w:szCs w:val="32"/>
        </w:rPr>
        <w:t>年预算数增加（减少）</w:t>
      </w:r>
      <w:r>
        <w:rPr>
          <w:rFonts w:hint="eastAsia"/>
          <w:szCs w:val="32"/>
          <w:lang w:eastAsia="zh-CN"/>
        </w:rPr>
        <w:t>0</w:t>
      </w:r>
      <w:r>
        <w:rPr>
          <w:szCs w:val="32"/>
        </w:rPr>
        <w:t>万元，主要原因是</w:t>
      </w:r>
      <w:r>
        <w:rPr>
          <w:rFonts w:eastAsia="楷体"/>
          <w:szCs w:val="32"/>
          <w:u w:val="single"/>
        </w:rPr>
        <w:t>本部门无一般公共预算拨款</w:t>
      </w:r>
      <w:r>
        <w:rPr>
          <w:rFonts w:hint="eastAsia"/>
          <w:szCs w:val="32"/>
          <w:lang w:eastAsia="zh-CN"/>
        </w:rPr>
        <w:t>。</w:t>
      </w:r>
    </w:p>
    <w:p>
      <w:pPr>
        <w:ind w:firstLine="640" w:firstLineChars="200"/>
        <w:rPr>
          <w:szCs w:val="32"/>
        </w:rPr>
      </w:pPr>
      <w:r>
        <w:rPr>
          <w:szCs w:val="32"/>
        </w:rPr>
        <w:t>3.公务用车购置及运行费</w:t>
      </w:r>
      <w:r>
        <w:rPr>
          <w:rFonts w:hint="eastAsia"/>
          <w:szCs w:val="32"/>
          <w:u w:val="single"/>
          <w:lang w:val="en-US" w:eastAsia="zh-CN"/>
        </w:rPr>
        <w:t>0</w:t>
      </w:r>
      <w:r>
        <w:rPr>
          <w:szCs w:val="32"/>
        </w:rPr>
        <w:t>万元，</w:t>
      </w:r>
      <w:r>
        <w:rPr>
          <w:rFonts w:hint="eastAsia"/>
          <w:szCs w:val="32"/>
          <w:lang w:eastAsia="zh-CN"/>
        </w:rPr>
        <w:t>其中：当年预算0万元；上年结转0万元。</w:t>
      </w:r>
      <w:r>
        <w:rPr>
          <w:rFonts w:hint="eastAsia"/>
          <w:szCs w:val="32"/>
          <w:lang w:val="en-US" w:eastAsia="zh-CN"/>
        </w:rPr>
        <w:t>2024年当年预算数</w:t>
      </w:r>
      <w:r>
        <w:rPr>
          <w:szCs w:val="32"/>
        </w:rPr>
        <w:t>比20</w:t>
      </w:r>
      <w:r>
        <w:rPr>
          <w:rFonts w:hint="eastAsia"/>
          <w:szCs w:val="32"/>
        </w:rPr>
        <w:t>2</w:t>
      </w:r>
      <w:r>
        <w:rPr>
          <w:rFonts w:hint="eastAsia"/>
          <w:szCs w:val="32"/>
          <w:lang w:val="en-US" w:eastAsia="zh-CN"/>
        </w:rPr>
        <w:t>3</w:t>
      </w:r>
      <w:r>
        <w:rPr>
          <w:szCs w:val="32"/>
        </w:rPr>
        <w:t>年预算数增加（减少）</w:t>
      </w:r>
      <w:r>
        <w:rPr>
          <w:rFonts w:hint="eastAsia"/>
          <w:szCs w:val="32"/>
          <w:u w:val="single"/>
          <w:lang w:val="en-US" w:eastAsia="zh-CN"/>
        </w:rPr>
        <w:t>0</w:t>
      </w:r>
      <w:r>
        <w:rPr>
          <w:szCs w:val="32"/>
        </w:rPr>
        <w:t>万元。公务用车运行维护费</w:t>
      </w:r>
      <w:r>
        <w:rPr>
          <w:rFonts w:hint="eastAsia"/>
          <w:szCs w:val="32"/>
          <w:u w:val="single"/>
          <w:lang w:val="en-US" w:eastAsia="zh-CN"/>
        </w:rPr>
        <w:t>0</w:t>
      </w:r>
      <w:r>
        <w:rPr>
          <w:szCs w:val="32"/>
        </w:rPr>
        <w:t>万元，</w:t>
      </w:r>
      <w:r>
        <w:rPr>
          <w:rFonts w:hint="eastAsia"/>
          <w:szCs w:val="32"/>
          <w:lang w:eastAsia="zh-CN"/>
        </w:rPr>
        <w:t>其中：当年预算</w:t>
      </w:r>
      <w:r>
        <w:rPr>
          <w:rFonts w:hint="eastAsia"/>
          <w:szCs w:val="32"/>
          <w:u w:val="single"/>
          <w:lang w:val="en-US" w:eastAsia="zh-CN"/>
        </w:rPr>
        <w:t>0</w:t>
      </w:r>
      <w:r>
        <w:rPr>
          <w:rFonts w:hint="eastAsia"/>
          <w:szCs w:val="32"/>
          <w:lang w:eastAsia="zh-CN"/>
        </w:rPr>
        <w:t>万元；上年结转</w:t>
      </w:r>
      <w:r>
        <w:rPr>
          <w:rFonts w:hint="eastAsia"/>
          <w:szCs w:val="32"/>
          <w:u w:val="single"/>
          <w:lang w:val="en-US" w:eastAsia="zh-CN"/>
        </w:rPr>
        <w:t>0</w:t>
      </w:r>
      <w:r>
        <w:rPr>
          <w:rFonts w:hint="eastAsia"/>
          <w:szCs w:val="32"/>
          <w:lang w:eastAsia="zh-CN"/>
        </w:rPr>
        <w:t>万元。</w:t>
      </w:r>
      <w:r>
        <w:rPr>
          <w:rFonts w:hint="eastAsia"/>
          <w:szCs w:val="32"/>
          <w:lang w:val="en-US" w:eastAsia="zh-CN"/>
        </w:rPr>
        <w:t>2024年当年预算数</w:t>
      </w:r>
      <w:r>
        <w:rPr>
          <w:szCs w:val="32"/>
        </w:rPr>
        <w:t>比20</w:t>
      </w:r>
      <w:r>
        <w:rPr>
          <w:rFonts w:hint="eastAsia"/>
          <w:szCs w:val="32"/>
        </w:rPr>
        <w:t>2</w:t>
      </w:r>
      <w:r>
        <w:rPr>
          <w:rFonts w:hint="eastAsia"/>
          <w:szCs w:val="32"/>
          <w:lang w:val="en-US" w:eastAsia="zh-CN"/>
        </w:rPr>
        <w:t>3</w:t>
      </w:r>
      <w:r>
        <w:rPr>
          <w:szCs w:val="32"/>
        </w:rPr>
        <w:t>年预算数增加（减少）</w:t>
      </w:r>
      <w:r>
        <w:rPr>
          <w:rFonts w:hint="eastAsia"/>
          <w:szCs w:val="32"/>
          <w:u w:val="single"/>
          <w:lang w:val="en-US" w:eastAsia="zh-CN"/>
        </w:rPr>
        <w:t>0</w:t>
      </w:r>
      <w:r>
        <w:rPr>
          <w:szCs w:val="32"/>
        </w:rPr>
        <w:t>万元，主要原因是</w:t>
      </w:r>
      <w:r>
        <w:rPr>
          <w:rFonts w:eastAsia="楷体"/>
          <w:szCs w:val="32"/>
          <w:u w:val="single"/>
        </w:rPr>
        <w:t>本部门无一般公共预算拨款</w:t>
      </w:r>
      <w:r>
        <w:rPr>
          <w:szCs w:val="32"/>
        </w:rPr>
        <w:t>；公务用车购置费</w:t>
      </w:r>
      <w:r>
        <w:rPr>
          <w:rFonts w:hint="eastAsia"/>
          <w:szCs w:val="32"/>
          <w:u w:val="single"/>
          <w:lang w:val="en-US" w:eastAsia="zh-CN"/>
        </w:rPr>
        <w:t>0</w:t>
      </w:r>
      <w:r>
        <w:rPr>
          <w:szCs w:val="32"/>
        </w:rPr>
        <w:t>万元，</w:t>
      </w:r>
      <w:r>
        <w:rPr>
          <w:rFonts w:hint="eastAsia"/>
          <w:szCs w:val="32"/>
          <w:lang w:eastAsia="zh-CN"/>
        </w:rPr>
        <w:t>其中：当年预算0万元；上年结转</w:t>
      </w:r>
      <w:r>
        <w:rPr>
          <w:rFonts w:hint="eastAsia"/>
          <w:szCs w:val="32"/>
          <w:u w:val="single"/>
          <w:lang w:val="en-US" w:eastAsia="zh-CN"/>
        </w:rPr>
        <w:t>0</w:t>
      </w:r>
      <w:r>
        <w:rPr>
          <w:rFonts w:hint="eastAsia"/>
          <w:szCs w:val="32"/>
          <w:lang w:eastAsia="zh-CN"/>
        </w:rPr>
        <w:t>万元。</w:t>
      </w:r>
      <w:r>
        <w:rPr>
          <w:rFonts w:hint="eastAsia"/>
          <w:szCs w:val="32"/>
          <w:lang w:val="en-US" w:eastAsia="zh-CN"/>
        </w:rPr>
        <w:t>2024年当年预算数</w:t>
      </w:r>
      <w:r>
        <w:rPr>
          <w:szCs w:val="32"/>
        </w:rPr>
        <w:t>比20</w:t>
      </w:r>
      <w:r>
        <w:rPr>
          <w:rFonts w:hint="eastAsia"/>
          <w:szCs w:val="32"/>
        </w:rPr>
        <w:t>2</w:t>
      </w:r>
      <w:r>
        <w:rPr>
          <w:rFonts w:hint="eastAsia"/>
          <w:szCs w:val="32"/>
          <w:lang w:val="en-US" w:eastAsia="zh-CN"/>
        </w:rPr>
        <w:t>3</w:t>
      </w:r>
      <w:r>
        <w:rPr>
          <w:szCs w:val="32"/>
        </w:rPr>
        <w:t>年预算数增加（减少）</w:t>
      </w:r>
      <w:r>
        <w:rPr>
          <w:rFonts w:hint="eastAsia"/>
          <w:szCs w:val="32"/>
          <w:u w:val="single"/>
          <w:lang w:val="en-US" w:eastAsia="zh-CN"/>
        </w:rPr>
        <w:t>0</w:t>
      </w:r>
      <w:r>
        <w:rPr>
          <w:szCs w:val="32"/>
        </w:rPr>
        <w:t>万元，主要原因是</w:t>
      </w:r>
      <w:r>
        <w:rPr>
          <w:rFonts w:eastAsia="楷体"/>
          <w:szCs w:val="32"/>
          <w:u w:val="single"/>
        </w:rPr>
        <w:t>本部门无一般公共预算拨款</w:t>
      </w:r>
      <w:r>
        <w:rPr>
          <w:szCs w:val="32"/>
        </w:rPr>
        <w:t>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hint="eastAsia"/>
          <w:szCs w:val="32"/>
          <w:lang w:eastAsia="zh-CN"/>
        </w:rPr>
        <w:t>202</w:t>
      </w:r>
      <w:r>
        <w:rPr>
          <w:rFonts w:hint="eastAsia"/>
          <w:szCs w:val="32"/>
          <w:lang w:val="en-US" w:eastAsia="zh-CN"/>
        </w:rPr>
        <w:t>4</w:t>
      </w:r>
      <w:r>
        <w:rPr>
          <w:szCs w:val="32"/>
        </w:rPr>
        <w:t>年政府性基金预算支出</w:t>
      </w:r>
      <w:r>
        <w:rPr>
          <w:rFonts w:hint="eastAsia"/>
          <w:szCs w:val="32"/>
          <w:u w:val="single"/>
          <w:lang w:val="en-US" w:eastAsia="zh-CN"/>
        </w:rPr>
        <w:t>0</w:t>
      </w:r>
      <w:r>
        <w:rPr>
          <w:szCs w:val="32"/>
        </w:rPr>
        <w:t>万元，其中：基本支出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%；项目支出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%。基本支出中，人员经费</w:t>
      </w:r>
      <w:r>
        <w:rPr>
          <w:rFonts w:hint="eastAsia"/>
          <w:szCs w:val="32"/>
          <w:u w:val="single"/>
          <w:lang w:val="en-US" w:eastAsia="zh-CN"/>
        </w:rPr>
        <w:t>0</w:t>
      </w:r>
      <w:r>
        <w:rPr>
          <w:szCs w:val="32"/>
        </w:rPr>
        <w:t>万元，占</w:t>
      </w:r>
      <w:r>
        <w:rPr>
          <w:rFonts w:hint="eastAsia"/>
          <w:szCs w:val="32"/>
          <w:lang w:eastAsia="zh-CN"/>
        </w:rPr>
        <w:t>0</w:t>
      </w:r>
      <w:r>
        <w:rPr>
          <w:szCs w:val="32"/>
        </w:rPr>
        <w:t>%；公用经费</w:t>
      </w:r>
      <w:r>
        <w:rPr>
          <w:rFonts w:hint="eastAsia"/>
          <w:szCs w:val="32"/>
          <w:u w:val="single"/>
          <w:lang w:val="en-US" w:eastAsia="zh-CN"/>
        </w:rPr>
        <w:t>0</w:t>
      </w:r>
      <w:r>
        <w:rPr>
          <w:szCs w:val="32"/>
        </w:rPr>
        <w:t>万元，占</w:t>
      </w:r>
      <w:r>
        <w:rPr>
          <w:rFonts w:hint="eastAsia"/>
          <w:szCs w:val="32"/>
          <w:u w:val="single"/>
          <w:lang w:val="en-US" w:eastAsia="zh-CN"/>
        </w:rPr>
        <w:t>0</w:t>
      </w:r>
      <w:r>
        <w:rPr>
          <w:szCs w:val="32"/>
        </w:rPr>
        <w:t>%。</w:t>
      </w:r>
    </w:p>
    <w:p>
      <w:pPr>
        <w:ind w:firstLine="640"/>
        <w:rPr>
          <w:szCs w:val="32"/>
          <w:highlight w:val="none"/>
        </w:rPr>
      </w:pPr>
      <w:r>
        <w:rPr>
          <w:szCs w:val="32"/>
          <w:highlight w:val="none"/>
        </w:rPr>
        <w:t>科学技术（类）支出</w:t>
      </w:r>
      <w:r>
        <w:rPr>
          <w:rFonts w:hint="eastAsia"/>
          <w:szCs w:val="32"/>
          <w:highlight w:val="none"/>
          <w:lang w:eastAsia="zh-CN"/>
        </w:rPr>
        <w:t>0</w:t>
      </w:r>
      <w:r>
        <w:rPr>
          <w:szCs w:val="32"/>
          <w:highlight w:val="none"/>
        </w:rPr>
        <w:t>_万元，占</w:t>
      </w:r>
      <w:r>
        <w:rPr>
          <w:rFonts w:hint="eastAsia"/>
          <w:szCs w:val="32"/>
          <w:u w:val="single"/>
          <w:lang w:val="en-US" w:eastAsia="zh-CN"/>
        </w:rPr>
        <w:t>0</w:t>
      </w:r>
      <w:r>
        <w:rPr>
          <w:szCs w:val="32"/>
          <w:highlight w:val="none"/>
        </w:rPr>
        <w:t>%，</w:t>
      </w:r>
      <w:r>
        <w:rPr>
          <w:rFonts w:eastAsia="楷体"/>
          <w:szCs w:val="32"/>
          <w:u w:val="single"/>
        </w:rPr>
        <w:t>本部门无</w:t>
      </w:r>
      <w:r>
        <w:rPr>
          <w:rFonts w:hint="eastAsia" w:eastAsia="楷体"/>
          <w:szCs w:val="32"/>
          <w:u w:val="single"/>
          <w:lang w:eastAsia="zh-CN"/>
        </w:rPr>
        <w:t>政府性基金预算支出</w:t>
      </w:r>
      <w:r>
        <w:rPr>
          <w:szCs w:val="32"/>
        </w:rPr>
        <w:t>_</w:t>
      </w:r>
      <w:r>
        <w:rPr>
          <w:szCs w:val="32"/>
          <w:highlight w:val="none"/>
        </w:rPr>
        <w:t>。</w:t>
      </w:r>
    </w:p>
    <w:p>
      <w:pPr>
        <w:ind w:firstLine="640"/>
        <w:rPr>
          <w:szCs w:val="32"/>
          <w:highlight w:val="none"/>
        </w:rPr>
      </w:pPr>
      <w:r>
        <w:rPr>
          <w:szCs w:val="32"/>
          <w:highlight w:val="none"/>
        </w:rPr>
        <w:t>文化</w:t>
      </w:r>
      <w:r>
        <w:rPr>
          <w:rFonts w:hint="eastAsia"/>
          <w:szCs w:val="32"/>
          <w:highlight w:val="none"/>
        </w:rPr>
        <w:t>旅游</w:t>
      </w:r>
      <w:r>
        <w:rPr>
          <w:szCs w:val="32"/>
          <w:highlight w:val="none"/>
        </w:rPr>
        <w:t>体育与传媒（类）支出</w:t>
      </w:r>
      <w:r>
        <w:rPr>
          <w:rFonts w:hint="eastAsia"/>
          <w:szCs w:val="32"/>
          <w:u w:val="single"/>
          <w:lang w:val="en-US" w:eastAsia="zh-CN"/>
        </w:rPr>
        <w:t>0</w:t>
      </w:r>
      <w:r>
        <w:rPr>
          <w:szCs w:val="32"/>
          <w:highlight w:val="none"/>
        </w:rPr>
        <w:t>万元，占</w:t>
      </w:r>
      <w:r>
        <w:rPr>
          <w:rFonts w:hint="eastAsia"/>
          <w:szCs w:val="32"/>
          <w:u w:val="single"/>
          <w:lang w:val="en-US" w:eastAsia="zh-CN"/>
        </w:rPr>
        <w:t>0</w:t>
      </w:r>
      <w:r>
        <w:rPr>
          <w:szCs w:val="32"/>
          <w:highlight w:val="none"/>
        </w:rPr>
        <w:t>%，</w:t>
      </w:r>
      <w:r>
        <w:rPr>
          <w:rFonts w:eastAsia="楷体"/>
          <w:szCs w:val="32"/>
          <w:u w:val="single"/>
        </w:rPr>
        <w:t>本部门无</w:t>
      </w:r>
      <w:r>
        <w:rPr>
          <w:rFonts w:hint="eastAsia" w:eastAsia="楷体"/>
          <w:szCs w:val="32"/>
          <w:u w:val="single"/>
          <w:lang w:eastAsia="zh-CN"/>
        </w:rPr>
        <w:t>政府性基金预算支出</w:t>
      </w:r>
      <w:r>
        <w:rPr>
          <w:szCs w:val="32"/>
        </w:rPr>
        <w:t>_</w:t>
      </w:r>
      <w:r>
        <w:rPr>
          <w:szCs w:val="32"/>
          <w:highlight w:val="none"/>
        </w:rPr>
        <w:t>。</w:t>
      </w:r>
    </w:p>
    <w:p>
      <w:pPr>
        <w:ind w:firstLine="640"/>
        <w:rPr>
          <w:szCs w:val="32"/>
          <w:highlight w:val="none"/>
        </w:rPr>
      </w:pPr>
      <w:r>
        <w:rPr>
          <w:szCs w:val="32"/>
          <w:highlight w:val="none"/>
        </w:rPr>
        <w:t>社会保障和就业（类）支出</w:t>
      </w:r>
      <w:r>
        <w:rPr>
          <w:rFonts w:hint="eastAsia"/>
          <w:szCs w:val="32"/>
          <w:u w:val="single"/>
          <w:lang w:val="en-US" w:eastAsia="zh-CN"/>
        </w:rPr>
        <w:t>0</w:t>
      </w:r>
      <w:r>
        <w:rPr>
          <w:szCs w:val="32"/>
          <w:highlight w:val="none"/>
        </w:rPr>
        <w:t>万元，占</w:t>
      </w:r>
      <w:r>
        <w:rPr>
          <w:rFonts w:hint="eastAsia"/>
          <w:szCs w:val="32"/>
          <w:u w:val="single"/>
          <w:lang w:val="en-US" w:eastAsia="zh-CN"/>
        </w:rPr>
        <w:t>0</w:t>
      </w:r>
      <w:r>
        <w:rPr>
          <w:szCs w:val="32"/>
          <w:highlight w:val="none"/>
        </w:rPr>
        <w:t>%，</w:t>
      </w:r>
      <w:r>
        <w:rPr>
          <w:rFonts w:eastAsia="楷体"/>
          <w:szCs w:val="32"/>
          <w:u w:val="single"/>
        </w:rPr>
        <w:t>本部门无</w:t>
      </w:r>
      <w:r>
        <w:rPr>
          <w:rFonts w:hint="eastAsia" w:eastAsia="楷体"/>
          <w:szCs w:val="32"/>
          <w:u w:val="single"/>
          <w:lang w:eastAsia="zh-CN"/>
        </w:rPr>
        <w:t>政府性基金预算支出</w:t>
      </w:r>
      <w:r>
        <w:rPr>
          <w:szCs w:val="32"/>
          <w:highlight w:val="none"/>
        </w:rPr>
        <w:t>。</w:t>
      </w:r>
    </w:p>
    <w:p>
      <w:pPr>
        <w:ind w:firstLine="640"/>
        <w:rPr>
          <w:szCs w:val="32"/>
          <w:highlight w:val="none"/>
        </w:rPr>
      </w:pPr>
      <w:r>
        <w:rPr>
          <w:szCs w:val="32"/>
          <w:highlight w:val="none"/>
        </w:rPr>
        <w:t>农林水支出（类）支出</w:t>
      </w:r>
      <w:r>
        <w:rPr>
          <w:rFonts w:hint="eastAsia"/>
          <w:szCs w:val="32"/>
          <w:u w:val="single"/>
          <w:lang w:val="en-US" w:eastAsia="zh-CN"/>
        </w:rPr>
        <w:t>0</w:t>
      </w:r>
      <w:r>
        <w:rPr>
          <w:szCs w:val="32"/>
          <w:highlight w:val="none"/>
        </w:rPr>
        <w:t>万元，占</w:t>
      </w:r>
      <w:r>
        <w:rPr>
          <w:rFonts w:hint="eastAsia"/>
          <w:szCs w:val="32"/>
          <w:u w:val="single"/>
          <w:lang w:val="en-US" w:eastAsia="zh-CN"/>
        </w:rPr>
        <w:t>0</w:t>
      </w:r>
      <w:r>
        <w:rPr>
          <w:szCs w:val="32"/>
          <w:highlight w:val="none"/>
        </w:rPr>
        <w:t>%，</w:t>
      </w:r>
      <w:r>
        <w:rPr>
          <w:rFonts w:eastAsia="楷体"/>
          <w:szCs w:val="32"/>
          <w:u w:val="single"/>
        </w:rPr>
        <w:t>本部门无</w:t>
      </w:r>
      <w:r>
        <w:rPr>
          <w:rFonts w:hint="eastAsia" w:eastAsia="楷体"/>
          <w:szCs w:val="32"/>
          <w:u w:val="single"/>
          <w:lang w:eastAsia="zh-CN"/>
        </w:rPr>
        <w:t>政府性基金预算支出</w:t>
      </w:r>
      <w:r>
        <w:rPr>
          <w:szCs w:val="32"/>
        </w:rPr>
        <w:t>_</w:t>
      </w:r>
      <w:r>
        <w:rPr>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highlight w:val="none"/>
        </w:rPr>
      </w:pPr>
      <w:r>
        <w:rPr>
          <w:rFonts w:hint="eastAsia"/>
          <w:szCs w:val="32"/>
          <w:highlight w:val="none"/>
          <w:lang w:eastAsia="zh-CN"/>
        </w:rPr>
        <w:t>202</w:t>
      </w:r>
      <w:r>
        <w:rPr>
          <w:rFonts w:hint="eastAsia"/>
          <w:szCs w:val="32"/>
          <w:highlight w:val="none"/>
          <w:lang w:val="en-US" w:eastAsia="zh-CN"/>
        </w:rPr>
        <w:t>4</w:t>
      </w:r>
      <w:r>
        <w:rPr>
          <w:szCs w:val="32"/>
          <w:highlight w:val="none"/>
        </w:rPr>
        <w:t>年</w:t>
      </w:r>
      <w:r>
        <w:rPr>
          <w:rFonts w:hint="eastAsia"/>
          <w:szCs w:val="32"/>
          <w:highlight w:val="none"/>
        </w:rPr>
        <w:t>国有资本经营</w:t>
      </w:r>
      <w:r>
        <w:rPr>
          <w:szCs w:val="32"/>
          <w:highlight w:val="none"/>
        </w:rPr>
        <w:t>预算支出</w:t>
      </w:r>
      <w:r>
        <w:rPr>
          <w:rFonts w:hint="eastAsia"/>
          <w:szCs w:val="32"/>
          <w:u w:val="single"/>
          <w:lang w:val="en-US" w:eastAsia="zh-CN"/>
        </w:rPr>
        <w:t>0</w:t>
      </w:r>
      <w:r>
        <w:rPr>
          <w:szCs w:val="32"/>
          <w:highlight w:val="none"/>
        </w:rPr>
        <w:t>万元，其中：基本支出</w:t>
      </w:r>
      <w:r>
        <w:rPr>
          <w:rFonts w:hint="eastAsia"/>
          <w:szCs w:val="32"/>
          <w:u w:val="single"/>
          <w:lang w:val="en-US" w:eastAsia="zh-CN"/>
        </w:rPr>
        <w:t>0</w:t>
      </w:r>
      <w:r>
        <w:rPr>
          <w:szCs w:val="32"/>
          <w:highlight w:val="none"/>
        </w:rPr>
        <w:t>万元，占</w:t>
      </w:r>
      <w:r>
        <w:rPr>
          <w:rFonts w:hint="eastAsia"/>
          <w:szCs w:val="32"/>
          <w:u w:val="single"/>
          <w:lang w:val="en-US" w:eastAsia="zh-CN"/>
        </w:rPr>
        <w:t>0</w:t>
      </w:r>
      <w:r>
        <w:rPr>
          <w:szCs w:val="32"/>
          <w:highlight w:val="none"/>
        </w:rPr>
        <w:t>%；项目支出</w:t>
      </w:r>
      <w:r>
        <w:rPr>
          <w:rFonts w:hint="eastAsia"/>
          <w:szCs w:val="32"/>
          <w:u w:val="single"/>
          <w:lang w:val="en-US" w:eastAsia="zh-CN"/>
        </w:rPr>
        <w:t>0</w:t>
      </w:r>
      <w:r>
        <w:rPr>
          <w:szCs w:val="32"/>
          <w:highlight w:val="none"/>
        </w:rPr>
        <w:t>万元，占</w:t>
      </w:r>
      <w:r>
        <w:rPr>
          <w:rFonts w:hint="eastAsia"/>
          <w:szCs w:val="32"/>
          <w:u w:val="single"/>
          <w:lang w:val="en-US" w:eastAsia="zh-CN"/>
        </w:rPr>
        <w:t>0</w:t>
      </w:r>
      <w:r>
        <w:rPr>
          <w:szCs w:val="32"/>
          <w:highlight w:val="none"/>
        </w:rPr>
        <w:t>%。</w:t>
      </w:r>
    </w:p>
    <w:p>
      <w:pPr>
        <w:ind w:firstLine="640"/>
        <w:rPr>
          <w:szCs w:val="32"/>
          <w:highlight w:val="none"/>
        </w:rPr>
      </w:pPr>
      <w:r>
        <w:rPr>
          <w:rFonts w:hint="eastAsia"/>
          <w:szCs w:val="32"/>
          <w:highlight w:val="none"/>
        </w:rPr>
        <w:t>解决历史遗留问题及改革（款）</w:t>
      </w:r>
      <w:r>
        <w:rPr>
          <w:szCs w:val="32"/>
          <w:highlight w:val="none"/>
        </w:rPr>
        <w:t>支出</w:t>
      </w:r>
      <w:r>
        <w:rPr>
          <w:rFonts w:hint="eastAsia"/>
          <w:szCs w:val="32"/>
          <w:u w:val="single"/>
          <w:lang w:val="en-US" w:eastAsia="zh-CN"/>
        </w:rPr>
        <w:t>0</w:t>
      </w:r>
      <w:r>
        <w:rPr>
          <w:szCs w:val="32"/>
          <w:highlight w:val="none"/>
        </w:rPr>
        <w:t>万元，占</w:t>
      </w:r>
      <w:r>
        <w:rPr>
          <w:rFonts w:hint="eastAsia"/>
          <w:szCs w:val="32"/>
          <w:u w:val="single"/>
          <w:lang w:val="en-US" w:eastAsia="zh-CN"/>
        </w:rPr>
        <w:t>0</w:t>
      </w:r>
      <w:r>
        <w:rPr>
          <w:szCs w:val="32"/>
          <w:highlight w:val="none"/>
        </w:rPr>
        <w:t>%，</w:t>
      </w:r>
      <w:r>
        <w:rPr>
          <w:rFonts w:eastAsia="楷体"/>
          <w:szCs w:val="32"/>
          <w:u w:val="single"/>
        </w:rPr>
        <w:t>本部门无</w:t>
      </w:r>
      <w:r>
        <w:rPr>
          <w:rFonts w:hint="eastAsia" w:eastAsia="楷体"/>
          <w:szCs w:val="32"/>
          <w:u w:val="single"/>
          <w:lang w:eastAsia="zh-CN"/>
        </w:rPr>
        <w:t>国有资本经营预算支出</w:t>
      </w:r>
      <w:r>
        <w:rPr>
          <w:szCs w:val="32"/>
        </w:rPr>
        <w:t>_</w:t>
      </w:r>
      <w:r>
        <w:rPr>
          <w:szCs w:val="32"/>
          <w:highlight w:val="none"/>
        </w:rPr>
        <w:t>。</w:t>
      </w:r>
    </w:p>
    <w:p>
      <w:pPr>
        <w:ind w:firstLine="640"/>
        <w:rPr>
          <w:szCs w:val="32"/>
          <w:highlight w:val="none"/>
        </w:rPr>
      </w:pPr>
      <w:r>
        <w:rPr>
          <w:rFonts w:hint="eastAsia"/>
          <w:szCs w:val="32"/>
          <w:highlight w:val="none"/>
        </w:rPr>
        <w:t>国有企业资本金注入</w:t>
      </w:r>
      <w:r>
        <w:rPr>
          <w:szCs w:val="32"/>
          <w:highlight w:val="none"/>
        </w:rPr>
        <w:t>（</w:t>
      </w:r>
      <w:r>
        <w:rPr>
          <w:rFonts w:hint="eastAsia"/>
          <w:szCs w:val="32"/>
          <w:highlight w:val="none"/>
        </w:rPr>
        <w:t>款</w:t>
      </w:r>
      <w:r>
        <w:rPr>
          <w:szCs w:val="32"/>
          <w:highlight w:val="none"/>
        </w:rPr>
        <w:t>）支出</w:t>
      </w:r>
      <w:r>
        <w:rPr>
          <w:rFonts w:hint="eastAsia"/>
          <w:szCs w:val="32"/>
          <w:u w:val="single"/>
          <w:lang w:val="en-US" w:eastAsia="zh-CN"/>
        </w:rPr>
        <w:t>0</w:t>
      </w:r>
      <w:r>
        <w:rPr>
          <w:szCs w:val="32"/>
          <w:highlight w:val="none"/>
        </w:rPr>
        <w:t>万元，占</w:t>
      </w:r>
      <w:r>
        <w:rPr>
          <w:rFonts w:hint="eastAsia"/>
          <w:szCs w:val="32"/>
          <w:u w:val="single"/>
          <w:lang w:val="en-US" w:eastAsia="zh-CN"/>
        </w:rPr>
        <w:t>0</w:t>
      </w:r>
      <w:r>
        <w:rPr>
          <w:szCs w:val="32"/>
          <w:highlight w:val="none"/>
        </w:rPr>
        <w:t>%，</w:t>
      </w:r>
      <w:r>
        <w:rPr>
          <w:rFonts w:eastAsia="楷体"/>
          <w:szCs w:val="32"/>
          <w:u w:val="single"/>
        </w:rPr>
        <w:t>本部门无</w:t>
      </w:r>
      <w:r>
        <w:rPr>
          <w:rFonts w:hint="eastAsia" w:eastAsia="楷体"/>
          <w:szCs w:val="32"/>
          <w:u w:val="single"/>
          <w:lang w:eastAsia="zh-CN"/>
        </w:rPr>
        <w:t>国有资本经营预算支出</w:t>
      </w:r>
      <w:r>
        <w:rPr>
          <w:szCs w:val="32"/>
          <w:highlight w:val="none"/>
        </w:rPr>
        <w:t>。</w:t>
      </w:r>
    </w:p>
    <w:p>
      <w:pPr>
        <w:ind w:firstLine="640"/>
        <w:rPr>
          <w:szCs w:val="32"/>
          <w:highlight w:val="none"/>
        </w:rPr>
      </w:pPr>
      <w:r>
        <w:rPr>
          <w:rFonts w:hint="eastAsia"/>
          <w:szCs w:val="32"/>
          <w:highlight w:val="none"/>
        </w:rPr>
        <w:t>国有企业政策性补贴</w:t>
      </w:r>
      <w:r>
        <w:rPr>
          <w:szCs w:val="32"/>
          <w:highlight w:val="none"/>
        </w:rPr>
        <w:t>（</w:t>
      </w:r>
      <w:r>
        <w:rPr>
          <w:rFonts w:hint="eastAsia"/>
          <w:szCs w:val="32"/>
          <w:highlight w:val="none"/>
        </w:rPr>
        <w:t>款</w:t>
      </w:r>
      <w:r>
        <w:rPr>
          <w:szCs w:val="32"/>
          <w:highlight w:val="none"/>
        </w:rPr>
        <w:t>）支出</w:t>
      </w:r>
      <w:r>
        <w:rPr>
          <w:rFonts w:hint="eastAsia"/>
          <w:szCs w:val="32"/>
          <w:u w:val="single"/>
          <w:lang w:val="en-US" w:eastAsia="zh-CN"/>
        </w:rPr>
        <w:t>0</w:t>
      </w:r>
      <w:r>
        <w:rPr>
          <w:szCs w:val="32"/>
          <w:highlight w:val="none"/>
        </w:rPr>
        <w:t>万元，占</w:t>
      </w:r>
      <w:r>
        <w:rPr>
          <w:rFonts w:hint="eastAsia"/>
          <w:szCs w:val="32"/>
          <w:u w:val="single"/>
          <w:lang w:val="en-US" w:eastAsia="zh-CN"/>
        </w:rPr>
        <w:t>0</w:t>
      </w:r>
      <w:r>
        <w:rPr>
          <w:szCs w:val="32"/>
          <w:highlight w:val="none"/>
        </w:rPr>
        <w:t>%，</w:t>
      </w:r>
      <w:r>
        <w:rPr>
          <w:rFonts w:eastAsia="楷体"/>
          <w:szCs w:val="32"/>
          <w:u w:val="single"/>
        </w:rPr>
        <w:t>本部门无</w:t>
      </w:r>
      <w:r>
        <w:rPr>
          <w:rFonts w:hint="eastAsia" w:eastAsia="楷体"/>
          <w:szCs w:val="32"/>
          <w:u w:val="single"/>
          <w:lang w:eastAsia="zh-CN"/>
        </w:rPr>
        <w:t>国有资本经营预算支出</w:t>
      </w:r>
      <w:r>
        <w:rPr>
          <w:szCs w:val="32"/>
        </w:rPr>
        <w:t>_</w:t>
      </w:r>
      <w:r>
        <w:rPr>
          <w:szCs w:val="32"/>
          <w:highlight w:val="none"/>
        </w:rPr>
        <w:t>。</w:t>
      </w:r>
    </w:p>
    <w:p>
      <w:pPr>
        <w:ind w:firstLine="640"/>
        <w:rPr>
          <w:szCs w:val="32"/>
          <w:highlight w:val="none"/>
        </w:rPr>
      </w:pPr>
      <w:r>
        <w:rPr>
          <w:rFonts w:hint="eastAsia"/>
          <w:szCs w:val="32"/>
          <w:highlight w:val="none"/>
        </w:rPr>
        <w:t>其他国有资本经营预算</w:t>
      </w:r>
      <w:r>
        <w:rPr>
          <w:szCs w:val="32"/>
          <w:highlight w:val="none"/>
        </w:rPr>
        <w:t>（</w:t>
      </w:r>
      <w:r>
        <w:rPr>
          <w:rFonts w:hint="eastAsia"/>
          <w:szCs w:val="32"/>
          <w:highlight w:val="none"/>
        </w:rPr>
        <w:t>款</w:t>
      </w:r>
      <w:r>
        <w:rPr>
          <w:szCs w:val="32"/>
          <w:highlight w:val="none"/>
        </w:rPr>
        <w:t>）支出</w:t>
      </w:r>
      <w:r>
        <w:rPr>
          <w:rFonts w:hint="eastAsia"/>
          <w:szCs w:val="32"/>
          <w:u w:val="single"/>
          <w:lang w:val="en-US" w:eastAsia="zh-CN"/>
        </w:rPr>
        <w:t>0</w:t>
      </w:r>
      <w:r>
        <w:rPr>
          <w:szCs w:val="32"/>
          <w:highlight w:val="none"/>
        </w:rPr>
        <w:t>万元，占</w:t>
      </w:r>
      <w:r>
        <w:rPr>
          <w:rFonts w:hint="eastAsia"/>
          <w:szCs w:val="32"/>
          <w:u w:val="single"/>
          <w:lang w:val="en-US" w:eastAsia="zh-CN"/>
        </w:rPr>
        <w:t>0</w:t>
      </w:r>
      <w:r>
        <w:rPr>
          <w:szCs w:val="32"/>
          <w:highlight w:val="none"/>
        </w:rPr>
        <w:t>%，</w:t>
      </w:r>
      <w:r>
        <w:rPr>
          <w:rFonts w:eastAsia="楷体"/>
          <w:szCs w:val="32"/>
          <w:u w:val="single"/>
        </w:rPr>
        <w:t>本部门无</w:t>
      </w:r>
      <w:r>
        <w:rPr>
          <w:rFonts w:hint="eastAsia" w:eastAsia="楷体"/>
          <w:szCs w:val="32"/>
          <w:u w:val="single"/>
          <w:lang w:eastAsia="zh-CN"/>
        </w:rPr>
        <w:t>国有资本经营预算支出</w:t>
      </w:r>
      <w:r>
        <w:rPr>
          <w:szCs w:val="32"/>
        </w:rPr>
        <w:t>_</w:t>
      </w:r>
      <w:r>
        <w:rPr>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szCs w:val="32"/>
        </w:rPr>
      </w:pPr>
      <w:r>
        <w:rPr>
          <w:szCs w:val="32"/>
        </w:rPr>
        <w:t>20</w:t>
      </w:r>
      <w:r>
        <w:rPr>
          <w:rFonts w:hint="eastAsia"/>
          <w:szCs w:val="32"/>
        </w:rPr>
        <w:t>2</w:t>
      </w:r>
      <w:r>
        <w:rPr>
          <w:rFonts w:hint="eastAsia"/>
          <w:szCs w:val="32"/>
          <w:lang w:val="en-US" w:eastAsia="zh-CN"/>
        </w:rPr>
        <w:t>4</w:t>
      </w:r>
      <w:r>
        <w:rPr>
          <w:szCs w:val="32"/>
        </w:rPr>
        <w:t>年部门本级、</w:t>
      </w:r>
      <w:r>
        <w:rPr>
          <w:rFonts w:hint="eastAsia"/>
          <w:szCs w:val="32"/>
          <w:u w:val="single"/>
          <w:lang w:val="en-US" w:eastAsia="zh-CN"/>
        </w:rPr>
        <w:t>0</w:t>
      </w:r>
      <w:r>
        <w:rPr>
          <w:szCs w:val="32"/>
        </w:rPr>
        <w:t>等</w:t>
      </w:r>
      <w:r>
        <w:rPr>
          <w:rFonts w:hint="eastAsia"/>
          <w:szCs w:val="32"/>
          <w:u w:val="single"/>
          <w:lang w:val="en-US" w:eastAsia="zh-CN"/>
        </w:rPr>
        <w:t>0</w:t>
      </w:r>
      <w:r>
        <w:rPr>
          <w:szCs w:val="32"/>
        </w:rPr>
        <w:t>_家行政单位以及</w:t>
      </w:r>
      <w:r>
        <w:rPr>
          <w:rFonts w:hint="eastAsia"/>
          <w:szCs w:val="32"/>
          <w:u w:val="single"/>
          <w:lang w:val="en-US" w:eastAsia="zh-CN"/>
        </w:rPr>
        <w:t>0</w:t>
      </w:r>
      <w:r>
        <w:rPr>
          <w:szCs w:val="32"/>
        </w:rPr>
        <w:t>等</w:t>
      </w:r>
      <w:r>
        <w:rPr>
          <w:rFonts w:hint="eastAsia"/>
          <w:szCs w:val="32"/>
          <w:u w:val="single"/>
          <w:lang w:val="en-US" w:eastAsia="zh-CN"/>
        </w:rPr>
        <w:t>0</w:t>
      </w:r>
      <w:r>
        <w:rPr>
          <w:szCs w:val="32"/>
        </w:rPr>
        <w:t>家参公管理事业单位的机关运行经费财政拨款预算</w:t>
      </w:r>
      <w:r>
        <w:rPr>
          <w:rFonts w:hint="eastAsia"/>
          <w:szCs w:val="32"/>
          <w:u w:val="single"/>
          <w:lang w:val="en-US" w:eastAsia="zh-CN"/>
        </w:rPr>
        <w:t>0</w:t>
      </w:r>
      <w:r>
        <w:rPr>
          <w:rFonts w:hint="eastAsia"/>
          <w:szCs w:val="32"/>
          <w:lang w:val="en-US" w:eastAsia="zh-CN"/>
        </w:rPr>
        <w:t xml:space="preserve"> </w:t>
      </w:r>
      <w:r>
        <w:rPr>
          <w:szCs w:val="32"/>
        </w:rPr>
        <w:t>万元，比20</w:t>
      </w:r>
      <w:r>
        <w:rPr>
          <w:rFonts w:hint="eastAsia"/>
          <w:szCs w:val="32"/>
        </w:rPr>
        <w:t>2</w:t>
      </w:r>
      <w:r>
        <w:rPr>
          <w:rFonts w:hint="eastAsia"/>
          <w:szCs w:val="32"/>
          <w:lang w:val="en-US" w:eastAsia="zh-CN"/>
        </w:rPr>
        <w:t>2</w:t>
      </w:r>
      <w:r>
        <w:rPr>
          <w:szCs w:val="32"/>
        </w:rPr>
        <w:t>年预算增加（减少）</w:t>
      </w:r>
      <w:r>
        <w:rPr>
          <w:rFonts w:hint="eastAsia"/>
          <w:szCs w:val="32"/>
          <w:u w:val="single"/>
          <w:lang w:val="en-US" w:eastAsia="zh-CN"/>
        </w:rPr>
        <w:t>0</w:t>
      </w:r>
      <w:r>
        <w:rPr>
          <w:rFonts w:hint="eastAsia"/>
          <w:szCs w:val="32"/>
          <w:lang w:val="en-US" w:eastAsia="zh-CN"/>
        </w:rPr>
        <w:t xml:space="preserve"> </w:t>
      </w:r>
      <w:r>
        <w:rPr>
          <w:szCs w:val="32"/>
        </w:rPr>
        <w:t>万元，增长（下降）</w:t>
      </w:r>
      <w:r>
        <w:rPr>
          <w:rFonts w:hint="eastAsia"/>
          <w:szCs w:val="32"/>
          <w:u w:val="single"/>
          <w:lang w:val="en-US" w:eastAsia="zh-CN"/>
        </w:rPr>
        <w:t>0</w:t>
      </w:r>
      <w:r>
        <w:rPr>
          <w:szCs w:val="32"/>
        </w:rPr>
        <w:t>%</w:t>
      </w:r>
      <w:r>
        <w:rPr>
          <w:rFonts w:hint="eastAsia"/>
          <w:szCs w:val="32"/>
        </w:rPr>
        <w:t>，主要原因是</w:t>
      </w:r>
      <w:r>
        <w:rPr>
          <w:rFonts w:eastAsia="楷体"/>
          <w:szCs w:val="32"/>
          <w:u w:val="single"/>
        </w:rPr>
        <w:t>本部门无</w:t>
      </w:r>
      <w:r>
        <w:rPr>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szCs w:val="32"/>
        </w:rPr>
      </w:pPr>
      <w:r>
        <w:rPr>
          <w:rFonts w:hint="eastAsia"/>
          <w:szCs w:val="32"/>
          <w:lang w:eastAsia="zh-CN"/>
        </w:rPr>
        <w:t>202</w:t>
      </w:r>
      <w:r>
        <w:rPr>
          <w:rFonts w:hint="eastAsia"/>
          <w:szCs w:val="32"/>
          <w:lang w:val="en-US" w:eastAsia="zh-CN"/>
        </w:rPr>
        <w:t>4</w:t>
      </w:r>
      <w:r>
        <w:rPr>
          <w:szCs w:val="32"/>
        </w:rPr>
        <w:t>年政府采购预算总额</w:t>
      </w:r>
      <w:r>
        <w:rPr>
          <w:rFonts w:hint="eastAsia"/>
          <w:szCs w:val="32"/>
          <w:u w:val="single"/>
          <w:lang w:eastAsia="zh-CN"/>
        </w:rPr>
        <w:t>0</w:t>
      </w:r>
      <w:r>
        <w:rPr>
          <w:szCs w:val="32"/>
        </w:rPr>
        <w:t>万元，其中：政府采购货物预算</w:t>
      </w:r>
      <w:r>
        <w:rPr>
          <w:rFonts w:hint="eastAsia"/>
          <w:szCs w:val="32"/>
          <w:u w:val="single"/>
          <w:lang w:eastAsia="zh-CN"/>
        </w:rPr>
        <w:t>0</w:t>
      </w:r>
      <w:r>
        <w:rPr>
          <w:szCs w:val="32"/>
        </w:rPr>
        <w:t>万元、政府采购工程预算</w:t>
      </w:r>
      <w:r>
        <w:rPr>
          <w:rFonts w:hint="eastAsia"/>
          <w:szCs w:val="32"/>
          <w:u w:val="single"/>
          <w:lang w:eastAsia="zh-CN"/>
        </w:rPr>
        <w:t>0</w:t>
      </w:r>
      <w:r>
        <w:rPr>
          <w:szCs w:val="32"/>
        </w:rPr>
        <w:t>万元、政府采购服务预算</w:t>
      </w:r>
      <w:r>
        <w:rPr>
          <w:rFonts w:hint="eastAsia"/>
          <w:szCs w:val="32"/>
          <w:u w:val="single"/>
          <w:lang w:eastAsia="zh-CN"/>
        </w:rPr>
        <w:t>0</w:t>
      </w:r>
      <w:r>
        <w:rPr>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szCs w:val="32"/>
        </w:rPr>
      </w:pPr>
      <w:r>
        <w:rPr>
          <w:rFonts w:hint="eastAsia"/>
          <w:szCs w:val="32"/>
        </w:rPr>
        <w:t>截至202</w:t>
      </w:r>
      <w:r>
        <w:rPr>
          <w:rFonts w:hint="eastAsia"/>
          <w:szCs w:val="32"/>
          <w:lang w:val="en-US" w:eastAsia="zh-CN"/>
        </w:rPr>
        <w:t>3</w:t>
      </w:r>
      <w:r>
        <w:rPr>
          <w:rFonts w:hint="eastAsia"/>
          <w:szCs w:val="32"/>
        </w:rPr>
        <w:t>年</w:t>
      </w:r>
      <w:r>
        <w:rPr>
          <w:rFonts w:hint="eastAsia"/>
          <w:szCs w:val="32"/>
          <w:lang w:val="en-US" w:eastAsia="zh-CN"/>
        </w:rPr>
        <w:t>12</w:t>
      </w:r>
      <w:r>
        <w:rPr>
          <w:rFonts w:hint="eastAsia"/>
          <w:szCs w:val="32"/>
        </w:rPr>
        <w:t>月底，部门本级和所属各预算单位共有车辆</w:t>
      </w:r>
      <w:r>
        <w:rPr>
          <w:rFonts w:hint="eastAsia"/>
          <w:szCs w:val="32"/>
          <w:lang w:eastAsia="zh-CN"/>
        </w:rPr>
        <w:t>0</w:t>
      </w:r>
      <w:r>
        <w:rPr>
          <w:rFonts w:hint="eastAsia"/>
          <w:szCs w:val="32"/>
        </w:rPr>
        <w:t>辆，土地</w:t>
      </w:r>
      <w:r>
        <w:rPr>
          <w:rFonts w:hint="eastAsia"/>
          <w:szCs w:val="32"/>
          <w:u w:val="single"/>
          <w:lang w:eastAsia="zh-CN"/>
        </w:rPr>
        <w:t>0</w:t>
      </w:r>
      <w:r>
        <w:rPr>
          <w:rFonts w:hint="eastAsia"/>
          <w:szCs w:val="32"/>
        </w:rPr>
        <w:t>平方米，房屋</w:t>
      </w:r>
      <w:r>
        <w:rPr>
          <w:rFonts w:hint="eastAsia"/>
          <w:szCs w:val="32"/>
          <w:lang w:val="en-US" w:eastAsia="zh-CN"/>
        </w:rPr>
        <w:t>270</w:t>
      </w:r>
      <w:r>
        <w:rPr>
          <w:rFonts w:hint="eastAsia"/>
          <w:szCs w:val="32"/>
        </w:rPr>
        <w:t>平方米，单价50万元及以上的通用设备</w:t>
      </w:r>
      <w:r>
        <w:rPr>
          <w:rFonts w:hint="eastAsia"/>
          <w:szCs w:val="32"/>
          <w:u w:val="single"/>
          <w:lang w:eastAsia="zh-CN"/>
        </w:rPr>
        <w:t>0</w:t>
      </w:r>
      <w:r>
        <w:rPr>
          <w:rFonts w:hint="eastAsia"/>
          <w:szCs w:val="32"/>
        </w:rPr>
        <w:t>台/套，单价</w:t>
      </w:r>
      <w:r>
        <w:rPr>
          <w:rFonts w:hint="eastAsia"/>
          <w:szCs w:val="32"/>
          <w:u w:val="single"/>
        </w:rPr>
        <w:t>100</w:t>
      </w:r>
      <w:r>
        <w:rPr>
          <w:rFonts w:hint="eastAsia"/>
          <w:szCs w:val="32"/>
        </w:rPr>
        <w:t>万元及以上的专用设备实有数</w:t>
      </w:r>
      <w:r>
        <w:rPr>
          <w:rFonts w:hint="eastAsia"/>
          <w:szCs w:val="32"/>
          <w:u w:val="single"/>
          <w:lang w:eastAsia="zh-CN"/>
        </w:rPr>
        <w:t>0</w:t>
      </w:r>
      <w:r>
        <w:rPr>
          <w:rFonts w:hint="eastAsia"/>
          <w:szCs w:val="32"/>
        </w:rPr>
        <w:t>台/套。</w:t>
      </w:r>
    </w:p>
    <w:p>
      <w:pPr>
        <w:spacing w:line="540" w:lineRule="exact"/>
        <w:ind w:firstLine="640" w:firstLineChars="200"/>
        <w:rPr>
          <w:szCs w:val="32"/>
        </w:rPr>
      </w:pPr>
      <w:r>
        <w:rPr>
          <w:rFonts w:hint="eastAsia"/>
          <w:szCs w:val="32"/>
          <w:lang w:eastAsia="zh-CN"/>
        </w:rPr>
        <w:t>202</w:t>
      </w:r>
      <w:r>
        <w:rPr>
          <w:rFonts w:hint="eastAsia"/>
          <w:szCs w:val="32"/>
          <w:lang w:val="en-US" w:eastAsia="zh-CN"/>
        </w:rPr>
        <w:t>4</w:t>
      </w:r>
      <w:r>
        <w:rPr>
          <w:rFonts w:hint="eastAsia"/>
          <w:szCs w:val="32"/>
        </w:rPr>
        <w:t>年部门预算安排购置车辆</w:t>
      </w:r>
      <w:r>
        <w:rPr>
          <w:rFonts w:hint="eastAsia"/>
          <w:szCs w:val="32"/>
          <w:u w:val="single"/>
          <w:lang w:eastAsia="zh-CN"/>
        </w:rPr>
        <w:t>0</w:t>
      </w:r>
      <w:r>
        <w:rPr>
          <w:rFonts w:hint="eastAsia"/>
          <w:szCs w:val="32"/>
        </w:rPr>
        <w:t>辆，安排购置土地</w:t>
      </w:r>
      <w:r>
        <w:rPr>
          <w:rFonts w:hint="eastAsia"/>
          <w:szCs w:val="32"/>
          <w:u w:val="single"/>
          <w:lang w:eastAsia="zh-CN"/>
        </w:rPr>
        <w:t>0</w:t>
      </w:r>
      <w:r>
        <w:rPr>
          <w:rFonts w:hint="eastAsia"/>
          <w:szCs w:val="32"/>
          <w:lang w:eastAsia="zh-CN"/>
        </w:rPr>
        <w:t>0</w:t>
      </w:r>
      <w:r>
        <w:rPr>
          <w:rFonts w:hint="eastAsia"/>
          <w:szCs w:val="32"/>
        </w:rPr>
        <w:t>平方米，安排购置房屋</w:t>
      </w:r>
      <w:r>
        <w:rPr>
          <w:rFonts w:hint="eastAsia"/>
          <w:szCs w:val="32"/>
          <w:u w:val="single"/>
          <w:lang w:eastAsia="zh-CN"/>
        </w:rPr>
        <w:t>0</w:t>
      </w:r>
      <w:r>
        <w:rPr>
          <w:rFonts w:hint="eastAsia"/>
          <w:szCs w:val="32"/>
        </w:rPr>
        <w:t>平方米，计划新增单价50万元及以上的通用设备</w:t>
      </w:r>
      <w:r>
        <w:rPr>
          <w:rFonts w:hint="eastAsia"/>
          <w:szCs w:val="32"/>
          <w:u w:val="single"/>
          <w:lang w:eastAsia="zh-CN"/>
        </w:rPr>
        <w:t>0</w:t>
      </w:r>
      <w:r>
        <w:rPr>
          <w:rFonts w:hint="eastAsia"/>
          <w:szCs w:val="32"/>
        </w:rPr>
        <w:t>台/套，计划新增单价100万元及以上的专用设备实有数</w:t>
      </w:r>
      <w:r>
        <w:rPr>
          <w:rFonts w:hint="eastAsia"/>
          <w:szCs w:val="32"/>
          <w:u w:val="single"/>
          <w:lang w:eastAsia="zh-CN"/>
        </w:rPr>
        <w:t>0</w:t>
      </w:r>
      <w:r>
        <w:rPr>
          <w:rFonts w:hint="eastAsia"/>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szCs w:val="32"/>
          <w:highlight w:val="none"/>
        </w:rPr>
      </w:pPr>
      <w:r>
        <w:rPr>
          <w:rFonts w:hint="eastAsia"/>
          <w:highlight w:val="none"/>
          <w:lang w:eastAsia="zh-CN"/>
        </w:rPr>
        <w:t>202</w:t>
      </w:r>
      <w:r>
        <w:rPr>
          <w:rFonts w:hint="eastAsia"/>
          <w:highlight w:val="none"/>
          <w:lang w:val="en-US" w:eastAsia="zh-CN"/>
        </w:rPr>
        <w:t>4</w:t>
      </w:r>
      <w:r>
        <w:rPr>
          <w:highlight w:val="none"/>
        </w:rPr>
        <w:t>年部门项目支出</w:t>
      </w:r>
      <w:r>
        <w:rPr>
          <w:rFonts w:hint="eastAsia"/>
          <w:szCs w:val="32"/>
          <w:u w:val="single"/>
          <w:lang w:eastAsia="zh-CN"/>
        </w:rPr>
        <w:t>0</w:t>
      </w:r>
      <w:r>
        <w:rPr>
          <w:szCs w:val="32"/>
          <w:highlight w:val="none"/>
        </w:rPr>
        <w:t>万元，其中：一级项目</w:t>
      </w:r>
      <w:r>
        <w:rPr>
          <w:rFonts w:hint="eastAsia"/>
          <w:szCs w:val="32"/>
          <w:u w:val="single"/>
          <w:lang w:eastAsia="zh-CN"/>
        </w:rPr>
        <w:t>0</w:t>
      </w:r>
      <w:r>
        <w:rPr>
          <w:szCs w:val="32"/>
          <w:highlight w:val="none"/>
        </w:rPr>
        <w:t>个，二级项目</w:t>
      </w:r>
      <w:r>
        <w:rPr>
          <w:rFonts w:hint="eastAsia"/>
          <w:szCs w:val="32"/>
          <w:u w:val="single"/>
          <w:lang w:eastAsia="zh-CN"/>
        </w:rPr>
        <w:t>0</w:t>
      </w:r>
      <w:r>
        <w:rPr>
          <w:szCs w:val="32"/>
          <w:highlight w:val="none"/>
        </w:rPr>
        <w:t>个；使用</w:t>
      </w:r>
      <w:r>
        <w:rPr>
          <w:rFonts w:hint="eastAsia"/>
          <w:szCs w:val="32"/>
          <w:highlight w:val="none"/>
        </w:rPr>
        <w:t>本年拨款</w:t>
      </w:r>
      <w:r>
        <w:rPr>
          <w:rFonts w:hint="eastAsia"/>
          <w:szCs w:val="32"/>
          <w:u w:val="single"/>
          <w:lang w:eastAsia="zh-CN"/>
        </w:rPr>
        <w:t>0</w:t>
      </w:r>
      <w:r>
        <w:rPr>
          <w:szCs w:val="32"/>
          <w:highlight w:val="none"/>
        </w:rPr>
        <w:t>万元，</w:t>
      </w:r>
      <w:r>
        <w:rPr>
          <w:rFonts w:hint="eastAsia"/>
          <w:szCs w:val="32"/>
          <w:highlight w:val="none"/>
        </w:rPr>
        <w:t>财政拨款结转</w:t>
      </w:r>
      <w:r>
        <w:rPr>
          <w:rFonts w:hint="eastAsia"/>
          <w:szCs w:val="32"/>
          <w:u w:val="single"/>
          <w:lang w:val="en-US" w:eastAsia="zh-CN"/>
        </w:rPr>
        <w:t>0</w:t>
      </w:r>
      <w:r>
        <w:rPr>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eastAsia="仿宋_GB2312"/>
          <w:szCs w:val="32"/>
          <w:lang w:eastAsia="zh-CN"/>
        </w:rPr>
      </w:pPr>
      <w:r>
        <w:rPr>
          <w:rFonts w:hint="eastAsia" w:ascii="宋体" w:hAnsi="宋体"/>
        </w:rPr>
        <w:t>按照全面实施预算绩效管理的要求，结合本部门职能和重点工作，</w:t>
      </w:r>
      <w:r>
        <w:rPr>
          <w:rFonts w:hint="eastAsia" w:ascii="宋体" w:hAnsi="宋体"/>
          <w:lang w:eastAsia="zh-CN"/>
        </w:rPr>
        <w:t>202</w:t>
      </w:r>
      <w:r>
        <w:rPr>
          <w:rFonts w:hint="eastAsia" w:ascii="宋体" w:hAnsi="宋体"/>
          <w:lang w:val="en-US" w:eastAsia="zh-CN"/>
        </w:rPr>
        <w:t>4</w:t>
      </w:r>
      <w:r>
        <w:rPr>
          <w:rFonts w:hint="eastAsia" w:ascii="宋体" w:hAnsi="宋体"/>
        </w:rPr>
        <w:t>年确定</w:t>
      </w:r>
      <w:r>
        <w:rPr>
          <w:rFonts w:hint="eastAsia"/>
          <w:szCs w:val="32"/>
          <w:u w:val="single"/>
          <w:lang w:eastAsia="zh-CN"/>
        </w:rPr>
        <w:t>0</w:t>
      </w:r>
      <w:r>
        <w:rPr>
          <w:rFonts w:hint="eastAsia" w:ascii="宋体" w:hAnsi="宋体"/>
        </w:rPr>
        <w:t>个一级项目支出的绩效目标和指标向社会公开，涉及金额</w:t>
      </w:r>
      <w:r>
        <w:rPr>
          <w:rFonts w:hint="eastAsia"/>
          <w:szCs w:val="32"/>
          <w:u w:val="single"/>
          <w:lang w:eastAsia="zh-CN"/>
        </w:rPr>
        <w:t>0</w:t>
      </w:r>
      <w:r>
        <w:rPr>
          <w:rFonts w:hint="eastAsia" w:ascii="宋体" w:hAnsi="宋体"/>
        </w:rPr>
        <w:t>万元</w:t>
      </w:r>
      <w:r>
        <w:rPr>
          <w:rFonts w:hint="eastAsia" w:ascii="宋体" w:hAnsi="宋体"/>
          <w:lang w:eastAsia="zh-CN"/>
        </w:rPr>
        <w:t>。</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4F30DB"/>
    <w:rsid w:val="01620FE6"/>
    <w:rsid w:val="019B69D8"/>
    <w:rsid w:val="01E5648C"/>
    <w:rsid w:val="020E6D2C"/>
    <w:rsid w:val="031D7D4B"/>
    <w:rsid w:val="04022755"/>
    <w:rsid w:val="0486486A"/>
    <w:rsid w:val="04954460"/>
    <w:rsid w:val="04F026C1"/>
    <w:rsid w:val="050D06DA"/>
    <w:rsid w:val="050F3BA7"/>
    <w:rsid w:val="05513E94"/>
    <w:rsid w:val="056F5A6D"/>
    <w:rsid w:val="059B3770"/>
    <w:rsid w:val="063949A0"/>
    <w:rsid w:val="067960C1"/>
    <w:rsid w:val="06BD5BC7"/>
    <w:rsid w:val="07691ADF"/>
    <w:rsid w:val="07973553"/>
    <w:rsid w:val="07D21289"/>
    <w:rsid w:val="07F544B0"/>
    <w:rsid w:val="081A253C"/>
    <w:rsid w:val="092C6CAC"/>
    <w:rsid w:val="09304150"/>
    <w:rsid w:val="09A0082A"/>
    <w:rsid w:val="0A334D52"/>
    <w:rsid w:val="0ABA06FE"/>
    <w:rsid w:val="0B5F5ADA"/>
    <w:rsid w:val="0B710869"/>
    <w:rsid w:val="0B793365"/>
    <w:rsid w:val="0C2A5C84"/>
    <w:rsid w:val="0DA001B0"/>
    <w:rsid w:val="0DB6446C"/>
    <w:rsid w:val="0DEB170B"/>
    <w:rsid w:val="0E4C7841"/>
    <w:rsid w:val="0EBF044B"/>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C17DC1"/>
    <w:rsid w:val="1CFF4A32"/>
    <w:rsid w:val="1D833200"/>
    <w:rsid w:val="1DDC0E05"/>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8B94105"/>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3E352A"/>
    <w:rsid w:val="387258D7"/>
    <w:rsid w:val="3887374F"/>
    <w:rsid w:val="38AF6637"/>
    <w:rsid w:val="39041A07"/>
    <w:rsid w:val="39043B77"/>
    <w:rsid w:val="393F0DCD"/>
    <w:rsid w:val="39670895"/>
    <w:rsid w:val="3A657F9A"/>
    <w:rsid w:val="3A6D4031"/>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4A19E2"/>
    <w:rsid w:val="436B1E42"/>
    <w:rsid w:val="43993170"/>
    <w:rsid w:val="44054362"/>
    <w:rsid w:val="449C5E6A"/>
    <w:rsid w:val="456D114B"/>
    <w:rsid w:val="45EB670F"/>
    <w:rsid w:val="46AB7C0D"/>
    <w:rsid w:val="46D44808"/>
    <w:rsid w:val="471859EC"/>
    <w:rsid w:val="47CF49E6"/>
    <w:rsid w:val="4843587B"/>
    <w:rsid w:val="48674ED2"/>
    <w:rsid w:val="487708E6"/>
    <w:rsid w:val="49645F71"/>
    <w:rsid w:val="499F5C68"/>
    <w:rsid w:val="4ACA0062"/>
    <w:rsid w:val="4AD13EA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874A7C"/>
    <w:rsid w:val="50987DC2"/>
    <w:rsid w:val="50A4703E"/>
    <w:rsid w:val="50BA4ADD"/>
    <w:rsid w:val="5136104F"/>
    <w:rsid w:val="51E55C99"/>
    <w:rsid w:val="52071113"/>
    <w:rsid w:val="522E5E44"/>
    <w:rsid w:val="52447C09"/>
    <w:rsid w:val="525A440D"/>
    <w:rsid w:val="54741940"/>
    <w:rsid w:val="54810E66"/>
    <w:rsid w:val="54AF3016"/>
    <w:rsid w:val="54C2556E"/>
    <w:rsid w:val="55480EEF"/>
    <w:rsid w:val="56570E30"/>
    <w:rsid w:val="57AE5C26"/>
    <w:rsid w:val="57DD75A9"/>
    <w:rsid w:val="58256ABD"/>
    <w:rsid w:val="585C0286"/>
    <w:rsid w:val="59472AC7"/>
    <w:rsid w:val="59A95CA9"/>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5E7762"/>
    <w:rsid w:val="677772D0"/>
    <w:rsid w:val="679461D3"/>
    <w:rsid w:val="6858287E"/>
    <w:rsid w:val="68CF0A53"/>
    <w:rsid w:val="69157114"/>
    <w:rsid w:val="691A443E"/>
    <w:rsid w:val="6A80735F"/>
    <w:rsid w:val="6ACC5E47"/>
    <w:rsid w:val="6AD43ED1"/>
    <w:rsid w:val="6B11024D"/>
    <w:rsid w:val="6B7D5B36"/>
    <w:rsid w:val="6CF120A8"/>
    <w:rsid w:val="714213DD"/>
    <w:rsid w:val="714252F6"/>
    <w:rsid w:val="717F272E"/>
    <w:rsid w:val="728027C6"/>
    <w:rsid w:val="72B3251E"/>
    <w:rsid w:val="72D54D7C"/>
    <w:rsid w:val="73190D12"/>
    <w:rsid w:val="737664E0"/>
    <w:rsid w:val="73FE7ACC"/>
    <w:rsid w:val="74053F35"/>
    <w:rsid w:val="74556746"/>
    <w:rsid w:val="74AB7A24"/>
    <w:rsid w:val="76BB79B1"/>
    <w:rsid w:val="76C17E06"/>
    <w:rsid w:val="76CA67BD"/>
    <w:rsid w:val="774E6400"/>
    <w:rsid w:val="775B0046"/>
    <w:rsid w:val="78796248"/>
    <w:rsid w:val="79700BEF"/>
    <w:rsid w:val="79F85634"/>
    <w:rsid w:val="7A090695"/>
    <w:rsid w:val="7A667C8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31</Pages>
  <Words>7410</Words>
  <Characters>8430</Characters>
  <Lines>71</Lines>
  <Paragraphs>20</Paragraphs>
  <TotalTime>19</TotalTime>
  <ScaleCrop>false</ScaleCrop>
  <LinksUpToDate>false</LinksUpToDate>
  <CharactersWithSpaces>8948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2024-01-31T06:05:59Z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