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none"/>
          <w:lang w:val="en-US" w:eastAsia="zh-CN"/>
        </w:rPr>
        <w:t>通榆县财政局</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1、贯彻执行国家、省政府财税方针政策；</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2、承担县级各项财政收支管理的责任；</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3、负责政府非税收入管理；</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4、组织拟订地方国库管理制度，国库集中收付制度等，按规定开展国库现金管理工作，对政府采购进行监督管理；</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5、根据国家和省有关税收法规和政策，拟订实施细则和税收政策调整方案；</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6、负责管理行政事业单位国有资产，拟订需要全县统一规定的开支标准和支出政策；</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7、负责审核、汇总编制全县国有资本经营预决算草案；</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8、负责办理和监督县级财政的经济发展支出、政府性投资项目的财政拨款；</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9、会同有关部门管理县财政社会保障和就业及医疗卫生支出</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10、贯彻国家债务管理方针政策，统一管理政府的内外债务；</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11、负责管理全县的会计工作；</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12、监督检查财税法规、政策的执行情况；</w:t>
      </w:r>
    </w:p>
    <w:p>
      <w:pPr>
        <w:ind w:firstLine="640" w:firstLineChars="200"/>
        <w:rPr>
          <w:rFonts w:hint="eastAsia" w:ascii="Times New Roman" w:hAnsi="Times New Roman" w:eastAsia="仿宋_GB2312" w:cs="Times New Roman"/>
          <w:kern w:val="0"/>
          <w:sz w:val="32"/>
          <w:szCs w:val="32"/>
          <w:lang w:val="en-US" w:eastAsia="zh-CN" w:bidi="ar-SA"/>
        </w:rPr>
      </w:pPr>
      <w:r>
        <w:rPr>
          <w:rFonts w:hint="eastAsia" w:ascii="Times New Roman" w:hAnsi="Times New Roman" w:eastAsia="仿宋_GB2312" w:cs="Times New Roman"/>
          <w:kern w:val="0"/>
          <w:sz w:val="32"/>
          <w:szCs w:val="32"/>
          <w:lang w:val="en-US" w:eastAsia="zh-CN" w:bidi="ar-SA"/>
        </w:rPr>
        <w:t>13、承办县政府交办的其他事项。</w:t>
      </w:r>
    </w:p>
    <w:p>
      <w:pPr>
        <w:ind w:firstLine="640" w:firstLineChars="200"/>
      </w:pPr>
      <w:r>
        <w:rPr>
          <w:rFonts w:eastAsia="楷体_GB2312"/>
        </w:rPr>
        <w:t>二、机构设置</w:t>
      </w:r>
    </w:p>
    <w:p>
      <w:pPr>
        <w:pStyle w:val="51"/>
        <w:ind w:firstLine="640" w:firstLineChars="200"/>
        <w:rPr>
          <w:rFonts w:hint="eastAsia" w:eastAsia="仿宋_GB2312"/>
          <w:lang w:eastAsia="zh-CN"/>
        </w:rPr>
      </w:pPr>
      <w:r>
        <w:rPr>
          <w:rFonts w:hint="eastAsia" w:ascii="仿宋_GB2312" w:hAnsi="仿宋_GB2312" w:eastAsia="仿宋_GB2312" w:cs="仿宋_GB2312"/>
        </w:rPr>
        <w:t>根据上述职责，</w:t>
      </w:r>
      <w:r>
        <w:rPr>
          <w:rFonts w:hint="eastAsia" w:eastAsia="仿宋_GB2312"/>
          <w:u w:val="single"/>
          <w:lang w:eastAsia="zh-CN"/>
        </w:rPr>
        <w:t>通榆县财政局</w:t>
      </w:r>
      <w:r>
        <w:rPr>
          <w:rFonts w:eastAsia="仿宋_GB2312"/>
        </w:rPr>
        <w:t>内设</w:t>
      </w:r>
      <w:r>
        <w:rPr>
          <w:rFonts w:hint="eastAsia" w:eastAsia="仿宋_GB2312"/>
          <w:u w:val="single"/>
          <w:lang w:val="en-US" w:eastAsia="zh-CN"/>
        </w:rPr>
        <w:t>14</w:t>
      </w:r>
      <w:r>
        <w:rPr>
          <w:rFonts w:eastAsia="仿宋_GB2312"/>
        </w:rPr>
        <w:t>个机构，分别为</w:t>
      </w:r>
      <w:r>
        <w:rPr>
          <w:rFonts w:hint="eastAsia" w:eastAsia="仿宋_GB2312"/>
          <w:lang w:eastAsia="zh-CN"/>
        </w:rPr>
        <w:t>人秘科、预算科、国库科、</w:t>
      </w:r>
      <w:r>
        <w:rPr>
          <w:rFonts w:eastAsia="仿宋_GB2312"/>
        </w:rPr>
        <w:t>粮贸科、经济建设科</w:t>
      </w:r>
      <w:r>
        <w:rPr>
          <w:rFonts w:hint="eastAsia" w:eastAsia="仿宋_GB2312"/>
          <w:lang w:eastAsia="zh-CN"/>
        </w:rPr>
        <w:t>、</w:t>
      </w:r>
      <w:r>
        <w:rPr>
          <w:rFonts w:eastAsia="仿宋_GB2312"/>
        </w:rPr>
        <w:t>社会保障科、行财科、企业科、综合科</w:t>
      </w:r>
      <w:r>
        <w:rPr>
          <w:rFonts w:hint="eastAsia" w:eastAsia="仿宋_GB2312"/>
          <w:lang w:eastAsia="zh-CN"/>
        </w:rPr>
        <w:t>、农财科、乡财科、国有资产管理科、财政局</w:t>
      </w:r>
      <w:r>
        <w:rPr>
          <w:rFonts w:eastAsia="仿宋_GB2312"/>
        </w:rPr>
        <w:t>政府采购办</w:t>
      </w:r>
      <w:r>
        <w:rPr>
          <w:rFonts w:hint="eastAsia" w:eastAsia="仿宋_GB2312"/>
          <w:lang w:eastAsia="zh-CN"/>
        </w:rPr>
        <w:t>公室、票据管理中心。</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568.15</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568.15</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40.58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24.56</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仿宋_GB2312"/>
                <w:b w:val="0"/>
                <w:bCs/>
                <w:color w:val="000000"/>
                <w:kern w:val="0"/>
                <w:sz w:val="20"/>
              </w:rPr>
            </w:pPr>
            <w:r>
              <w:rPr>
                <w:rFonts w:hint="default" w:ascii="仿宋_GB2312"/>
                <w:b w:val="0"/>
                <w:bCs/>
                <w:color w:val="000000"/>
                <w:kern w:val="0"/>
                <w:sz w:val="20"/>
                <w:lang w:val="en-US" w:eastAsia="zh-CN"/>
              </w:rPr>
              <w:t>十、卫生健康支出</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14.29</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647.58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647.58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073"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18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414"/>
        <w:gridCol w:w="750"/>
        <w:gridCol w:w="668"/>
        <w:gridCol w:w="682"/>
        <w:gridCol w:w="375"/>
        <w:gridCol w:w="390"/>
        <w:gridCol w:w="450"/>
        <w:gridCol w:w="345"/>
        <w:gridCol w:w="56"/>
        <w:gridCol w:w="364"/>
        <w:gridCol w:w="390"/>
        <w:gridCol w:w="307"/>
        <w:gridCol w:w="53"/>
        <w:gridCol w:w="332"/>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84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75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412"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84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75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7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842"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rPr>
              <w:t>通榆县财政局</w:t>
            </w:r>
          </w:p>
        </w:tc>
        <w:tc>
          <w:tcPr>
            <w:tcW w:w="75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647.58</w:t>
            </w:r>
          </w:p>
        </w:tc>
        <w:tc>
          <w:tcPr>
            <w:tcW w:w="668"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647.58</w:t>
            </w:r>
          </w:p>
        </w:tc>
        <w:tc>
          <w:tcPr>
            <w:tcW w:w="682"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right"/>
              <w:textAlignment w:val="center"/>
              <w:rPr>
                <w:rFonts w:eastAsia="宋体"/>
                <w:color w:val="000000"/>
                <w:sz w:val="20"/>
              </w:rPr>
            </w:pPr>
            <w:r>
              <w:rPr>
                <w:rFonts w:hint="default" w:ascii="Arial" w:hAnsi="Arial" w:eastAsia="宋体" w:cs="Arial"/>
                <w:i w:val="0"/>
                <w:iCs w:val="0"/>
                <w:color w:val="000000"/>
                <w:kern w:val="0"/>
                <w:sz w:val="20"/>
                <w:szCs w:val="20"/>
                <w:u w:val="none"/>
                <w:lang w:val="en-US" w:eastAsia="zh-CN" w:bidi="ar"/>
              </w:rPr>
              <w:t>647.58</w:t>
            </w:r>
          </w:p>
        </w:tc>
        <w:tc>
          <w:tcPr>
            <w:tcW w:w="375"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9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50"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4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60"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3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84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84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84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84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84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84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842"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bookmarkStart w:id="0" w:name="_GoBack"/>
            <w:bookmarkEnd w:id="0"/>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842"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7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647.58</w:t>
            </w:r>
          </w:p>
        </w:tc>
        <w:tc>
          <w:tcPr>
            <w:tcW w:w="66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647.58</w:t>
            </w:r>
          </w:p>
        </w:tc>
        <w:tc>
          <w:tcPr>
            <w:tcW w:w="68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widowControl/>
              <w:suppressLineNumbers w:val="0"/>
              <w:jc w:val="right"/>
              <w:textAlignment w:val="center"/>
              <w:rPr>
                <w:color w:val="000000"/>
                <w:sz w:val="20"/>
                <w:shd w:val="clear" w:color="auto" w:fill="FFFFFF"/>
              </w:rPr>
            </w:pPr>
            <w:r>
              <w:rPr>
                <w:rFonts w:hint="default" w:ascii="Arial" w:hAnsi="Arial" w:eastAsia="宋体" w:cs="Arial"/>
                <w:i w:val="0"/>
                <w:iCs w:val="0"/>
                <w:color w:val="000000"/>
                <w:kern w:val="0"/>
                <w:sz w:val="20"/>
                <w:szCs w:val="20"/>
                <w:u w:val="none"/>
                <w:lang w:val="en-US" w:eastAsia="zh-CN" w:bidi="ar"/>
              </w:rPr>
              <w:t>647.58</w:t>
            </w:r>
          </w:p>
        </w:tc>
        <w:tc>
          <w:tcPr>
            <w:tcW w:w="375"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4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568.15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280.15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288.00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568.15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280.15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288.00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298.15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280.15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18.00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预算改革业务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信息化建设</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200.00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其他财政事务支出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20.00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32.74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32.74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14.09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14.09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647.58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359.58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288.00</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937"/>
              <w:gridCol w:w="439"/>
              <w:gridCol w:w="1721"/>
              <w:gridCol w:w="864"/>
              <w:gridCol w:w="951"/>
              <w:gridCol w:w="537"/>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937"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3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37"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43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53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4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568.15</w:t>
                  </w:r>
                </w:p>
              </w:tc>
              <w:tc>
                <w:tcPr>
                  <w:tcW w:w="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568.15</w:t>
                  </w: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40.58</w:t>
                  </w:r>
                </w:p>
              </w:tc>
              <w:tc>
                <w:tcPr>
                  <w:tcW w:w="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40.58</w:t>
                  </w: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b w:val="0"/>
                      <w:bCs/>
                      <w:kern w:val="0"/>
                      <w:sz w:val="20"/>
                      <w:lang w:val="en-US" w:eastAsia="zh-CN" w:bidi="ar-SA"/>
                    </w:rPr>
                  </w:pPr>
                  <w:r>
                    <w:rPr>
                      <w:rFonts w:hint="eastAsia" w:ascii="Arial" w:hAnsi="Arial" w:eastAsia="宋体" w:cs="Arial"/>
                      <w:i w:val="0"/>
                      <w:iCs w:val="0"/>
                      <w:color w:val="000000"/>
                      <w:kern w:val="0"/>
                      <w:sz w:val="20"/>
                      <w:szCs w:val="20"/>
                      <w:u w:val="none"/>
                      <w:lang w:val="en-US" w:eastAsia="zh-CN" w:bidi="ar"/>
                    </w:rPr>
                    <w:t>七</w:t>
                  </w:r>
                  <w:r>
                    <w:rPr>
                      <w:rFonts w:hint="default" w:ascii="Arial" w:hAnsi="Arial" w:eastAsia="宋体" w:cs="Arial"/>
                      <w:i w:val="0"/>
                      <w:iCs w:val="0"/>
                      <w:color w:val="000000"/>
                      <w:kern w:val="0"/>
                      <w:sz w:val="20"/>
                      <w:szCs w:val="20"/>
                      <w:u w:val="none"/>
                      <w:lang w:val="en-US" w:eastAsia="zh-CN" w:bidi="ar"/>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14.29</w:t>
                  </w:r>
                </w:p>
              </w:tc>
              <w:tc>
                <w:tcPr>
                  <w:tcW w:w="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14.29</w:t>
                  </w: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24.56</w:t>
                  </w:r>
                </w:p>
              </w:tc>
              <w:tc>
                <w:tcPr>
                  <w:tcW w:w="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24.56</w:t>
                  </w: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95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3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43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51"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537"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黑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黑体"/>
                      <w:kern w:val="0"/>
                      <w:sz w:val="20"/>
                    </w:rPr>
                  </w:pPr>
                  <w:r>
                    <w:rPr>
                      <w:rFonts w:hint="default" w:ascii="Arial" w:hAnsi="Arial" w:eastAsia="宋体" w:cs="Arial"/>
                      <w:i w:val="0"/>
                      <w:iCs w:val="0"/>
                      <w:color w:val="000000"/>
                      <w:kern w:val="0"/>
                      <w:sz w:val="20"/>
                      <w:szCs w:val="20"/>
                      <w:u w:val="none"/>
                      <w:lang w:val="en-US" w:eastAsia="zh-CN" w:bidi="ar"/>
                    </w:rPr>
                    <w:t>647.58</w:t>
                  </w:r>
                </w:p>
              </w:tc>
              <w:tc>
                <w:tcPr>
                  <w:tcW w:w="43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647.58</w:t>
                  </w:r>
                </w:p>
              </w:tc>
              <w:tc>
                <w:tcPr>
                  <w:tcW w:w="95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ascii="Times New Roman" w:hAnsi="Times New Roman" w:eastAsia="宋体" w:cs="Times New Roman"/>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647.58</w:t>
                  </w:r>
                </w:p>
              </w:tc>
              <w:tc>
                <w:tcPr>
                  <w:tcW w:w="537"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568.15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288.00</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568.15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288.00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298.15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280.15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235.87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18.00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预算改革业务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50.00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信息化建设</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其他财政事务支出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20.00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20.00</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40.58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32.74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7.84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14.09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0.20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24.56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647.58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359.58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315.30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44.28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288.00</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101.74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101.74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69.30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69.30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42.36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42.36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32.74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32.74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7.84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7.84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14.09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14.09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0.20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24.56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24.56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2.65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2.65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1.80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差旅费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5.00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5.00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租赁费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2.20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2.20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劳务费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18.10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18.10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委托业务费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0.10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0.10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15.48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15.48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19.31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19.31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eastAsia="宋体"/>
                <w:kern w:val="0"/>
                <w:sz w:val="20"/>
              </w:rPr>
            </w:pPr>
            <w:r>
              <w:rPr>
                <w:rFonts w:hint="default" w:ascii="Arial" w:hAnsi="Arial" w:eastAsia="宋体" w:cs="Arial"/>
                <w:i w:val="0"/>
                <w:iCs w:val="0"/>
                <w:color w:val="000000"/>
                <w:kern w:val="0"/>
                <w:sz w:val="20"/>
                <w:szCs w:val="20"/>
                <w:u w:val="none"/>
                <w:lang w:val="en-US" w:eastAsia="zh-CN" w:bidi="ar"/>
              </w:rPr>
              <w:t>0.51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pPr>
            <w:r>
              <w:rPr>
                <w:rFonts w:hint="default" w:ascii="Arial" w:hAnsi="Arial" w:eastAsia="宋体" w:cs="Arial"/>
                <w:i w:val="0"/>
                <w:iCs w:val="0"/>
                <w:color w:val="000000"/>
                <w:kern w:val="0"/>
                <w:sz w:val="20"/>
                <w:szCs w:val="20"/>
                <w:u w:val="none"/>
                <w:lang w:val="en-US" w:eastAsia="zh-CN" w:bidi="ar"/>
              </w:rPr>
              <w:t>0.51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highlight w:val="none"/>
                <w:lang w:eastAsia="zh-CN"/>
              </w:rPr>
            </w:pPr>
            <w:r>
              <w:rPr>
                <w:rFonts w:eastAsia="宋体"/>
                <w:color w:val="000000"/>
                <w:kern w:val="0"/>
                <w:sz w:val="28"/>
                <w:szCs w:val="28"/>
                <w:highlight w:val="none"/>
              </w:rPr>
              <w:t xml:space="preserve">  </w:t>
            </w:r>
            <w:r>
              <w:rPr>
                <w:color w:val="000000"/>
                <w:kern w:val="0"/>
                <w:sz w:val="28"/>
                <w:szCs w:val="28"/>
                <w:highlight w:val="none"/>
              </w:rPr>
              <w:t>说明：</w:t>
            </w:r>
          </w:p>
          <w:p>
            <w:pPr>
              <w:widowControl/>
              <w:jc w:val="left"/>
              <w:rPr>
                <w:rFonts w:hint="eastAsia" w:eastAsia="宋体"/>
                <w:color w:val="000000"/>
                <w:kern w:val="0"/>
                <w:sz w:val="28"/>
                <w:szCs w:val="28"/>
                <w:highlight w:val="none"/>
                <w:lang w:eastAsia="zh-CN"/>
              </w:rPr>
            </w:pPr>
            <w:r>
              <w:rPr>
                <w:rFonts w:eastAsia="宋体"/>
                <w:color w:val="000000"/>
                <w:kern w:val="0"/>
                <w:sz w:val="28"/>
                <w:szCs w:val="28"/>
                <w:highlight w:val="none"/>
              </w:rPr>
              <w:t xml:space="preserve">       1</w:t>
            </w:r>
            <w:r>
              <w:rPr>
                <w:color w:val="000000"/>
                <w:kern w:val="0"/>
                <w:sz w:val="28"/>
                <w:szCs w:val="28"/>
                <w:highlight w:val="none"/>
              </w:rPr>
              <w:t>、</w:t>
            </w:r>
            <w:r>
              <w:rPr>
                <w:rFonts w:eastAsia="宋体"/>
                <w:color w:val="000000"/>
                <w:kern w:val="0"/>
                <w:sz w:val="28"/>
                <w:szCs w:val="28"/>
                <w:highlight w:val="none"/>
              </w:rPr>
              <w:t>“</w:t>
            </w:r>
            <w:r>
              <w:rPr>
                <w:rFonts w:hint="eastAsia" w:eastAsia="宋体"/>
                <w:color w:val="000000"/>
                <w:kern w:val="0"/>
                <w:sz w:val="28"/>
                <w:szCs w:val="28"/>
                <w:highlight w:val="none"/>
                <w:lang w:eastAsia="zh-CN"/>
              </w:rPr>
              <w:t>2024</w:t>
            </w:r>
            <w:r>
              <w:rPr>
                <w:color w:val="000000"/>
                <w:kern w:val="0"/>
                <w:sz w:val="28"/>
                <w:szCs w:val="28"/>
                <w:highlight w:val="none"/>
              </w:rPr>
              <w:t>年预算数</w:t>
            </w:r>
            <w:r>
              <w:rPr>
                <w:rFonts w:eastAsia="宋体"/>
                <w:color w:val="000000"/>
                <w:kern w:val="0"/>
                <w:sz w:val="28"/>
                <w:szCs w:val="28"/>
                <w:highlight w:val="none"/>
              </w:rPr>
              <w:t>”</w:t>
            </w:r>
            <w:r>
              <w:rPr>
                <w:color w:val="000000"/>
                <w:kern w:val="0"/>
                <w:sz w:val="28"/>
                <w:szCs w:val="28"/>
                <w:highlight w:val="none"/>
              </w:rPr>
              <w:t>的单位范围包括部门本级及所属</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0</w:t>
            </w:r>
            <w:r>
              <w:rPr>
                <w:rFonts w:eastAsia="宋体"/>
                <w:color w:val="000000"/>
                <w:kern w:val="0"/>
                <w:sz w:val="28"/>
                <w:szCs w:val="28"/>
                <w:highlight w:val="none"/>
                <w:u w:val="single"/>
              </w:rPr>
              <w:t xml:space="preserve"> </w:t>
            </w:r>
            <w:r>
              <w:rPr>
                <w:color w:val="000000"/>
                <w:kern w:val="0"/>
                <w:sz w:val="28"/>
                <w:szCs w:val="28"/>
                <w:highlight w:val="none"/>
              </w:rPr>
              <w:t>个预算单位。</w:t>
            </w:r>
            <w:r>
              <w:rPr>
                <w:rFonts w:eastAsia="宋体"/>
                <w:color w:val="000000"/>
                <w:kern w:val="0"/>
                <w:sz w:val="28"/>
                <w:szCs w:val="28"/>
                <w:highlight w:val="none"/>
              </w:rPr>
              <w:t xml:space="preserve">   </w:t>
            </w:r>
          </w:p>
          <w:p>
            <w:pPr>
              <w:widowControl/>
              <w:jc w:val="left"/>
              <w:rPr>
                <w:color w:val="000000"/>
                <w:kern w:val="0"/>
                <w:sz w:val="28"/>
                <w:szCs w:val="28"/>
                <w:highlight w:val="none"/>
              </w:rPr>
            </w:pPr>
            <w:r>
              <w:rPr>
                <w:rFonts w:eastAsia="宋体"/>
                <w:color w:val="000000"/>
                <w:kern w:val="0"/>
                <w:sz w:val="28"/>
                <w:szCs w:val="28"/>
                <w:highlight w:val="none"/>
              </w:rPr>
              <w:t xml:space="preserve">       2</w:t>
            </w:r>
            <w:r>
              <w:rPr>
                <w:color w:val="000000"/>
                <w:kern w:val="0"/>
                <w:sz w:val="28"/>
                <w:szCs w:val="28"/>
                <w:highlight w:val="none"/>
              </w:rPr>
              <w:t>、</w:t>
            </w:r>
            <w:r>
              <w:rPr>
                <w:rFonts w:eastAsia="宋体"/>
                <w:color w:val="000000"/>
                <w:kern w:val="0"/>
                <w:sz w:val="28"/>
                <w:szCs w:val="28"/>
                <w:highlight w:val="none"/>
              </w:rPr>
              <w:t>“</w:t>
            </w:r>
            <w:r>
              <w:rPr>
                <w:rFonts w:hint="eastAsia" w:eastAsia="宋体"/>
                <w:color w:val="000000"/>
                <w:kern w:val="0"/>
                <w:sz w:val="28"/>
                <w:szCs w:val="28"/>
                <w:highlight w:val="none"/>
                <w:lang w:eastAsia="zh-CN"/>
              </w:rPr>
              <w:t>2024</w:t>
            </w:r>
            <w:r>
              <w:rPr>
                <w:color w:val="000000"/>
                <w:kern w:val="0"/>
                <w:sz w:val="28"/>
                <w:szCs w:val="28"/>
                <w:highlight w:val="none"/>
              </w:rPr>
              <w:t>年预算数</w:t>
            </w:r>
            <w:r>
              <w:rPr>
                <w:rFonts w:eastAsia="宋体"/>
                <w:color w:val="000000"/>
                <w:kern w:val="0"/>
                <w:sz w:val="28"/>
                <w:szCs w:val="28"/>
                <w:highlight w:val="none"/>
              </w:rPr>
              <w:t>”</w:t>
            </w:r>
            <w:r>
              <w:rPr>
                <w:color w:val="000000"/>
                <w:kern w:val="0"/>
                <w:sz w:val="28"/>
                <w:szCs w:val="28"/>
                <w:highlight w:val="none"/>
              </w:rPr>
              <w:t>的实有人员</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55</w:t>
            </w:r>
            <w:r>
              <w:rPr>
                <w:rFonts w:eastAsia="宋体"/>
                <w:color w:val="000000"/>
                <w:kern w:val="0"/>
                <w:sz w:val="28"/>
                <w:szCs w:val="28"/>
                <w:highlight w:val="none"/>
                <w:u w:val="single"/>
              </w:rPr>
              <w:t xml:space="preserve"> </w:t>
            </w:r>
            <w:r>
              <w:rPr>
                <w:color w:val="000000"/>
                <w:kern w:val="0"/>
                <w:sz w:val="28"/>
                <w:szCs w:val="28"/>
                <w:highlight w:val="none"/>
              </w:rPr>
              <w:t>人，其中：在职人员</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24</w:t>
            </w:r>
            <w:r>
              <w:rPr>
                <w:rFonts w:eastAsia="宋体"/>
                <w:color w:val="000000"/>
                <w:kern w:val="0"/>
                <w:sz w:val="28"/>
                <w:szCs w:val="28"/>
                <w:highlight w:val="none"/>
                <w:u w:val="single"/>
              </w:rPr>
              <w:t xml:space="preserve"> </w:t>
            </w:r>
            <w:r>
              <w:rPr>
                <w:color w:val="000000"/>
                <w:kern w:val="0"/>
                <w:sz w:val="28"/>
                <w:szCs w:val="28"/>
                <w:highlight w:val="none"/>
              </w:rPr>
              <w:t>人，离退休人员</w:t>
            </w:r>
            <w:r>
              <w:rPr>
                <w:rFonts w:eastAsia="宋体"/>
                <w:color w:val="000000"/>
                <w:kern w:val="0"/>
                <w:sz w:val="28"/>
                <w:szCs w:val="28"/>
                <w:highlight w:val="none"/>
                <w:u w:val="single"/>
              </w:rPr>
              <w:t xml:space="preserve"> </w:t>
            </w:r>
            <w:r>
              <w:rPr>
                <w:rFonts w:hint="eastAsia" w:eastAsia="宋体"/>
                <w:color w:val="000000"/>
                <w:kern w:val="0"/>
                <w:sz w:val="28"/>
                <w:szCs w:val="28"/>
                <w:highlight w:val="none"/>
                <w:u w:val="single"/>
                <w:lang w:val="en-US" w:eastAsia="zh-CN"/>
              </w:rPr>
              <w:t>31</w:t>
            </w:r>
            <w:r>
              <w:rPr>
                <w:rFonts w:eastAsia="宋体"/>
                <w:color w:val="000000"/>
                <w:kern w:val="0"/>
                <w:sz w:val="28"/>
                <w:szCs w:val="28"/>
                <w:highlight w:val="none"/>
                <w:u w:val="single"/>
              </w:rPr>
              <w:t xml:space="preserve"> </w:t>
            </w:r>
            <w:r>
              <w:rPr>
                <w:color w:val="000000"/>
                <w:kern w:val="0"/>
                <w:sz w:val="28"/>
                <w:szCs w:val="28"/>
                <w:highlight w:val="none"/>
              </w:rPr>
              <w:t>人。</w:t>
            </w:r>
          </w:p>
          <w:p>
            <w:pPr>
              <w:widowControl/>
              <w:jc w:val="left"/>
              <w:rPr>
                <w:rFonts w:hint="eastAsia" w:eastAsia="仿宋_GB2312"/>
                <w:color w:val="000000"/>
                <w:kern w:val="0"/>
                <w:sz w:val="28"/>
                <w:szCs w:val="28"/>
                <w:highlight w:val="none"/>
                <w:lang w:val="en-US" w:eastAsia="zh-CN"/>
              </w:rPr>
            </w:pPr>
            <w:r>
              <w:rPr>
                <w:rFonts w:hint="eastAsia"/>
                <w:color w:val="000000"/>
                <w:kern w:val="0"/>
                <w:sz w:val="28"/>
                <w:szCs w:val="28"/>
                <w:highlight w:val="none"/>
                <w:lang w:val="en-US" w:eastAsia="zh-CN"/>
              </w:rPr>
              <w:t xml:space="preserve">       </w:t>
            </w:r>
          </w:p>
        </w:tc>
      </w:tr>
    </w:tbl>
    <w:p>
      <w:pPr>
        <w:ind w:firstLine="480" w:firstLineChars="200"/>
        <w:rPr>
          <w:rFonts w:hint="eastAsia" w:ascii="楷体" w:hAnsi="楷体" w:eastAsia="楷体" w:cs="楷体"/>
          <w:sz w:val="24"/>
          <w:szCs w:val="24"/>
          <w:highlight w:val="none"/>
        </w:rPr>
      </w:pPr>
      <w:r>
        <w:rPr>
          <w:rFonts w:hint="eastAsia" w:ascii="楷体" w:hAnsi="楷体" w:eastAsia="楷体" w:cs="楷体"/>
          <w:sz w:val="24"/>
          <w:szCs w:val="24"/>
          <w:highlight w:val="none"/>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999"/>
        <w:gridCol w:w="1050"/>
        <w:gridCol w:w="780"/>
        <w:gridCol w:w="900"/>
        <w:gridCol w:w="915"/>
        <w:gridCol w:w="330"/>
        <w:gridCol w:w="465"/>
        <w:gridCol w:w="480"/>
        <w:gridCol w:w="495"/>
        <w:gridCol w:w="440"/>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9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5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8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90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71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283"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049"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78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90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71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415"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5"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999"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05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780" w:type="dxa"/>
            <w:vMerge w:val="continue"/>
            <w:noWrap w:val="0"/>
            <w:vAlign w:val="center"/>
          </w:tcPr>
          <w:p>
            <w:pPr>
              <w:autoSpaceDN w:val="0"/>
              <w:jc w:val="center"/>
              <w:textAlignment w:val="center"/>
              <w:rPr>
                <w:rFonts w:ascii="Calibri" w:hAnsi="Calibri" w:eastAsia="华文细黑"/>
                <w:color w:val="000000"/>
                <w:sz w:val="20"/>
                <w:szCs w:val="22"/>
              </w:rPr>
            </w:pPr>
          </w:p>
        </w:tc>
        <w:tc>
          <w:tcPr>
            <w:tcW w:w="900" w:type="dxa"/>
            <w:vMerge w:val="continue"/>
            <w:noWrap w:val="0"/>
            <w:vAlign w:val="center"/>
          </w:tcPr>
          <w:p>
            <w:pPr>
              <w:autoSpaceDN w:val="0"/>
              <w:jc w:val="center"/>
              <w:textAlignment w:val="center"/>
              <w:rPr>
                <w:rFonts w:ascii="Calibri" w:hAnsi="Calibri" w:eastAsia="华文细黑"/>
                <w:color w:val="000000"/>
                <w:sz w:val="20"/>
                <w:szCs w:val="22"/>
              </w:rPr>
            </w:pPr>
          </w:p>
        </w:tc>
        <w:tc>
          <w:tcPr>
            <w:tcW w:w="91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3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6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8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9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宋体" w:hAnsi="宋体" w:eastAsia="宋体" w:cs="宋体"/>
                <w:i w:val="0"/>
                <w:iCs w:val="0"/>
                <w:color w:val="000000"/>
                <w:kern w:val="0"/>
                <w:sz w:val="20"/>
                <w:szCs w:val="20"/>
                <w:u w:val="none"/>
                <w:lang w:val="en-US" w:eastAsia="zh-CN" w:bidi="ar"/>
              </w:rPr>
              <w:t>其他非财政拨款支出</w:t>
            </w:r>
          </w:p>
        </w:tc>
        <w:tc>
          <w:tcPr>
            <w:tcW w:w="999"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财政局2024年部门预算资金</w:t>
            </w:r>
          </w:p>
        </w:tc>
        <w:tc>
          <w:tcPr>
            <w:tcW w:w="1050" w:type="dxa"/>
            <w:noWrap w:val="0"/>
            <w:vAlign w:val="center"/>
          </w:tcPr>
          <w:p>
            <w:pPr>
              <w:spacing w:line="700" w:lineRule="exact"/>
              <w:jc w:val="center"/>
              <w:rPr>
                <w:rFonts w:ascii="Calibri" w:hAnsi="Calibri" w:eastAsia="楷体"/>
                <w:kern w:val="0"/>
                <w:szCs w:val="32"/>
              </w:rPr>
            </w:pPr>
          </w:p>
        </w:tc>
        <w:tc>
          <w:tcPr>
            <w:tcW w:w="780" w:type="dxa"/>
            <w:noWrap w:val="0"/>
            <w:vAlign w:val="center"/>
          </w:tcPr>
          <w:p>
            <w:pPr>
              <w:spacing w:line="700" w:lineRule="exact"/>
              <w:jc w:val="center"/>
              <w:rPr>
                <w:rFonts w:ascii="Calibri" w:hAnsi="Calibri" w:eastAsia="楷体"/>
                <w:kern w:val="0"/>
                <w:szCs w:val="32"/>
              </w:rPr>
            </w:pPr>
          </w:p>
        </w:tc>
        <w:tc>
          <w:tcPr>
            <w:tcW w:w="90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288.00</w:t>
            </w:r>
          </w:p>
        </w:tc>
        <w:tc>
          <w:tcPr>
            <w:tcW w:w="915"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288.00</w:t>
            </w:r>
          </w:p>
        </w:tc>
        <w:tc>
          <w:tcPr>
            <w:tcW w:w="330"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80"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440"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cs="Times New Roman"/>
                <w:kern w:val="0"/>
                <w:sz w:val="32"/>
                <w:szCs w:val="32"/>
                <w:lang w:val="en-US" w:eastAsia="zh-CN" w:bidi="ar-SA"/>
              </w:rPr>
            </w:pPr>
            <w:r>
              <w:rPr>
                <w:rFonts w:hint="eastAsia" w:ascii="宋体" w:hAnsi="宋体" w:eastAsia="宋体" w:cs="宋体"/>
                <w:i w:val="0"/>
                <w:iCs w:val="0"/>
                <w:color w:val="000000"/>
                <w:kern w:val="0"/>
                <w:sz w:val="20"/>
                <w:szCs w:val="20"/>
                <w:u w:val="none"/>
                <w:lang w:val="en-US" w:eastAsia="zh-CN" w:bidi="ar"/>
              </w:rPr>
              <w:t>其他非财政拨款支出</w:t>
            </w:r>
          </w:p>
        </w:tc>
        <w:tc>
          <w:tcPr>
            <w:tcW w:w="999" w:type="dxa"/>
            <w:noWrap w:val="0"/>
            <w:vAlign w:val="center"/>
          </w:tcPr>
          <w:p>
            <w:pPr>
              <w:spacing w:line="700" w:lineRule="exact"/>
              <w:jc w:val="center"/>
              <w:rPr>
                <w:rFonts w:ascii="Calibri" w:hAnsi="Calibri" w:eastAsia="楷体"/>
                <w:kern w:val="0"/>
                <w:szCs w:val="32"/>
              </w:rPr>
            </w:pPr>
          </w:p>
        </w:tc>
        <w:tc>
          <w:tcPr>
            <w:tcW w:w="1050"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财政局2024年信息化建设</w:t>
            </w:r>
          </w:p>
        </w:tc>
        <w:tc>
          <w:tcPr>
            <w:tcW w:w="780"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通榆县财政局</w:t>
            </w:r>
          </w:p>
        </w:tc>
        <w:tc>
          <w:tcPr>
            <w:tcW w:w="90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270.00</w:t>
            </w:r>
          </w:p>
        </w:tc>
        <w:tc>
          <w:tcPr>
            <w:tcW w:w="915"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270.00</w:t>
            </w:r>
          </w:p>
        </w:tc>
        <w:tc>
          <w:tcPr>
            <w:tcW w:w="330"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80"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440"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宋体" w:hAnsi="宋体" w:eastAsia="宋体" w:cs="宋体"/>
                <w:i w:val="0"/>
                <w:iCs w:val="0"/>
                <w:color w:val="000000"/>
                <w:kern w:val="0"/>
                <w:sz w:val="20"/>
                <w:szCs w:val="20"/>
                <w:u w:val="none"/>
                <w:lang w:val="en-US" w:eastAsia="zh-CN" w:bidi="ar"/>
              </w:rPr>
              <w:t>其他非财政拨款支出</w:t>
            </w:r>
          </w:p>
        </w:tc>
        <w:tc>
          <w:tcPr>
            <w:tcW w:w="999" w:type="dxa"/>
            <w:noWrap w:val="0"/>
            <w:vAlign w:val="center"/>
          </w:tcPr>
          <w:p>
            <w:pPr>
              <w:spacing w:line="700" w:lineRule="exact"/>
              <w:jc w:val="center"/>
              <w:rPr>
                <w:rFonts w:ascii="Calibri" w:hAnsi="Calibri" w:eastAsia="楷体"/>
                <w:kern w:val="0"/>
                <w:szCs w:val="32"/>
              </w:rPr>
            </w:pPr>
          </w:p>
        </w:tc>
        <w:tc>
          <w:tcPr>
            <w:tcW w:w="1050"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财政局2024年财政培训业务</w:t>
            </w:r>
          </w:p>
        </w:tc>
        <w:tc>
          <w:tcPr>
            <w:tcW w:w="780"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通榆县财政局</w:t>
            </w:r>
          </w:p>
        </w:tc>
        <w:tc>
          <w:tcPr>
            <w:tcW w:w="90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200.00</w:t>
            </w:r>
          </w:p>
        </w:tc>
        <w:tc>
          <w:tcPr>
            <w:tcW w:w="915"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200.00</w:t>
            </w:r>
          </w:p>
        </w:tc>
        <w:tc>
          <w:tcPr>
            <w:tcW w:w="330"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80"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440"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宋体" w:hAnsi="宋体" w:eastAsia="宋体" w:cs="宋体"/>
                <w:i w:val="0"/>
                <w:iCs w:val="0"/>
                <w:color w:val="000000"/>
                <w:kern w:val="0"/>
                <w:sz w:val="20"/>
                <w:szCs w:val="20"/>
                <w:u w:val="none"/>
                <w:lang w:val="en-US" w:eastAsia="zh-CN" w:bidi="ar"/>
              </w:rPr>
              <w:t>其他非财政拨款支出</w:t>
            </w:r>
          </w:p>
        </w:tc>
        <w:tc>
          <w:tcPr>
            <w:tcW w:w="999" w:type="dxa"/>
            <w:noWrap w:val="0"/>
            <w:vAlign w:val="center"/>
          </w:tcPr>
          <w:p>
            <w:pPr>
              <w:spacing w:line="700" w:lineRule="exact"/>
              <w:jc w:val="center"/>
              <w:rPr>
                <w:rFonts w:ascii="Calibri" w:hAnsi="Calibri" w:eastAsia="楷体"/>
                <w:kern w:val="0"/>
                <w:szCs w:val="32"/>
              </w:rPr>
            </w:pPr>
          </w:p>
        </w:tc>
        <w:tc>
          <w:tcPr>
            <w:tcW w:w="1050"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财政局2024年财政改革业务</w:t>
            </w:r>
          </w:p>
        </w:tc>
        <w:tc>
          <w:tcPr>
            <w:tcW w:w="780"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通榆县财政局</w:t>
            </w:r>
          </w:p>
        </w:tc>
        <w:tc>
          <w:tcPr>
            <w:tcW w:w="90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20.00</w:t>
            </w:r>
          </w:p>
        </w:tc>
        <w:tc>
          <w:tcPr>
            <w:tcW w:w="915"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20.00</w:t>
            </w:r>
          </w:p>
        </w:tc>
        <w:tc>
          <w:tcPr>
            <w:tcW w:w="330"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80"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440"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宋体" w:hAnsi="宋体" w:eastAsia="宋体" w:cs="宋体"/>
                <w:i w:val="0"/>
                <w:iCs w:val="0"/>
                <w:color w:val="000000"/>
                <w:kern w:val="0"/>
                <w:sz w:val="20"/>
                <w:szCs w:val="20"/>
                <w:u w:val="none"/>
                <w:lang w:val="en-US" w:eastAsia="zh-CN" w:bidi="ar"/>
              </w:rPr>
              <w:t>其他非财政拨款支出</w:t>
            </w:r>
          </w:p>
        </w:tc>
        <w:tc>
          <w:tcPr>
            <w:tcW w:w="999"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18"/>
                <w:szCs w:val="18"/>
                <w:u w:val="none"/>
                <w:lang w:val="en-US" w:eastAsia="zh-CN" w:bidi="ar"/>
              </w:rPr>
              <w:t>财政局2024年驻村工作队生活</w:t>
            </w:r>
            <w:r>
              <w:rPr>
                <w:rFonts w:hint="default" w:ascii="Arial" w:hAnsi="Arial" w:eastAsia="宋体" w:cs="Arial"/>
                <w:i w:val="0"/>
                <w:iCs w:val="0"/>
                <w:color w:val="000000"/>
                <w:kern w:val="0"/>
                <w:sz w:val="20"/>
                <w:szCs w:val="20"/>
                <w:u w:val="none"/>
                <w:lang w:val="en-US" w:eastAsia="zh-CN" w:bidi="ar"/>
              </w:rPr>
              <w:t>补贴</w:t>
            </w:r>
          </w:p>
        </w:tc>
        <w:tc>
          <w:tcPr>
            <w:tcW w:w="1050" w:type="dxa"/>
            <w:noWrap w:val="0"/>
            <w:vAlign w:val="center"/>
          </w:tcPr>
          <w:p>
            <w:pPr>
              <w:spacing w:line="700" w:lineRule="exact"/>
              <w:jc w:val="center"/>
              <w:rPr>
                <w:rFonts w:ascii="Calibri" w:hAnsi="Calibri" w:eastAsia="楷体"/>
                <w:kern w:val="0"/>
                <w:szCs w:val="32"/>
              </w:rPr>
            </w:pPr>
          </w:p>
        </w:tc>
        <w:tc>
          <w:tcPr>
            <w:tcW w:w="780" w:type="dxa"/>
            <w:noWrap w:val="0"/>
            <w:vAlign w:val="center"/>
          </w:tcPr>
          <w:p>
            <w:pPr>
              <w:spacing w:line="700" w:lineRule="exact"/>
              <w:jc w:val="center"/>
              <w:rPr>
                <w:rFonts w:ascii="Calibri" w:hAnsi="Calibri" w:eastAsia="楷体"/>
                <w:kern w:val="0"/>
                <w:szCs w:val="32"/>
              </w:rPr>
            </w:pPr>
          </w:p>
        </w:tc>
        <w:tc>
          <w:tcPr>
            <w:tcW w:w="90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50.00</w:t>
            </w:r>
          </w:p>
        </w:tc>
        <w:tc>
          <w:tcPr>
            <w:tcW w:w="915"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50.00</w:t>
            </w:r>
          </w:p>
        </w:tc>
        <w:tc>
          <w:tcPr>
            <w:tcW w:w="330"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80"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440"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eastAsia" w:ascii="宋体" w:hAnsi="宋体" w:eastAsia="宋体" w:cs="宋体"/>
                <w:i w:val="0"/>
                <w:iCs w:val="0"/>
                <w:color w:val="000000"/>
                <w:kern w:val="0"/>
                <w:sz w:val="20"/>
                <w:szCs w:val="20"/>
                <w:u w:val="none"/>
                <w:lang w:val="en-US" w:eastAsia="zh-CN" w:bidi="ar"/>
              </w:rPr>
              <w:t>其他非财政拨款支出</w:t>
            </w:r>
          </w:p>
        </w:tc>
        <w:tc>
          <w:tcPr>
            <w:tcW w:w="999" w:type="dxa"/>
            <w:noWrap w:val="0"/>
            <w:vAlign w:val="center"/>
          </w:tcPr>
          <w:p>
            <w:pPr>
              <w:spacing w:line="700" w:lineRule="exact"/>
              <w:jc w:val="center"/>
              <w:rPr>
                <w:rFonts w:ascii="Calibri" w:hAnsi="Calibri" w:eastAsia="楷体"/>
                <w:kern w:val="0"/>
                <w:szCs w:val="32"/>
              </w:rPr>
            </w:pPr>
          </w:p>
        </w:tc>
        <w:tc>
          <w:tcPr>
            <w:tcW w:w="1050" w:type="dxa"/>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财政局2024年驻村工作队生活补贴</w:t>
            </w:r>
          </w:p>
        </w:tc>
        <w:tc>
          <w:tcPr>
            <w:tcW w:w="780" w:type="dxa"/>
            <w:noWrap w:val="0"/>
            <w:vAlign w:val="center"/>
          </w:tcPr>
          <w:p>
            <w:pPr>
              <w:keepNext w:val="0"/>
              <w:keepLines w:val="0"/>
              <w:widowControl/>
              <w:suppressLineNumbers w:val="0"/>
              <w:jc w:val="lef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通榆县财政局</w:t>
            </w:r>
          </w:p>
        </w:tc>
        <w:tc>
          <w:tcPr>
            <w:tcW w:w="90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18.00</w:t>
            </w:r>
          </w:p>
        </w:tc>
        <w:tc>
          <w:tcPr>
            <w:tcW w:w="915"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18.00</w:t>
            </w:r>
          </w:p>
        </w:tc>
        <w:tc>
          <w:tcPr>
            <w:tcW w:w="330"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80"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440"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999" w:type="dxa"/>
            <w:noWrap w:val="0"/>
            <w:vAlign w:val="center"/>
          </w:tcPr>
          <w:p>
            <w:pPr>
              <w:autoSpaceDN w:val="0"/>
              <w:jc w:val="center"/>
              <w:textAlignment w:val="center"/>
              <w:rPr>
                <w:rFonts w:ascii="Calibri" w:hAnsi="Calibri" w:eastAsia="华文细黑"/>
                <w:color w:val="000000"/>
                <w:sz w:val="20"/>
                <w:szCs w:val="22"/>
              </w:rPr>
            </w:pPr>
          </w:p>
        </w:tc>
        <w:tc>
          <w:tcPr>
            <w:tcW w:w="1050" w:type="dxa"/>
            <w:noWrap w:val="0"/>
            <w:vAlign w:val="center"/>
          </w:tcPr>
          <w:p>
            <w:pPr>
              <w:spacing w:line="700" w:lineRule="exact"/>
              <w:jc w:val="center"/>
              <w:rPr>
                <w:rFonts w:ascii="Calibri" w:hAnsi="Calibri" w:eastAsia="楷体"/>
                <w:kern w:val="0"/>
                <w:szCs w:val="32"/>
              </w:rPr>
            </w:pPr>
          </w:p>
        </w:tc>
        <w:tc>
          <w:tcPr>
            <w:tcW w:w="780" w:type="dxa"/>
            <w:noWrap w:val="0"/>
            <w:vAlign w:val="center"/>
          </w:tcPr>
          <w:p>
            <w:pPr>
              <w:spacing w:line="700" w:lineRule="exact"/>
              <w:jc w:val="center"/>
              <w:rPr>
                <w:rFonts w:ascii="Calibri" w:hAnsi="Calibri" w:eastAsia="楷体"/>
                <w:kern w:val="0"/>
                <w:szCs w:val="32"/>
              </w:rPr>
            </w:pPr>
          </w:p>
        </w:tc>
        <w:tc>
          <w:tcPr>
            <w:tcW w:w="90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288.00</w:t>
            </w:r>
          </w:p>
        </w:tc>
        <w:tc>
          <w:tcPr>
            <w:tcW w:w="915"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288.00</w:t>
            </w:r>
          </w:p>
        </w:tc>
        <w:tc>
          <w:tcPr>
            <w:tcW w:w="330"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80" w:type="dxa"/>
            <w:noWrap w:val="0"/>
            <w:vAlign w:val="center"/>
          </w:tcPr>
          <w:p>
            <w:pPr>
              <w:spacing w:line="700" w:lineRule="exact"/>
              <w:jc w:val="center"/>
              <w:rPr>
                <w:rFonts w:ascii="Calibri" w:hAnsi="Calibri" w:eastAsia="楷体"/>
                <w:kern w:val="0"/>
                <w:szCs w:val="32"/>
              </w:rPr>
            </w:pPr>
          </w:p>
        </w:tc>
        <w:tc>
          <w:tcPr>
            <w:tcW w:w="495" w:type="dxa"/>
            <w:noWrap w:val="0"/>
            <w:vAlign w:val="center"/>
          </w:tcPr>
          <w:p>
            <w:pPr>
              <w:spacing w:line="700" w:lineRule="exact"/>
              <w:jc w:val="center"/>
              <w:rPr>
                <w:rFonts w:ascii="Calibri" w:hAnsi="Calibri" w:eastAsia="楷体"/>
                <w:kern w:val="0"/>
                <w:szCs w:val="32"/>
              </w:rPr>
            </w:pPr>
          </w:p>
        </w:tc>
        <w:tc>
          <w:tcPr>
            <w:tcW w:w="440"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jc w:val="both"/>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193" w:tblpY="-9141"/>
        <w:tblOverlap w:val="never"/>
        <w:tblW w:w="95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9582" w:type="dxa"/>
            <w:gridSpan w:val="5"/>
            <w:tcBorders>
              <w:tl2br w:val="nil"/>
              <w:tr2bl w:val="nil"/>
            </w:tcBorders>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4875" w:type="dxa"/>
            <w:gridSpan w:val="3"/>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i w:val="0"/>
                <w:iCs w:val="0"/>
                <w:color w:val="000000"/>
                <w:kern w:val="0"/>
                <w:sz w:val="20"/>
                <w:szCs w:val="20"/>
                <w:u w:val="none"/>
                <w:lang w:val="en-US" w:eastAsia="zh-CN" w:bidi="ar"/>
              </w:rPr>
              <w:t>财政局2024年信息化建设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4875" w:type="dxa"/>
            <w:gridSpan w:val="3"/>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60" w:hRule="atLeast"/>
        </w:trPr>
        <w:tc>
          <w:tcPr>
            <w:tcW w:w="1069" w:type="dxa"/>
            <w:tcBorders>
              <w:tl2br w:val="nil"/>
              <w:tr2bl w:val="nil"/>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l2br w:val="nil"/>
              <w:tr2bl w:val="nil"/>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为保障通榆县财政局2024年度财政信息化建设能够顺利开展，保障财政各相关科室正常运行，预算能够顺利执行，申请该项目。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61"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信息化建设发生次数</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信息化建设覆盖率</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信息化建设成本</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信息化建设费用支付及时率</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保障财政事业运行</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稳定保障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信息化建设服务对象的满意度</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193" w:tblpY="-9141"/>
        <w:tblOverlap w:val="never"/>
        <w:tblW w:w="95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9582" w:type="dxa"/>
            <w:gridSpan w:val="5"/>
            <w:tcBorders>
              <w:tl2br w:val="nil"/>
              <w:tr2bl w:val="nil"/>
            </w:tcBorders>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4875" w:type="dxa"/>
            <w:gridSpan w:val="3"/>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i w:val="0"/>
                <w:iCs w:val="0"/>
                <w:color w:val="000000"/>
                <w:kern w:val="0"/>
                <w:sz w:val="20"/>
                <w:szCs w:val="20"/>
                <w:u w:val="none"/>
                <w:lang w:val="en-US" w:eastAsia="zh-CN" w:bidi="ar"/>
              </w:rPr>
              <w:t>财政局2024年财政培训业务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4875" w:type="dxa"/>
            <w:gridSpan w:val="3"/>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60" w:hRule="atLeast"/>
        </w:trPr>
        <w:tc>
          <w:tcPr>
            <w:tcW w:w="1069" w:type="dxa"/>
            <w:tcBorders>
              <w:tl2br w:val="nil"/>
              <w:tr2bl w:val="nil"/>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l2br w:val="nil"/>
              <w:tr2bl w:val="nil"/>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为保障通榆县财政局2024年度财政培训业务能够顺利开展，保障相关科室正常开展业务，预算能够顺利执行，申请该项目。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32"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发生培训业务次数</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培训会议出勤率</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财政培训业务成本</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培训费用支付及时率</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工作能力</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极大提升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学员满意度</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193" w:tblpY="-9141"/>
        <w:tblOverlap w:val="never"/>
        <w:tblW w:w="95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9582" w:type="dxa"/>
            <w:gridSpan w:val="5"/>
            <w:tcBorders>
              <w:tl2br w:val="nil"/>
              <w:tr2bl w:val="nil"/>
            </w:tcBorders>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4875" w:type="dxa"/>
            <w:gridSpan w:val="3"/>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i w:val="0"/>
                <w:iCs w:val="0"/>
                <w:color w:val="000000"/>
                <w:kern w:val="0"/>
                <w:sz w:val="20"/>
                <w:szCs w:val="20"/>
                <w:u w:val="none"/>
                <w:lang w:val="en-US" w:eastAsia="zh-CN" w:bidi="ar"/>
              </w:rPr>
              <w:t>财政局2024年财政改革业务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4875" w:type="dxa"/>
            <w:gridSpan w:val="3"/>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60" w:hRule="atLeast"/>
        </w:trPr>
        <w:tc>
          <w:tcPr>
            <w:tcW w:w="1069" w:type="dxa"/>
            <w:tcBorders>
              <w:tl2br w:val="nil"/>
              <w:tr2bl w:val="nil"/>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l2br w:val="nil"/>
              <w:tr2bl w:val="nil"/>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为保障通榆县财政局2024年度财政改革业务能够顺利开展，保障事业正常运行，预算能够顺利执行，申请该项目。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37"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涉及财政改革业务本年度发生次数</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财政改革业务覆盖率</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财政改革业务成本</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财政改革业务费用支付及时率</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保障财政事业运行</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稳定保障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财政改革业务服务对象的满意度</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95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069"/>
        <w:gridCol w:w="1763"/>
        <w:gridCol w:w="2043"/>
        <w:gridCol w:w="2315"/>
        <w:gridCol w:w="23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9582" w:type="dxa"/>
            <w:gridSpan w:val="5"/>
            <w:tcBorders>
              <w:tl2br w:val="nil"/>
              <w:tr2bl w:val="nil"/>
            </w:tcBorders>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4875" w:type="dxa"/>
            <w:gridSpan w:val="3"/>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default" w:ascii="Arial" w:hAnsi="Arial" w:eastAsia="宋体" w:cs="Arial"/>
                <w:i w:val="0"/>
                <w:iCs w:val="0"/>
                <w:color w:val="000000"/>
                <w:kern w:val="0"/>
                <w:sz w:val="20"/>
                <w:szCs w:val="20"/>
                <w:u w:val="none"/>
                <w:lang w:val="en-US" w:eastAsia="zh-CN" w:bidi="ar"/>
              </w:rPr>
              <w:t>财政局2024年驻村工作队生活补贴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4875" w:type="dxa"/>
            <w:gridSpan w:val="3"/>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560" w:hRule="atLeast"/>
        </w:trPr>
        <w:tc>
          <w:tcPr>
            <w:tcW w:w="1069" w:type="dxa"/>
            <w:tcBorders>
              <w:tl2br w:val="nil"/>
              <w:tr2bl w:val="nil"/>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l2br w:val="nil"/>
              <w:tr2bl w:val="nil"/>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为响应国家政策，保障乡村振兴工作正常运转，满足驻村工作干部生活补助的正常发放，申请全年该项目资金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81"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驻村总人数</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39" w:hRule="atLeast"/>
        </w:trPr>
        <w:tc>
          <w:tcPr>
            <w:tcW w:w="1069" w:type="dxa"/>
            <w:vMerge w:val="continue"/>
            <w:tcBorders>
              <w:tl2br w:val="nil"/>
              <w:tr2bl w:val="nil"/>
            </w:tcBorders>
            <w:noWrap w:val="0"/>
            <w:vAlign w:val="center"/>
          </w:tcPr>
          <w:p>
            <w:pPr>
              <w:autoSpaceDN w:val="0"/>
              <w:jc w:val="center"/>
              <w:textAlignment w:val="center"/>
            </w:pPr>
          </w:p>
        </w:tc>
        <w:tc>
          <w:tcPr>
            <w:tcW w:w="1763" w:type="dxa"/>
            <w:vMerge w:val="continue"/>
            <w:tcBorders>
              <w:tl2br w:val="nil"/>
              <w:tr2bl w:val="nil"/>
            </w:tcBorders>
            <w:noWrap w:val="0"/>
            <w:vAlign w:val="center"/>
          </w:tcPr>
          <w:p>
            <w:pPr>
              <w:autoSpaceDN w:val="0"/>
              <w:jc w:val="center"/>
              <w:textAlignment w:val="center"/>
            </w:pPr>
          </w:p>
        </w:tc>
        <w:tc>
          <w:tcPr>
            <w:tcW w:w="2043" w:type="dxa"/>
            <w:vMerge w:val="continue"/>
            <w:tcBorders>
              <w:tl2br w:val="nil"/>
              <w:tr2bl w:val="nil"/>
            </w:tcBorders>
            <w:noWrap w:val="0"/>
            <w:vAlign w:val="center"/>
          </w:tcPr>
          <w:p>
            <w:pPr>
              <w:autoSpaceDN w:val="0"/>
              <w:jc w:val="center"/>
              <w:textAlignment w:val="center"/>
            </w:pP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驻村天数</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1800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驻村补助资金拨付程序合格率</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驻村差旅补助成本</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补助发放及时率</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保障驻村工作正常进行</w:t>
            </w: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稳定保障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90" w:hRule="atLeast"/>
        </w:trPr>
        <w:tc>
          <w:tcPr>
            <w:tcW w:w="1069"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l2br w:val="nil"/>
              <w:tr2bl w:val="nil"/>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l2br w:val="nil"/>
              <w:tr2bl w:val="nil"/>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驻村工作队队员满意度</w:t>
            </w:r>
          </w:p>
        </w:tc>
        <w:tc>
          <w:tcPr>
            <w:tcW w:w="2392" w:type="dxa"/>
            <w:tcBorders>
              <w:tl2br w:val="nil"/>
              <w:tr2bl w:val="nil"/>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647.58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647.58</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256.15</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cs="仿宋_GB2312"/>
          <w:szCs w:val="32"/>
          <w:lang w:val="en-US" w:eastAsia="zh-CN"/>
        </w:rPr>
        <w:t>增加项目支出</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647.58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647.58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%；上年结转_______万元，占_______%。本年收入中，一般公共预算拨款收入</w:t>
      </w:r>
      <w:r>
        <w:rPr>
          <w:rFonts w:hint="eastAsia" w:ascii="仿宋_GB2312" w:hAnsi="仿宋_GB2312" w:cs="仿宋_GB2312"/>
          <w:szCs w:val="32"/>
          <w:lang w:val="en-US" w:eastAsia="zh-CN"/>
        </w:rPr>
        <w:t>647.58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647.58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359.58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55.53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288.00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44.47</w:t>
      </w:r>
      <w:r>
        <w:rPr>
          <w:rFonts w:hint="eastAsia" w:ascii="仿宋_GB2312" w:hAnsi="仿宋_GB2312" w:eastAsia="仿宋_GB2312" w:cs="仿宋_GB2312"/>
          <w:szCs w:val="32"/>
        </w:rPr>
        <w:t>%；事业单位经营支出_______万元，占_______%；上缴上级支出_______万元，占_______%；对附属单位补助支出_______万元，占_______%。</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647.58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647.58</w:t>
      </w:r>
      <w:r>
        <w:rPr>
          <w:rFonts w:hint="eastAsia" w:ascii="仿宋_GB2312" w:hAnsi="仿宋_GB2312" w:eastAsia="仿宋_GB2312" w:cs="仿宋_GB2312"/>
          <w:szCs w:val="32"/>
        </w:rPr>
        <w:t>万元，上年结转_______万元。支出包括：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568.15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40.58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14.29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24.56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647.58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359.58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55.53</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288.00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44.47</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315.30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87.69</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44.28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12.31</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568.15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87.73</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w:t>
      </w:r>
      <w:r>
        <w:rPr>
          <w:rFonts w:hint="eastAsia" w:ascii="仿宋_GB2312" w:hAnsi="仿宋_GB2312" w:cs="仿宋_GB2312"/>
          <w:szCs w:val="32"/>
          <w:lang w:val="en-US" w:eastAsia="zh-CN"/>
        </w:rPr>
        <w:t>行政</w:t>
      </w:r>
      <w:r>
        <w:rPr>
          <w:rFonts w:hint="eastAsia" w:ascii="仿宋_GB2312" w:hAnsi="仿宋_GB2312" w:cs="仿宋_GB2312"/>
          <w:szCs w:val="32"/>
          <w:lang w:eastAsia="zh-CN"/>
        </w:rPr>
        <w:t>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文化旅游体育与传媒（类）支出_____万元，占_____%，主要用于_____________________。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40.58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6.27</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保障职工基本养老缴费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cs="仿宋_GB2312"/>
          <w:szCs w:val="32"/>
          <w:lang w:eastAsia="zh-CN"/>
        </w:rPr>
        <w:t>卫生健康</w:t>
      </w:r>
      <w:r>
        <w:rPr>
          <w:rFonts w:hint="eastAsia" w:ascii="仿宋_GB2312" w:hAnsi="仿宋_GB2312" w:eastAsia="仿宋_GB2312" w:cs="仿宋_GB2312"/>
          <w:szCs w:val="32"/>
        </w:rPr>
        <w:t>（类）支出</w:t>
      </w:r>
      <w:r>
        <w:rPr>
          <w:rFonts w:hint="eastAsia" w:ascii="仿宋_GB2312" w:hAnsi="仿宋_GB2312" w:cs="仿宋_GB2312"/>
          <w:szCs w:val="32"/>
          <w:lang w:val="en-US" w:eastAsia="zh-CN"/>
        </w:rPr>
        <w:t>14.29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2.21</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保障职工基本医疗保险缴费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24.56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3.79</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保障职工</w:t>
      </w:r>
      <w:r>
        <w:rPr>
          <w:rFonts w:hint="eastAsia" w:ascii="仿宋_GB2312" w:hAnsi="仿宋_GB2312" w:cs="仿宋_GB2312"/>
          <w:szCs w:val="32"/>
          <w:lang w:val="en-US" w:eastAsia="zh-CN"/>
        </w:rPr>
        <w:t>住房公积金</w:t>
      </w:r>
      <w:r>
        <w:rPr>
          <w:rFonts w:hint="eastAsia" w:ascii="仿宋_GB2312" w:hAnsi="仿宋_GB2312" w:cs="仿宋_GB2312"/>
          <w:szCs w:val="32"/>
          <w:lang w:eastAsia="zh-CN"/>
        </w:rPr>
        <w:t>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359.58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315.30</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p>
    <w:p>
      <w:pPr>
        <w:ind w:firstLine="640" w:firstLineChars="200"/>
        <w:rPr>
          <w:rFonts w:hint="eastAsia" w:eastAsia="仿宋_GB2312"/>
          <w:szCs w:val="32"/>
          <w:lang w:eastAsia="zh-CN"/>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44.28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手续费、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租赁费、劳务费、委托业务费、</w:t>
      </w:r>
      <w:r>
        <w:rPr>
          <w:rFonts w:hint="eastAsia" w:ascii="仿宋_GB2312" w:hAnsi="仿宋_GB2312" w:eastAsia="仿宋_GB2312" w:cs="仿宋_GB2312"/>
          <w:kern w:val="0"/>
          <w:szCs w:val="32"/>
        </w:rPr>
        <w:t>其他交通</w:t>
      </w:r>
      <w:r>
        <w:rPr>
          <w:rFonts w:hint="eastAsia" w:ascii="仿宋_GB2312" w:hAnsi="仿宋_GB2312" w:cs="仿宋_GB2312"/>
          <w:kern w:val="0"/>
          <w:szCs w:val="32"/>
          <w:lang w:val="en-US" w:eastAsia="zh-CN"/>
        </w:rPr>
        <w:t>费用</w:t>
      </w:r>
      <w:r>
        <w:rPr>
          <w:rFonts w:hint="eastAsia" w:ascii="仿宋_GB2312" w:hAnsi="仿宋_GB2312" w:cs="仿宋_GB2312"/>
          <w:kern w:val="0"/>
          <w:szCs w:val="32"/>
          <w:lang w:eastAsia="zh-CN"/>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年“三公”经费预算数为_______万元，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家行政单位以及_______等____家参公管理事业单位的机关运行经费财政拨款预算</w:t>
      </w:r>
      <w:r>
        <w:rPr>
          <w:rFonts w:hint="eastAsia" w:ascii="仿宋_GB2312" w:hAnsi="仿宋_GB2312" w:cs="仿宋_GB2312"/>
          <w:szCs w:val="32"/>
          <w:lang w:val="en-US" w:eastAsia="zh-CN"/>
        </w:rPr>
        <w:t>359.58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年预算减少</w:t>
      </w:r>
      <w:r>
        <w:rPr>
          <w:rFonts w:hint="eastAsia" w:ascii="仿宋_GB2312" w:hAnsi="仿宋_GB2312" w:cs="仿宋_GB2312"/>
          <w:szCs w:val="32"/>
          <w:lang w:val="en-US" w:eastAsia="zh-CN"/>
        </w:rPr>
        <w:t>31.85</w:t>
      </w:r>
      <w:r>
        <w:rPr>
          <w:rFonts w:hint="eastAsia" w:ascii="仿宋_GB2312" w:hAnsi="仿宋_GB2312" w:eastAsia="仿宋_GB2312" w:cs="仿宋_GB2312"/>
          <w:szCs w:val="32"/>
        </w:rPr>
        <w:t>万元，下降</w:t>
      </w:r>
      <w:r>
        <w:rPr>
          <w:rFonts w:hint="eastAsia" w:ascii="仿宋_GB2312" w:hAnsi="仿宋_GB2312" w:cs="仿宋_GB2312"/>
          <w:szCs w:val="32"/>
          <w:lang w:val="en-US" w:eastAsia="zh-CN"/>
        </w:rPr>
        <w:t>8.14</w:t>
      </w:r>
      <w:r>
        <w:rPr>
          <w:rFonts w:hint="eastAsia" w:ascii="仿宋_GB2312" w:hAnsi="仿宋_GB2312" w:eastAsia="仿宋_GB2312" w:cs="仿宋_GB2312"/>
          <w:szCs w:val="32"/>
        </w:rPr>
        <w:t>%，主要原因是</w:t>
      </w:r>
      <w:r>
        <w:rPr>
          <w:rFonts w:hint="eastAsia" w:ascii="仿宋_GB2312" w:hAnsi="仿宋_GB2312" w:cs="仿宋_GB2312"/>
          <w:szCs w:val="32"/>
          <w:lang w:val="en-US" w:eastAsia="zh-CN"/>
        </w:rPr>
        <w:t>压缩办公经费</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288.00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2</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288.00</w:t>
      </w:r>
      <w:r>
        <w:rPr>
          <w:rFonts w:hint="eastAsia" w:ascii="仿宋_GB2312" w:hAnsi="仿宋_GB2312" w:eastAsia="仿宋_GB2312" w:cs="仿宋_GB2312"/>
          <w:szCs w:val="32"/>
          <w:highlight w:val="none"/>
        </w:rPr>
        <w:t>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2</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288.00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Borders>
        <w:top w:val="none" w:sz="0" w:space="0"/>
        <w:left w:val="none" w:sz="0" w:space="0"/>
        <w:bottom w:val="none" w:sz="0" w:space="0"/>
        <w:right w:val="none" w:sz="0" w:space="0"/>
      </w:pgBorders>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52397"/>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4D18E0"/>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206816AC"/>
    <w:rsid w:val="22A4003E"/>
    <w:rsid w:val="23984063"/>
    <w:rsid w:val="23CE11F0"/>
    <w:rsid w:val="23EC61F6"/>
    <w:rsid w:val="24256D8C"/>
    <w:rsid w:val="244C543C"/>
    <w:rsid w:val="244D46E6"/>
    <w:rsid w:val="24624768"/>
    <w:rsid w:val="2539376C"/>
    <w:rsid w:val="254C6FAD"/>
    <w:rsid w:val="259B5BC5"/>
    <w:rsid w:val="25C7462E"/>
    <w:rsid w:val="25F62C4E"/>
    <w:rsid w:val="265718D7"/>
    <w:rsid w:val="26643D6C"/>
    <w:rsid w:val="266D2F04"/>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4716B1"/>
    <w:rsid w:val="3EA14040"/>
    <w:rsid w:val="3EE8108D"/>
    <w:rsid w:val="405745EF"/>
    <w:rsid w:val="40B80EFF"/>
    <w:rsid w:val="41A35364"/>
    <w:rsid w:val="41C31686"/>
    <w:rsid w:val="42982B4E"/>
    <w:rsid w:val="436B1E42"/>
    <w:rsid w:val="43993170"/>
    <w:rsid w:val="44054362"/>
    <w:rsid w:val="449C5E6A"/>
    <w:rsid w:val="456D114B"/>
    <w:rsid w:val="45EB670F"/>
    <w:rsid w:val="46AA62CE"/>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0F0314"/>
    <w:rsid w:val="5F6235A9"/>
    <w:rsid w:val="614125C2"/>
    <w:rsid w:val="624C5C52"/>
    <w:rsid w:val="625913E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35</Pages>
  <Words>8346</Words>
  <Characters>10815</Characters>
  <Lines>71</Lines>
  <Paragraphs>20</Paragraphs>
  <TotalTime>16</TotalTime>
  <ScaleCrop>false</ScaleCrop>
  <LinksUpToDate>false</LinksUpToDate>
  <CharactersWithSpaces>11395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2024-01-31T06:15:12Z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829D3E3E63DC443CB6F70851C798BE8D_13</vt:lpwstr>
  </property>
</Properties>
</file>