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eastAsia="zh-CN"/>
        </w:rPr>
      </w:pPr>
      <w:r>
        <w:rPr>
          <w:rFonts w:hint="eastAsia" w:eastAsia="方正小标宋简体"/>
          <w:sz w:val="44"/>
          <w:szCs w:val="44"/>
          <w:lang w:eastAsia="zh-CN"/>
        </w:rPr>
        <w:t>通榆县工资统一发放管理办公室</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color w:val="000000"/>
          <w:szCs w:val="32"/>
        </w:rPr>
      </w:pPr>
      <w:r>
        <w:rPr>
          <w:rFonts w:hint="eastAsia"/>
          <w:color w:val="000000"/>
          <w:szCs w:val="32"/>
        </w:rPr>
        <w:t>（一）贯彻执行工资统发的相关制度，负责说明、解释和总结工资统发管理工作；</w:t>
      </w:r>
    </w:p>
    <w:p>
      <w:pPr>
        <w:ind w:firstLine="640" w:firstLineChars="200"/>
        <w:rPr>
          <w:rFonts w:hint="eastAsia"/>
          <w:color w:val="000000"/>
          <w:szCs w:val="32"/>
        </w:rPr>
      </w:pPr>
      <w:r>
        <w:rPr>
          <w:rFonts w:hint="eastAsia"/>
          <w:color w:val="000000"/>
          <w:szCs w:val="32"/>
        </w:rPr>
        <w:t>（二）在编制部门和人事管理部门核定的在编在岗人员的基础上，审查列入财政开支范围、经费来源渠道、财政补贴项目和标准，及时调整工资变动情况，并对工资进行最终审核和确认；</w:t>
      </w:r>
    </w:p>
    <w:p>
      <w:pPr>
        <w:ind w:firstLine="640" w:firstLineChars="200"/>
        <w:rPr>
          <w:rFonts w:hint="eastAsia"/>
          <w:color w:val="000000"/>
          <w:szCs w:val="32"/>
        </w:rPr>
      </w:pPr>
      <w:r>
        <w:rPr>
          <w:rFonts w:hint="eastAsia"/>
          <w:color w:val="000000"/>
          <w:szCs w:val="32"/>
        </w:rPr>
        <w:t>（三）负责统发职工工资信息数据库的动态管理，录入和调整统发人员的部门编制、经费种类、工资信息、代扣代缴等项目情况；</w:t>
      </w:r>
    </w:p>
    <w:p>
      <w:pPr>
        <w:ind w:firstLine="640" w:firstLineChars="200"/>
        <w:rPr>
          <w:rFonts w:hint="eastAsia"/>
          <w:color w:val="000000"/>
          <w:szCs w:val="32"/>
        </w:rPr>
      </w:pPr>
      <w:r>
        <w:rPr>
          <w:rFonts w:hint="eastAsia"/>
          <w:color w:val="000000"/>
          <w:szCs w:val="32"/>
        </w:rPr>
        <w:t>（四）负责工资统发账户核算管理，按月及时、准确拨付工资，定期向有关部门提供工资统发信息汇总分析表，并将统发部门、人员编制、统发人数、统发工资总额及情况说明等及时上报上级主管部门；</w:t>
      </w:r>
    </w:p>
    <w:p>
      <w:pPr>
        <w:ind w:firstLine="640" w:firstLineChars="200"/>
        <w:rPr>
          <w:rFonts w:hint="eastAsia"/>
          <w:color w:val="000000"/>
          <w:szCs w:val="32"/>
        </w:rPr>
      </w:pPr>
      <w:r>
        <w:rPr>
          <w:rFonts w:hint="eastAsia"/>
          <w:color w:val="000000"/>
          <w:szCs w:val="32"/>
        </w:rPr>
        <w:t>（五）负责与代发银行签订服务协议。按月及时报送工资数据信息和银行代发清单，按月做好打印统发单位工资发放明细表，为统发职工办理职工工资卡相关事宜，把工资分解支付到个人；</w:t>
      </w:r>
    </w:p>
    <w:p>
      <w:pPr>
        <w:ind w:firstLine="640" w:firstLineChars="200"/>
        <w:rPr>
          <w:rFonts w:hint="eastAsia"/>
          <w:color w:val="000000"/>
          <w:szCs w:val="32"/>
        </w:rPr>
      </w:pPr>
      <w:r>
        <w:rPr>
          <w:rFonts w:hint="eastAsia"/>
          <w:color w:val="000000"/>
          <w:szCs w:val="32"/>
        </w:rPr>
        <w:t>（六）负责统发职工工资代扣代缴工作。具体负责职工社会养老保险个人缴费和依法交纳工资薪金部分的个人所得税款项，及时划转到其委托银行的专用账户并做好相应的账务处理。</w:t>
      </w:r>
    </w:p>
    <w:p>
      <w:pPr>
        <w:ind w:firstLine="640" w:firstLineChars="200"/>
      </w:pPr>
      <w:r>
        <w:rPr>
          <w:rFonts w:eastAsia="楷体_GB2312"/>
        </w:rPr>
        <w:t>二、机构设置</w:t>
      </w:r>
    </w:p>
    <w:p>
      <w:pPr>
        <w:pStyle w:val="51"/>
        <w:ind w:firstLine="640" w:firstLineChars="200"/>
        <w:rPr>
          <w:rFonts w:eastAsia="仿宋_GB2312"/>
        </w:rPr>
      </w:pPr>
      <w:r>
        <w:rPr>
          <w:rFonts w:eastAsia="仿宋_GB2312"/>
        </w:rPr>
        <w:t>根据上述职责，通榆县工资统一发放管理办公室内设</w:t>
      </w:r>
      <w:r>
        <w:rPr>
          <w:rFonts w:hint="eastAsia" w:eastAsia="仿宋_GB2312"/>
          <w:u w:val="single"/>
          <w:lang w:val="en-US" w:eastAsia="zh-CN"/>
        </w:rPr>
        <w:t>0</w:t>
      </w:r>
      <w:r>
        <w:rPr>
          <w:rFonts w:eastAsia="仿宋_GB2312"/>
        </w:rPr>
        <w:t>个机构。</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49.21</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49.21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8.56</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8.56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4.98</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4.98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b w:val="0"/>
                <w:bCs/>
                <w:color w:val="000000"/>
                <w:kern w:val="0"/>
                <w:sz w:val="20"/>
              </w:rPr>
            </w:pPr>
            <w:r>
              <w:rPr>
                <w:rFonts w:hint="default" w:ascii="仿宋_GB2312"/>
                <w:b w:val="0"/>
                <w:bCs/>
                <w:color w:val="000000"/>
                <w:kern w:val="0"/>
                <w:sz w:val="20"/>
                <w:lang w:val="en-US" w:eastAsia="zh-CN"/>
              </w:rPr>
              <w:t>十、卫生健康支出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2.74</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2.74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1200" w:type="dxa"/>
            <w:tcBorders>
              <w:top w:val="nil"/>
              <w:left w:val="single" w:color="auto" w:sz="4" w:space="0"/>
              <w:bottom w:val="single" w:color="auto" w:sz="4" w:space="0"/>
              <w:right w:val="nil"/>
            </w:tcBorders>
            <w:noWrap w:val="0"/>
            <w:vAlign w:val="center"/>
          </w:tcPr>
          <w:p>
            <w:pPr>
              <w:jc w:val="center"/>
              <w:rPr>
                <w:rFonts w:ascii="Times New Roman" w:hAnsi="Times New Roman" w:eastAsia="宋体" w:cs="Times New Roman"/>
                <w:kern w:val="0"/>
                <w:sz w:val="20"/>
                <w:lang w:val="en-US" w:eastAsia="zh-CN" w:bidi="ar-SA"/>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115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1200" w:type="dxa"/>
            <w:tcBorders>
              <w:top w:val="nil"/>
              <w:left w:val="single" w:color="auto" w:sz="4" w:space="0"/>
              <w:bottom w:val="single" w:color="auto" w:sz="4" w:space="0"/>
              <w:right w:val="nil"/>
            </w:tcBorders>
            <w:noWrap w:val="0"/>
            <w:vAlign w:val="center"/>
          </w:tcPr>
          <w:p>
            <w:pPr>
              <w:jc w:val="center"/>
              <w:rPr>
                <w:rFonts w:ascii="Times New Roman" w:hAnsi="Times New Roman" w:eastAsia="宋体" w:cs="Times New Roman"/>
                <w:kern w:val="0"/>
                <w:sz w:val="20"/>
                <w:lang w:val="en-US" w:eastAsia="zh-CN" w:bidi="ar-SA"/>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115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通榆县工资统一发放管理办公室</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65.49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65.49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65.49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750"/>
              <w:gridCol w:w="626"/>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5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26"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5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26"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62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default" w:ascii="Arial" w:hAnsi="Arial" w:eastAsia="宋体" w:cs="Arial"/>
                      <w:i w:val="0"/>
                      <w:iCs w:val="0"/>
                      <w:color w:val="000000"/>
                      <w:kern w:val="0"/>
                      <w:sz w:val="20"/>
                      <w:szCs w:val="20"/>
                      <w:u w:val="none"/>
                      <w:lang w:val="en-US" w:eastAsia="zh-CN" w:bidi="ar"/>
                    </w:rPr>
                    <w:t>49.21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default" w:ascii="Arial" w:hAnsi="Arial" w:eastAsia="宋体" w:cs="Arial"/>
                      <w:i w:val="0"/>
                      <w:iCs w:val="0"/>
                      <w:color w:val="000000"/>
                      <w:kern w:val="0"/>
                      <w:sz w:val="20"/>
                      <w:szCs w:val="20"/>
                      <w:u w:val="none"/>
                      <w:lang w:val="en-US" w:eastAsia="zh-CN" w:bidi="ar"/>
                    </w:rPr>
                    <w:t>49.21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65.49</w:t>
                  </w: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8.56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val="en-US" w:eastAsia="zh-CN"/>
                    </w:rPr>
                    <w:t>卫生健康</w:t>
                  </w:r>
                  <w:r>
                    <w:rPr>
                      <w:rFonts w:hint="eastAsia" w:ascii="宋体" w:hAnsi="宋体" w:eastAsia="宋体" w:cs="宋体"/>
                      <w:b w:val="0"/>
                      <w:bCs/>
                      <w:kern w:val="0"/>
                      <w:sz w:val="20"/>
                    </w:rPr>
                    <w:t>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2.74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2.74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4.98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4.98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2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黑体"/>
                      <w:kern w:val="0"/>
                      <w:sz w:val="20"/>
                    </w:rPr>
                  </w:pPr>
                  <w:r>
                    <w:rPr>
                      <w:rFonts w:hint="default" w:ascii="Arial" w:hAnsi="Arial" w:eastAsia="宋体" w:cs="Arial"/>
                      <w:i w:val="0"/>
                      <w:iCs w:val="0"/>
                      <w:color w:val="000000"/>
                      <w:kern w:val="0"/>
                      <w:sz w:val="20"/>
                      <w:szCs w:val="20"/>
                      <w:u w:val="none"/>
                      <w:lang w:val="en-US" w:eastAsia="zh-CN" w:bidi="ar"/>
                    </w:rPr>
                    <w:t>65.49</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黑体"/>
                      <w:kern w:val="0"/>
                      <w:sz w:val="20"/>
                    </w:rPr>
                  </w:pPr>
                  <w:r>
                    <w:rPr>
                      <w:rFonts w:hint="default" w:ascii="Arial" w:hAnsi="Arial" w:eastAsia="宋体" w:cs="Arial"/>
                      <w:i w:val="0"/>
                      <w:iCs w:val="0"/>
                      <w:color w:val="000000"/>
                      <w:kern w:val="0"/>
                      <w:sz w:val="20"/>
                      <w:szCs w:val="20"/>
                      <w:u w:val="none"/>
                      <w:lang w:val="en-US" w:eastAsia="zh-CN" w:bidi="ar"/>
                    </w:rPr>
                    <w:t>65.49</w:t>
                  </w:r>
                </w:p>
              </w:tc>
              <w:tc>
                <w:tcPr>
                  <w:tcW w:w="62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61.65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23.33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23.33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12.19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租赁费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委托业务费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3.27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3.27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12</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65.49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65.49</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26.29</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压缩办公经费</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65.49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65.49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%；上年结转_______万元，占_______%。本年收入中，一般公共预算拨款收入</w:t>
      </w:r>
      <w:r>
        <w:rPr>
          <w:rFonts w:hint="eastAsia" w:ascii="仿宋_GB2312" w:hAnsi="仿宋_GB2312" w:cs="仿宋_GB2312"/>
          <w:szCs w:val="32"/>
          <w:lang w:val="en-US" w:eastAsia="zh-CN"/>
        </w:rPr>
        <w:t>65.49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65.49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65.49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%；项目支出_______万元，占_______%；事业单位经营支出_______万元，占_______%；上缴上级支出_______万元，占_______%；对附属单位补助支出_______万元，占_______%。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65.49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65.49</w:t>
      </w:r>
      <w:r>
        <w:rPr>
          <w:rFonts w:hint="eastAsia" w:ascii="仿宋_GB2312" w:hAnsi="仿宋_GB2312" w:eastAsia="仿宋_GB2312" w:cs="仿宋_GB2312"/>
          <w:szCs w:val="32"/>
        </w:rPr>
        <w:t>万元，上年结转_______万元。支出包括：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49.21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8.56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2.74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4.98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65.49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65.49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%；项目支出___万元，占___%。基本支出中，人员经费</w:t>
      </w:r>
      <w:r>
        <w:rPr>
          <w:rFonts w:hint="eastAsia" w:ascii="仿宋_GB2312" w:hAnsi="仿宋_GB2312" w:cs="仿宋_GB2312"/>
          <w:szCs w:val="32"/>
          <w:lang w:val="en-US" w:eastAsia="zh-CN"/>
        </w:rPr>
        <w:t>61.65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94.14</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5.86</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49.21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75.14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保障事业运行</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8.56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13.07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保障职工基本养老缴费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2.74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4.18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保障职工基本医疗保险缴费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4.98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7.60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w:t>
      </w:r>
      <w:r>
        <w:rPr>
          <w:rFonts w:hint="eastAsia" w:ascii="仿宋_GB2312" w:hAnsi="仿宋_GB2312" w:cs="仿宋_GB2312"/>
          <w:szCs w:val="32"/>
          <w:lang w:val="en-US" w:eastAsia="zh-CN"/>
        </w:rPr>
        <w:t>住房公积金</w:t>
      </w:r>
      <w:r>
        <w:rPr>
          <w:rFonts w:hint="eastAsia" w:ascii="仿宋_GB2312" w:hAnsi="仿宋_GB2312" w:cs="仿宋_GB2312"/>
          <w:szCs w:val="32"/>
          <w:lang w:eastAsia="zh-CN"/>
        </w:rPr>
        <w:t>缴费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65.49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61.65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手续费、</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租赁费、委托业务费</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bookmarkStart w:id="0" w:name="_GoBack"/>
      <w:bookmarkEnd w:id="0"/>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2YTZlYTlkYWQ1Y2VkZTNkMjc4Y2I0MDdlZjRiND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2FA25365"/>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0D1FA3"/>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25913E2"/>
    <w:rsid w:val="63952BB5"/>
    <w:rsid w:val="63993083"/>
    <w:rsid w:val="63DF08E4"/>
    <w:rsid w:val="64127E15"/>
    <w:rsid w:val="64C04AFD"/>
    <w:rsid w:val="661A7B69"/>
    <w:rsid w:val="664909C1"/>
    <w:rsid w:val="66896DED"/>
    <w:rsid w:val="66C63EB5"/>
    <w:rsid w:val="677772D0"/>
    <w:rsid w:val="679461D3"/>
    <w:rsid w:val="6858287E"/>
    <w:rsid w:val="69157114"/>
    <w:rsid w:val="691A443E"/>
    <w:rsid w:val="6A80735F"/>
    <w:rsid w:val="6ACC5E47"/>
    <w:rsid w:val="6AD43ED1"/>
    <w:rsid w:val="6B000EF3"/>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C831BA"/>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儿他爹</cp:lastModifiedBy>
  <cp:lastPrinted>2022-02-21T08:08:00Z</cp:lastPrinted>
  <dcterms:modified xsi:type="dcterms:W3CDTF">2024-01-25T08:54:12Z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829D3E3E63DC443CB6F70851C798BE8D_13</vt:lpwstr>
  </property>
</Properties>
</file>