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eastAsia="zh-CN"/>
        </w:rPr>
      </w:pPr>
      <w:r>
        <w:rPr>
          <w:rFonts w:hint="eastAsia" w:eastAsia="方正小标宋简体"/>
          <w:sz w:val="44"/>
          <w:szCs w:val="44"/>
          <w:lang w:eastAsia="zh-CN"/>
        </w:rPr>
        <w:t>通榆县农业开发项目服务中心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楷体_GB2312"/>
        </w:rPr>
      </w:pPr>
      <w:r>
        <w:rPr>
          <w:rFonts w:eastAsia="黑体"/>
          <w:sz w:val="36"/>
          <w:szCs w:val="36"/>
        </w:rPr>
        <w:t>第一部分 部门概况</w:t>
      </w: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（一）负责全县农业项目开发规划、计划的编制、审查、论证、决策和项目的管理；指导、审查全县农业项目开发规划和年度计划；</w:t>
      </w:r>
    </w:p>
    <w:p>
      <w:pPr>
        <w:ind w:firstLine="640" w:firstLineChars="200"/>
        <w:rPr>
          <w:rFonts w:hint="eastAsia"/>
          <w:color w:val="000000"/>
          <w:szCs w:val="32"/>
        </w:rPr>
      </w:pPr>
      <w:r>
        <w:rPr>
          <w:rFonts w:hint="eastAsia"/>
          <w:color w:val="000000"/>
          <w:szCs w:val="32"/>
        </w:rPr>
        <w:t>（二）编制下达项目计划、监督、检查、指导项目建设工作，定期调度项目进展情况，汇总半年报表和年度决算；</w:t>
      </w:r>
    </w:p>
    <w:p>
      <w:pPr>
        <w:ind w:firstLine="640" w:firstLineChars="200"/>
        <w:rPr>
          <w:rFonts w:hint="eastAsia"/>
          <w:color w:val="000000"/>
          <w:szCs w:val="32"/>
        </w:rPr>
      </w:pPr>
      <w:r>
        <w:rPr>
          <w:rFonts w:hint="eastAsia"/>
          <w:color w:val="000000"/>
          <w:szCs w:val="32"/>
        </w:rPr>
        <w:t>（三）负责项目的监测评估工作，按照国家和省开展项目标准组织项目实施，配合财政、审核部门对项目资金进行审计和监督；</w:t>
      </w:r>
    </w:p>
    <w:p>
      <w:pPr>
        <w:ind w:firstLine="640" w:firstLineChars="200"/>
        <w:rPr>
          <w:rFonts w:hint="eastAsia"/>
          <w:color w:val="000000"/>
          <w:szCs w:val="32"/>
        </w:rPr>
      </w:pPr>
      <w:r>
        <w:rPr>
          <w:rFonts w:hint="eastAsia"/>
          <w:color w:val="000000"/>
          <w:szCs w:val="32"/>
        </w:rPr>
        <w:t>（四）负责项目技术指导工作；</w:t>
      </w:r>
    </w:p>
    <w:p>
      <w:pPr>
        <w:ind w:firstLine="640" w:firstLineChars="200"/>
        <w:rPr>
          <w:rFonts w:hint="eastAsia"/>
          <w:color w:val="000000"/>
          <w:szCs w:val="32"/>
        </w:rPr>
      </w:pPr>
      <w:r>
        <w:rPr>
          <w:rFonts w:hint="eastAsia"/>
          <w:color w:val="000000"/>
          <w:szCs w:val="32"/>
        </w:rPr>
        <w:t>（五）负责项目资金管理及报帐提款、贷款发放和回收工作；负责对辖区内项目资金使用情况进行监督检查和指导；</w:t>
      </w:r>
    </w:p>
    <w:p>
      <w:pPr>
        <w:ind w:firstLine="640" w:firstLineChars="200"/>
        <w:rPr>
          <w:rFonts w:hint="eastAsia"/>
          <w:color w:val="000000"/>
          <w:szCs w:val="32"/>
        </w:rPr>
      </w:pPr>
      <w:r>
        <w:rPr>
          <w:rFonts w:hint="eastAsia"/>
          <w:color w:val="000000"/>
          <w:szCs w:val="32"/>
        </w:rPr>
        <w:t>（六）负责项目宣传、技术培训和应用研究项目的管理工作，开展调查研究，及时反映情况，为领导决策提供依据；</w:t>
      </w:r>
    </w:p>
    <w:p>
      <w:pPr>
        <w:ind w:firstLine="640" w:firstLineChars="200"/>
        <w:rPr>
          <w:rFonts w:hint="eastAsia"/>
          <w:color w:val="000000"/>
          <w:szCs w:val="32"/>
        </w:rPr>
      </w:pPr>
      <w:r>
        <w:rPr>
          <w:rFonts w:hint="eastAsia"/>
          <w:color w:val="000000"/>
          <w:szCs w:val="32"/>
        </w:rPr>
        <w:t>（七）负责政府主权外债利用世界银行贷款，亚洲银行贷款、国家农发基金和其他国际金融组织农业开发项目管理</w:t>
      </w:r>
    </w:p>
    <w:p>
      <w:pPr>
        <w:ind w:firstLine="640" w:firstLineChars="200"/>
        <w:rPr>
          <w:rFonts w:hint="eastAsia"/>
          <w:color w:val="000000"/>
          <w:szCs w:val="32"/>
        </w:rPr>
      </w:pPr>
      <w:r>
        <w:rPr>
          <w:rFonts w:hint="eastAsia"/>
          <w:color w:val="000000"/>
          <w:szCs w:val="32"/>
        </w:rPr>
        <w:t>工作；</w:t>
      </w:r>
    </w:p>
    <w:p>
      <w:pPr>
        <w:ind w:firstLine="640" w:firstLineChars="200"/>
        <w:rPr>
          <w:rFonts w:hint="eastAsia"/>
          <w:color w:val="000000"/>
          <w:szCs w:val="32"/>
        </w:rPr>
      </w:pPr>
      <w:r>
        <w:rPr>
          <w:rFonts w:hint="eastAsia"/>
          <w:color w:val="000000"/>
          <w:szCs w:val="32"/>
          <w:lang w:eastAsia="zh-CN"/>
        </w:rPr>
        <w:t>（八）</w:t>
      </w:r>
      <w:r>
        <w:rPr>
          <w:rFonts w:hint="eastAsia"/>
          <w:color w:val="000000"/>
          <w:szCs w:val="32"/>
        </w:rPr>
        <w:t>承办县政府及上级业务主管部门交办的其他事项。</w:t>
      </w:r>
    </w:p>
    <w:p>
      <w:pPr>
        <w:ind w:firstLine="640" w:firstLineChars="200"/>
      </w:pPr>
      <w:r>
        <w:rPr>
          <w:rFonts w:eastAsia="楷体_GB2312"/>
        </w:rPr>
        <w:t>二、机构设置</w:t>
      </w:r>
    </w:p>
    <w:p>
      <w:pPr>
        <w:pStyle w:val="51"/>
        <w:ind w:firstLine="640" w:firstLineChars="200"/>
        <w:rPr>
          <w:rFonts w:eastAsia="黑体"/>
          <w:sz w:val="36"/>
          <w:szCs w:val="36"/>
        </w:rPr>
      </w:pPr>
      <w:r>
        <w:rPr>
          <w:rFonts w:eastAsia="仿宋_GB2312"/>
        </w:rPr>
        <w:t>根据上述职责，</w:t>
      </w:r>
      <w:r>
        <w:rPr>
          <w:rFonts w:hint="eastAsia" w:eastAsia="仿宋_GB2312"/>
        </w:rPr>
        <w:t>通榆县农业开发项目服务中心</w:t>
      </w:r>
      <w:r>
        <w:rPr>
          <w:rFonts w:eastAsia="仿宋_GB2312"/>
        </w:rPr>
        <w:t>内设</w:t>
      </w:r>
      <w:r>
        <w:rPr>
          <w:rFonts w:hint="eastAsia" w:eastAsia="仿宋_GB2312"/>
          <w:u w:val="single"/>
          <w:lang w:val="en-US" w:eastAsia="zh-CN"/>
        </w:rPr>
        <w:t>0</w:t>
      </w:r>
      <w:r>
        <w:rPr>
          <w:rFonts w:eastAsia="仿宋_GB2312"/>
        </w:rPr>
        <w:t>个机构。</w:t>
      </w: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468"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47.56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47.56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8.43</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8.43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4.91</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仿宋_GB2312"/>
                <w:b w:val="0"/>
                <w:bCs/>
                <w:color w:val="00000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b w:val="0"/>
                <w:bCs/>
                <w:color w:val="000000"/>
                <w:kern w:val="0"/>
                <w:sz w:val="20"/>
              </w:rPr>
            </w:pPr>
            <w:r>
              <w:rPr>
                <w:rFonts w:hint="default" w:ascii="仿宋_GB2312"/>
                <w:b w:val="0"/>
                <w:bCs/>
                <w:color w:val="000000"/>
                <w:kern w:val="0"/>
                <w:sz w:val="20"/>
                <w:lang w:val="en-US" w:eastAsia="zh-CN"/>
              </w:rPr>
              <w:t>十、卫生健康支出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2.70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b/>
                <w:bCs/>
                <w:kern w:val="0"/>
                <w:sz w:val="20"/>
              </w:rPr>
            </w:pPr>
            <w:r>
              <w:rPr>
                <w:rFonts w:hint="default" w:ascii="Arial" w:hAnsi="Arial" w:eastAsia="宋体" w:cs="Arial"/>
                <w:i w:val="0"/>
                <w:iCs w:val="0"/>
                <w:color w:val="000000"/>
                <w:kern w:val="0"/>
                <w:sz w:val="20"/>
                <w:szCs w:val="20"/>
                <w:u w:val="none"/>
                <w:lang w:val="en-US" w:eastAsia="zh-CN" w:bidi="ar"/>
              </w:rPr>
              <w:t>63.60</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通榆县农业开发项目服务中心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63.60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63.60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63.60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63.60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63.60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63.60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shd w:val="solid" w:color="FFFFFF" w:fill="auto"/>
                    <w:autoSpaceDN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shd w:val="solid" w:color="FFFFFF" w:fill="auto"/>
                    <w:autoSpaceDN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25"/>
              <w:gridCol w:w="551"/>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2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5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5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55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47.56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47.56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ascii="Times New Roman" w:hAnsi="Times New Roman" w:eastAsia="仿宋_GB2312" w:cs="Times New Roman"/>
                      <w:color w:val="000000"/>
                      <w:kern w:val="2"/>
                      <w:sz w:val="20"/>
                      <w:shd w:val="clear" w:color="auto" w:fill="FFFFFF"/>
                      <w:lang w:val="en-US" w:eastAsia="zh-CN" w:bidi="ar-SA"/>
                    </w:rPr>
                  </w:pPr>
                  <w:r>
                    <w:rPr>
                      <w:rFonts w:hint="default" w:ascii="Arial" w:hAnsi="Arial" w:eastAsia="宋体" w:cs="Arial"/>
                      <w:i w:val="0"/>
                      <w:iCs w:val="0"/>
                      <w:color w:val="000000"/>
                      <w:kern w:val="0"/>
                      <w:sz w:val="20"/>
                      <w:szCs w:val="20"/>
                      <w:u w:val="none"/>
                      <w:lang w:val="en-US" w:eastAsia="zh-CN" w:bidi="ar"/>
                    </w:rPr>
                    <w:t>63.60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ascii="Times New Roman" w:hAnsi="Times New Roman" w:eastAsia="仿宋_GB2312" w:cs="Times New Roman"/>
                      <w:color w:val="000000"/>
                      <w:kern w:val="2"/>
                      <w:sz w:val="20"/>
                      <w:shd w:val="clear" w:color="auto" w:fill="FFFFFF"/>
                      <w:lang w:val="en-US" w:eastAsia="zh-CN" w:bidi="ar-SA"/>
                    </w:rPr>
                  </w:pPr>
                  <w:r>
                    <w:rPr>
                      <w:rFonts w:hint="default" w:ascii="Arial" w:hAnsi="Arial" w:eastAsia="宋体" w:cs="Arial"/>
                      <w:i w:val="0"/>
                      <w:iCs w:val="0"/>
                      <w:color w:val="000000"/>
                      <w:kern w:val="0"/>
                      <w:sz w:val="20"/>
                      <w:szCs w:val="20"/>
                      <w:u w:val="none"/>
                      <w:lang w:val="en-US" w:eastAsia="zh-CN" w:bidi="ar"/>
                    </w:rPr>
                    <w:t>63.60</w:t>
                  </w: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w:t>
                  </w:r>
                  <w:r>
                    <w:rPr>
                      <w:rFonts w:hint="eastAsia" w:ascii="宋体" w:hAnsi="宋体" w:eastAsia="宋体" w:cs="宋体"/>
                      <w:b w:val="0"/>
                      <w:bCs/>
                      <w:kern w:val="0"/>
                      <w:sz w:val="20"/>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2.70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2.70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4.91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center"/>
                    <w:textAlignment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5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63.60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63.60</w:t>
                  </w:r>
                </w:p>
              </w:tc>
              <w:tc>
                <w:tcPr>
                  <w:tcW w:w="55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shd w:val="solid" w:color="FFFFFF" w:fill="auto"/>
                    <w:autoSpaceDN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63.60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22.24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4.50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1.30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63.60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9.05</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压缩办公经费</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%；项目支出_______万元，占_______%；事业单位经营支出_______万元，占_______%；上缴上级支出_______万元，占_______%；对附属单位补助支出_______万元，占_______%。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万元，其中：本年收入_</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47.56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8.43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2.70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4.91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%；项目支出___万元，占___%。基本支出中，人员经费</w:t>
      </w:r>
      <w:r>
        <w:rPr>
          <w:rFonts w:hint="eastAsia" w:ascii="仿宋_GB2312" w:hAnsi="仿宋_GB2312" w:cs="仿宋_GB2312"/>
          <w:szCs w:val="32"/>
          <w:lang w:val="en-US" w:eastAsia="zh-CN"/>
        </w:rPr>
        <w:t>58.80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92.45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47.56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74.78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保障事业运行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13.25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保障职工基本养老缴费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2.70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4.91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w:t>
      </w:r>
      <w:r>
        <w:rPr>
          <w:rFonts w:hint="eastAsia" w:ascii="仿宋_GB2312" w:hAnsi="仿宋_GB2312" w:cs="仿宋_GB2312"/>
          <w:szCs w:val="32"/>
          <w:lang w:val="en-US" w:eastAsia="zh-CN"/>
        </w:rPr>
        <w:t>住房公积金</w:t>
      </w:r>
      <w:r>
        <w:rPr>
          <w:rFonts w:hint="eastAsia" w:ascii="仿宋_GB2312" w:hAnsi="仿宋_GB2312" w:cs="仿宋_GB2312"/>
          <w:szCs w:val="32"/>
          <w:lang w:eastAsia="zh-CN"/>
        </w:rPr>
        <w:t>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63.60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58.80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4.80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租赁费、委托业务费</w:t>
      </w:r>
      <w:r>
        <w:rPr>
          <w:rFonts w:hint="eastAsia" w:ascii="仿宋_GB2312" w:hAnsi="仿宋_GB2312" w:eastAsia="仿宋_GB2312" w:cs="仿宋_GB2312"/>
          <w:kern w:val="0"/>
          <w:szCs w:val="32"/>
        </w:rPr>
        <w:t>。</w:t>
      </w:r>
      <w:bookmarkStart w:id="0" w:name="_GoBack"/>
      <w:bookmarkEnd w:id="0"/>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YTZlYTlkYWQ1Y2VkZTNkMjc4Y2I0MDdlZjRiN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AF81D05"/>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5913E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儿他爹</cp:lastModifiedBy>
  <cp:lastPrinted>2022-02-21T08:08:00Z</cp:lastPrinted>
  <dcterms:modified xsi:type="dcterms:W3CDTF">2024-01-26T01:20:31Z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829D3E3E63DC443CB6F70851C798BE8D_13</vt:lpwstr>
  </property>
</Properties>
</file>