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通榆县债务管理服务中心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ascii="仿宋" w:hAnsi="仿宋" w:eastAsia="仿宋" w:cs="仿宋"/>
        </w:rPr>
      </w:pPr>
      <w:r>
        <w:rPr>
          <w:rFonts w:hint="eastAsia" w:ascii="仿宋" w:hAnsi="仿宋" w:eastAsia="仿宋" w:cs="仿宋"/>
        </w:rPr>
        <w:t>一、主要职能</w:t>
      </w:r>
    </w:p>
    <w:p>
      <w:pPr>
        <w:ind w:firstLine="640" w:firstLineChars="200"/>
        <w:rPr>
          <w:rFonts w:hint="eastAsia" w:ascii="仿宋" w:hAnsi="仿宋" w:eastAsia="仿宋" w:cs="仿宋"/>
        </w:rPr>
      </w:pPr>
      <w:r>
        <w:rPr>
          <w:rFonts w:hint="eastAsia" w:ascii="仿宋" w:hAnsi="仿宋" w:eastAsia="仿宋" w:cs="仿宋"/>
          <w:lang w:val="en-US" w:eastAsia="zh-CN"/>
        </w:rPr>
        <w:t xml:space="preserve">1.审核汇总县政府主权债务贷款项目的提款报帐、报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表和相关文件以及财务会计核算工作；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2.负责组织全县主权债务风险等级、资信等级评定风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险分析，统计汇总和到期债务的信帐、消欠、结算工作；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3.负责组织全县政府主权债务项目管理中的财务、会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计业务培训及有关咨询股务工作，指导项目单位的财务。会计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管理工作，编制汇总项目决算报表；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4.受财政局委托,参与全身政府主权项目前期评估、论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让、分发调科及项目梦工后的教益、财金评价工作和承担债务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管理方面的其他具体事务性工作；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5.负责农业保险相关汇总、报表等相关工作。 </w:t>
      </w:r>
    </w:p>
    <w:p>
      <w:pPr>
        <w:ind w:firstLine="640" w:firstLineChars="200"/>
        <w:rPr>
          <w:rFonts w:hint="eastAsia" w:ascii="仿宋" w:hAnsi="仿宋" w:eastAsia="仿宋" w:cs="仿宋"/>
        </w:rPr>
      </w:pPr>
      <w:r>
        <w:rPr>
          <w:rFonts w:hint="eastAsia" w:ascii="仿宋" w:hAnsi="仿宋" w:eastAsia="仿宋" w:cs="仿宋"/>
          <w:lang w:val="en-US" w:eastAsia="zh-CN"/>
        </w:rPr>
        <w:t xml:space="preserve">二、机构设置 </w:t>
      </w:r>
    </w:p>
    <w:p>
      <w:pPr>
        <w:ind w:firstLine="640" w:firstLineChars="200"/>
      </w:pPr>
      <w:r>
        <w:rPr>
          <w:rFonts w:hint="eastAsia" w:ascii="仿宋" w:hAnsi="仿宋" w:eastAsia="仿宋" w:cs="仿宋"/>
          <w:lang w:val="en-US" w:eastAsia="zh-CN"/>
        </w:rPr>
        <w:t>根据上述职责，内设 2 个工作组，分别为金融组和债券组。</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44.28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44.28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auto"/>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59.14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3600" w:firstLineChars="1000"/>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通榆县债务管理服务中心</w:t>
            </w: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59.14 </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44.28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财政</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44.28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44.28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44.28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44.28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11"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    7.81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 xml:space="preserve">   7.81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其他行政事业单位养老支出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ascii="Times New Roman" w:hAnsi="Times New Roman" w:eastAsia="宋体" w:cs="Times New Roman"/>
                      <w:color w:val="000000"/>
                      <w:kern w:val="0"/>
                      <w:sz w:val="20"/>
                      <w:lang w:val="en-US" w:eastAsia="zh-CN" w:bidi="ar-SA"/>
                    </w:rPr>
                  </w:pPr>
                  <w:r>
                    <w:rPr>
                      <w:rFonts w:hint="eastAsia" w:ascii="宋体" w:hAnsi="宋体" w:eastAsia="宋体" w:cs="宋体"/>
                      <w:color w:val="000000"/>
                      <w:kern w:val="0"/>
                      <w:sz w:val="19"/>
                      <w:szCs w:val="19"/>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2.50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 xml:space="preserve"> 2.50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r>
            <w:tr>
              <w:tblPrEx>
                <w:tblCellMar>
                  <w:top w:w="15" w:type="dxa"/>
                  <w:left w:w="15" w:type="dxa"/>
                  <w:bottom w:w="15" w:type="dxa"/>
                  <w:right w:w="15" w:type="dxa"/>
                </w:tblCellMar>
              </w:tblPrEx>
              <w:trPr>
                <w:trHeight w:val="330" w:hRule="atLeast"/>
              </w:trPr>
              <w:tc>
                <w:tcPr>
                  <w:tcW w:w="0" w:type="auto"/>
                  <w:vAlign w:val="center"/>
                </w:tcPr>
                <w:p>
                  <w:pPr>
                    <w:keepNext w:val="0"/>
                    <w:keepLines w:val="0"/>
                    <w:widowControl/>
                    <w:suppressLineNumbers w:val="0"/>
                    <w:ind w:firstLine="380" w:firstLineChars="200"/>
                    <w:jc w:val="left"/>
                    <w:rPr>
                      <w:rFonts w:hint="default" w:ascii="宋体" w:hAnsi="宋体" w:eastAsia="宋体" w:cs="宋体"/>
                      <w:color w:val="000000"/>
                      <w:kern w:val="0"/>
                      <w:sz w:val="19"/>
                      <w:szCs w:val="19"/>
                      <w:lang w:val="en-US" w:eastAsia="zh-CN" w:bidi="ar"/>
                    </w:rPr>
                  </w:pPr>
                </w:p>
              </w:tc>
              <w:tc>
                <w:tcPr>
                  <w:tcW w:w="0" w:type="auto"/>
                </w:tcPr>
                <w:p>
                  <w:pPr>
                    <w:widowControl/>
                    <w:jc w:val="right"/>
                    <w:rPr>
                      <w:rFonts w:hint="default" w:eastAsia="宋体"/>
                      <w:color w:val="000000"/>
                      <w:kern w:val="0"/>
                      <w:sz w:val="20"/>
                      <w:lang w:val="en-US" w:eastAsia="zh-CN"/>
                    </w:rPr>
                  </w:pPr>
                </w:p>
              </w:tc>
              <w:tc>
                <w:tcPr>
                  <w:tcW w:w="0" w:type="auto"/>
                </w:tcPr>
                <w:p>
                  <w:pPr>
                    <w:widowControl/>
                    <w:jc w:val="right"/>
                    <w:rPr>
                      <w:rFonts w:hint="default" w:eastAsia="宋体"/>
                      <w:color w:val="000000"/>
                      <w:kern w:val="0"/>
                      <w:sz w:val="20"/>
                      <w:lang w:val="en-US" w:eastAsia="zh-CN"/>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vAlign w:val="center"/>
                </w:tcPr>
                <w:p>
                  <w:pPr>
                    <w:keepNext w:val="0"/>
                    <w:keepLines w:val="0"/>
                    <w:widowControl/>
                    <w:suppressLineNumbers w:val="0"/>
                    <w:ind w:firstLine="570" w:firstLineChars="300"/>
                    <w:jc w:val="left"/>
                    <w:rPr>
                      <w:rFonts w:hint="default" w:ascii="宋体" w:hAnsi="宋体" w:eastAsia="宋体" w:cs="宋体"/>
                      <w:color w:val="000000"/>
                      <w:kern w:val="0"/>
                      <w:sz w:val="19"/>
                      <w:szCs w:val="19"/>
                      <w:lang w:val="en-US" w:eastAsia="zh-CN" w:bidi="ar"/>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eastAsia="宋体"/>
                      <w:kern w:val="0"/>
                      <w:sz w:val="20"/>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44.28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eastAsia="宋体"/>
                      <w:kern w:val="0"/>
                      <w:sz w:val="20"/>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7.81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2.50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59.14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59.14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宋体"/>
                      <w:color w:val="000000"/>
                      <w:kern w:val="0"/>
                      <w:sz w:val="20"/>
                      <w:lang w:val="en-US" w:eastAsia="zh-CN"/>
                    </w:rPr>
                    <w:t>59.14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59.14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59.14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FF0000"/>
                      <w:kern w:val="0"/>
                      <w:sz w:val="20"/>
                      <w:lang w:val="en-US" w:eastAsia="zh-CN"/>
                    </w:rPr>
                  </w:pPr>
                  <w:r>
                    <w:rPr>
                      <w:rFonts w:hint="eastAsia" w:eastAsia="宋体"/>
                      <w:color w:val="000000"/>
                      <w:kern w:val="0"/>
                      <w:sz w:val="20"/>
                      <w:lang w:val="en-US" w:eastAsia="zh-CN"/>
                    </w:rPr>
                    <w:t>44.28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FF0000"/>
                      <w:kern w:val="0"/>
                      <w:sz w:val="20"/>
                      <w:lang w:val="en-US" w:eastAsia="zh-CN"/>
                    </w:rPr>
                  </w:pPr>
                  <w:r>
                    <w:rPr>
                      <w:rFonts w:hint="eastAsia" w:eastAsia="宋体"/>
                      <w:color w:val="000000"/>
                      <w:kern w:val="0"/>
                      <w:sz w:val="20"/>
                      <w:lang w:val="en-US" w:eastAsia="zh-CN"/>
                    </w:rPr>
                    <w:t>44.28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FF0000"/>
                      <w:kern w:val="0"/>
                      <w:sz w:val="20"/>
                      <w:lang w:val="en-US" w:eastAsia="zh-CN"/>
                    </w:rPr>
                  </w:pPr>
                  <w:r>
                    <w:rPr>
                      <w:rFonts w:hint="eastAsia" w:eastAsia="宋体"/>
                      <w:color w:val="000000"/>
                      <w:kern w:val="0"/>
                      <w:sz w:val="20"/>
                      <w:lang w:val="en-US" w:eastAsia="zh-CN"/>
                    </w:rPr>
                    <w:t>39.48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FF0000"/>
                      <w:kern w:val="0"/>
                      <w:sz w:val="20"/>
                      <w:lang w:val="en-US" w:eastAsia="zh-CN"/>
                    </w:rPr>
                  </w:pPr>
                  <w:r>
                    <w:rPr>
                      <w:rFonts w:hint="eastAsia" w:eastAsia="宋体"/>
                      <w:color w:val="000000"/>
                      <w:kern w:val="0"/>
                      <w:sz w:val="20"/>
                      <w:lang w:val="en-US" w:eastAsia="zh-CN"/>
                    </w:rPr>
                    <w:t>44.28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FF0000"/>
                      <w:kern w:val="0"/>
                      <w:sz w:val="20"/>
                      <w:lang w:val="en-US" w:eastAsia="zh-CN"/>
                    </w:rPr>
                  </w:pPr>
                  <w:r>
                    <w:rPr>
                      <w:rFonts w:hint="eastAsia" w:eastAsia="宋体"/>
                      <w:color w:val="000000"/>
                      <w:kern w:val="0"/>
                      <w:sz w:val="20"/>
                      <w:lang w:val="en-US" w:eastAsia="zh-CN"/>
                    </w:rPr>
                    <w:t>44.28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FF0000"/>
                      <w:kern w:val="0"/>
                      <w:sz w:val="20"/>
                      <w:lang w:val="en-US" w:eastAsia="zh-CN"/>
                    </w:rPr>
                  </w:pPr>
                  <w:r>
                    <w:rPr>
                      <w:rFonts w:hint="eastAsia" w:eastAsia="宋体"/>
                      <w:color w:val="000000"/>
                      <w:kern w:val="0"/>
                      <w:sz w:val="20"/>
                      <w:lang w:val="en-US" w:eastAsia="zh-CN"/>
                    </w:rPr>
                    <w:t>39.48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二、社会保障和就业运行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eastAsia="宋体"/>
                <w:kern w:val="0"/>
                <w:sz w:val="20"/>
                <w:lang w:val="en-US" w:eastAsia="zh-CN"/>
              </w:rPr>
              <w:t xml:space="preserve">   53.28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19.53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19.53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1.45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1.45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4.33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4.33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12.58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12.58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7.54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7.54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2.42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2.42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0.34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0.34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4.55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4.55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0.54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 xml:space="preserve">0.54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kern w:val="0"/>
                <w:sz w:val="20"/>
                <w:lang w:val="en-US" w:eastAsia="zh-CN"/>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2.00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0.20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0.10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1.70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维修维护</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0.30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0.50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eastAsia="宋体"/>
                <w:color w:val="000000"/>
                <w:kern w:val="0"/>
                <w:sz w:val="20"/>
                <w:lang w:val="en-US" w:eastAsia="zh-CN"/>
              </w:rPr>
            </w:pPr>
            <w:r>
              <w:rPr>
                <w:rFonts w:hint="eastAsia" w:eastAsia="宋体"/>
                <w:color w:val="000000"/>
                <w:kern w:val="0"/>
                <w:sz w:val="20"/>
                <w:lang w:val="en-US" w:eastAsia="zh-CN"/>
              </w:rPr>
              <w:t>三、</w:t>
            </w:r>
            <w:r>
              <w:rPr>
                <w:rFonts w:hint="eastAsia" w:ascii="宋体" w:hAnsi="宋体" w:eastAsia="宋体" w:cs="宋体"/>
                <w:color w:val="000000"/>
                <w:kern w:val="0"/>
                <w:sz w:val="19"/>
                <w:szCs w:val="19"/>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1.06</w:t>
            </w:r>
          </w:p>
        </w:tc>
        <w:tc>
          <w:tcPr>
            <w:tcW w:w="1831" w:type="dxa"/>
            <w:tcBorders>
              <w:top w:val="single" w:color="auto" w:sz="4" w:space="0"/>
              <w:left w:val="single" w:color="auto" w:sz="4" w:space="0"/>
              <w:bottom w:val="single" w:color="auto" w:sz="4" w:space="0"/>
              <w:right w:val="single" w:color="auto" w:sz="4" w:space="0"/>
            </w:tcBorders>
            <w:noWrap w:val="0"/>
            <w:vAlign w:val="top"/>
          </w:tcPr>
          <w:tbl>
            <w:tblPr>
              <w:tblStyle w:val="9"/>
              <w:tblW w:w="124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45" w:type="dxa"/>
                  <w:tcBorders>
                    <w:top w:val="nil"/>
                    <w:left w:val="nil"/>
                    <w:bottom w:val="nil"/>
                    <w:right w:val="nil"/>
                  </w:tcBorders>
                  <w:shd w:val="clear" w:color="auto" w:fill="auto"/>
                  <w:noWrap/>
                  <w:vAlign w:val="center"/>
                </w:tcPr>
                <w:p>
                  <w:pPr>
                    <w:widowControl/>
                    <w:jc w:val="right"/>
                    <w:rPr>
                      <w:rFonts w:hint="eastAsia" w:eastAsia="宋体"/>
                      <w:kern w:val="0"/>
                      <w:sz w:val="20"/>
                      <w:lang w:val="en-US" w:eastAsia="zh-CN"/>
                    </w:rPr>
                  </w:pPr>
                </w:p>
              </w:tc>
            </w:tr>
          </w:tbl>
          <w:p>
            <w:pPr>
              <w:widowControl/>
              <w:jc w:val="right"/>
              <w:rPr>
                <w:rFonts w:hint="default" w:eastAsia="宋体"/>
                <w:kern w:val="0"/>
                <w:sz w:val="20"/>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bookmarkStart w:id="0" w:name="_GoBack"/>
      <w:bookmarkEnd w:id="0"/>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7.34</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本单位人员经费减少。</w:t>
      </w:r>
    </w:p>
    <w:p>
      <w:pPr>
        <w:ind w:firstLine="600" w:firstLineChars="200"/>
        <w:rPr>
          <w:sz w:val="30"/>
          <w:szCs w:val="30"/>
          <w:u w:val="single"/>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44.28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7.81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2.50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4.55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54.34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91.88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4.80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8.12</w:t>
      </w:r>
      <w:r>
        <w:rPr>
          <w:rFonts w:hint="eastAsia" w:ascii="仿宋_GB2312" w:hAnsi="仿宋_GB2312" w:eastAsia="仿宋_GB2312" w:cs="仿宋_GB2312"/>
          <w:szCs w:val="32"/>
          <w:u w:val="single"/>
        </w:rPr>
        <w:t>%</w:t>
      </w:r>
    </w:p>
    <w:p>
      <w:pPr>
        <w:spacing w:line="520" w:lineRule="exact"/>
        <w:ind w:firstLine="200"/>
        <w:rPr>
          <w:rFonts w:hint="default" w:ascii="仿宋_GB2312" w:hAnsi="仿宋_GB2312" w:eastAsia="仿宋_GB2312" w:cs="仿宋_GB2312"/>
          <w:szCs w:val="32"/>
          <w:lang w:val="en-US"/>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44.28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74.87</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财政事务——事业运行</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7.81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13.21</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r>
        <w:rPr>
          <w:rFonts w:hint="eastAsia" w:ascii="仿宋_GB2312" w:hAnsi="仿宋_GB2312" w:eastAsia="仿宋_GB2312" w:cs="仿宋_GB2312"/>
          <w:szCs w:val="32"/>
          <w:u w:val="single"/>
        </w:rPr>
        <w:t>主要用于</w:t>
      </w:r>
      <w:r>
        <w:rPr>
          <w:rFonts w:hint="eastAsia" w:ascii="仿宋_GB2312" w:hAnsi="仿宋_GB2312" w:cs="仿宋_GB2312"/>
          <w:szCs w:val="32"/>
          <w:u w:val="single"/>
          <w:lang w:val="en-US" w:eastAsia="zh-CN"/>
        </w:rPr>
        <w:t>行政事业单位养老支出——机关事业单位基本养老保险缴费支出及机关事业单位职业年金养老支出</w:t>
      </w:r>
      <w:r>
        <w:rPr>
          <w:rFonts w:hint="eastAsia" w:ascii="仿宋_GB2312" w:hAnsi="仿宋_GB2312" w:eastAsia="仿宋_GB2312" w:cs="仿宋_GB2312"/>
          <w:szCs w:val="32"/>
          <w:u w:val="single"/>
        </w:rPr>
        <w:t>。</w:t>
      </w:r>
    </w:p>
    <w:p>
      <w:pPr>
        <w:spacing w:line="520" w:lineRule="exact"/>
        <w:ind w:firstLine="200"/>
        <w:rPr>
          <w:rFonts w:hint="eastAsia"/>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4.55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7.69</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住房改革支出—住房公积金</w:t>
      </w:r>
      <w:r>
        <w:rPr>
          <w:rFonts w:hint="eastAsia" w:ascii="仿宋_GB2312" w:hAnsi="仿宋_GB2312" w:eastAsia="仿宋_GB2312" w:cs="仿宋_GB2312"/>
          <w:szCs w:val="32"/>
          <w:u w:val="single"/>
        </w:rPr>
        <w:t>。</w:t>
      </w:r>
    </w:p>
    <w:p>
      <w:pPr>
        <w:keepNext w:val="0"/>
        <w:keepLines w:val="0"/>
        <w:widowControl/>
        <w:suppressLineNumbers w:val="0"/>
        <w:ind w:firstLine="310" w:firstLineChars="100"/>
        <w:jc w:val="left"/>
        <w:rPr>
          <w:u w:val="single"/>
        </w:rPr>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u w:val="single"/>
          <w:lang w:val="en-US" w:eastAsia="zh-CN" w:bidi="ar"/>
        </w:rPr>
        <w:t>2.50</w:t>
      </w:r>
      <w:r>
        <w:rPr>
          <w:rFonts w:ascii="仿宋" w:hAnsi="仿宋" w:eastAsia="仿宋" w:cs="仿宋"/>
          <w:color w:val="000000"/>
          <w:kern w:val="0"/>
          <w:sz w:val="31"/>
          <w:szCs w:val="31"/>
          <w:lang w:val="en-US" w:eastAsia="zh-CN" w:bidi="ar"/>
        </w:rPr>
        <w:t xml:space="preserve"> 万元，占</w:t>
      </w:r>
      <w:r>
        <w:rPr>
          <w:rFonts w:ascii="仿宋" w:hAnsi="仿宋" w:eastAsia="仿宋" w:cs="仿宋"/>
          <w:color w:val="000000"/>
          <w:kern w:val="0"/>
          <w:sz w:val="31"/>
          <w:szCs w:val="31"/>
          <w:u w:val="single"/>
          <w:lang w:val="en-US" w:eastAsia="zh-CN" w:bidi="ar"/>
        </w:rPr>
        <w:t xml:space="preserve"> </w:t>
      </w:r>
      <w:r>
        <w:rPr>
          <w:rFonts w:hint="eastAsia" w:ascii="仿宋" w:hAnsi="仿宋" w:eastAsia="仿宋" w:cs="仿宋"/>
          <w:color w:val="000000"/>
          <w:kern w:val="0"/>
          <w:sz w:val="31"/>
          <w:szCs w:val="31"/>
          <w:u w:val="single"/>
          <w:lang w:val="en-US" w:eastAsia="zh-CN" w:bidi="ar"/>
        </w:rPr>
        <w:t>4.22</w:t>
      </w:r>
      <w:r>
        <w:rPr>
          <w:rFonts w:ascii="仿宋" w:hAnsi="仿宋" w:eastAsia="仿宋" w:cs="仿宋"/>
          <w:color w:val="000000"/>
          <w:kern w:val="0"/>
          <w:sz w:val="31"/>
          <w:szCs w:val="31"/>
          <w:u w:val="single"/>
          <w:lang w:val="en-US" w:eastAsia="zh-CN" w:bidi="ar"/>
        </w:rPr>
        <w:t>%</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 xml:space="preserve">行政事 </w:t>
      </w:r>
    </w:p>
    <w:p>
      <w:pPr>
        <w:keepNext w:val="0"/>
        <w:keepLines w:val="0"/>
        <w:widowControl/>
        <w:suppressLineNumbers w:val="0"/>
        <w:jc w:val="left"/>
        <w:rPr>
          <w:u w:val="single"/>
        </w:rPr>
      </w:pPr>
      <w:r>
        <w:rPr>
          <w:rFonts w:hint="eastAsia" w:ascii="仿宋" w:hAnsi="仿宋" w:eastAsia="仿宋" w:cs="仿宋"/>
          <w:color w:val="000000"/>
          <w:kern w:val="0"/>
          <w:sz w:val="31"/>
          <w:szCs w:val="31"/>
          <w:u w:val="single"/>
          <w:lang w:val="en-US" w:eastAsia="zh-CN" w:bidi="ar"/>
        </w:rPr>
        <w:t>业单位医疗--事业单位医疗。</w:t>
      </w:r>
    </w:p>
    <w:p>
      <w:pPr>
        <w:spacing w:line="520" w:lineRule="exact"/>
        <w:ind w:firstLine="640" w:firstLineChars="200"/>
        <w:rPr>
          <w:rFonts w:eastAsia="楷体"/>
          <w:szCs w:val="32"/>
        </w:rPr>
      </w:pPr>
    </w:p>
    <w:p>
      <w:pPr>
        <w:spacing w:line="520" w:lineRule="exact"/>
        <w:rPr>
          <w:rFonts w:eastAsia="楷体"/>
          <w:szCs w:val="32"/>
        </w:rPr>
      </w:pP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59.14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54.34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u w:val="none"/>
          <w:lang w:val="en-US" w:eastAsia="zh-CN"/>
        </w:rPr>
        <w:t>机关事业单位基本养老保险缴费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住房公积金、职工基本医疗保险缴费、职业年金缴费、退休费、</w:t>
      </w:r>
      <w:r>
        <w:rPr>
          <w:rFonts w:hint="eastAsia" w:ascii="仿宋_GB2312" w:hAnsi="仿宋_GB2312" w:eastAsia="仿宋_GB2312" w:cs="仿宋_GB2312"/>
          <w:kern w:val="0"/>
          <w:szCs w:val="32"/>
        </w:rPr>
        <w:t>其他工资福利支出。</w:t>
      </w:r>
    </w:p>
    <w:p>
      <w:pPr>
        <w:keepNext w:val="0"/>
        <w:keepLines w:val="0"/>
        <w:widowControl/>
        <w:suppressLineNumbers w:val="0"/>
        <w:jc w:val="left"/>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4.80</w:t>
      </w:r>
      <w:r>
        <w:rPr>
          <w:rFonts w:hint="eastAsia" w:ascii="仿宋_GB2312" w:hAnsi="仿宋_GB2312" w:eastAsia="仿宋_GB2312" w:cs="仿宋_GB2312"/>
          <w:szCs w:val="32"/>
        </w:rPr>
        <w:t>万元，主要包括：</w:t>
      </w:r>
      <w:r>
        <w:rPr>
          <w:rFonts w:hint="eastAsia" w:ascii="仿宋_GB2312" w:hAnsi="仿宋_GB2312" w:cs="仿宋_GB2312"/>
          <w:szCs w:val="32"/>
          <w:lang w:val="en-US" w:eastAsia="zh-CN"/>
        </w:rPr>
        <w:t>办公费、印刷费、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维修（护）费、其他交通费用</w:t>
      </w:r>
      <w:r>
        <w:rPr>
          <w:rFonts w:hint="eastAsia" w:ascii="仿宋" w:hAnsi="仿宋" w:eastAsia="仿宋" w:cs="仿宋"/>
          <w:color w:val="000000"/>
          <w:kern w:val="0"/>
          <w:sz w:val="31"/>
          <w:szCs w:val="31"/>
          <w:lang w:val="en-US" w:eastAsia="zh-CN" w:bidi="ar"/>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keepNext w:val="0"/>
        <w:keepLines w:val="0"/>
        <w:widowControl/>
        <w:suppressLineNumbers w:val="0"/>
        <w:ind w:firstLine="320" w:firstLineChars="100"/>
        <w:jc w:val="left"/>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u w:val="single"/>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lang w:eastAsia="zh-CN"/>
        </w:rPr>
        <w:t>。</w:t>
      </w:r>
    </w:p>
    <w:p>
      <w:pPr>
        <w:keepNext w:val="0"/>
        <w:keepLines w:val="0"/>
        <w:widowControl/>
        <w:suppressLineNumbers w:val="0"/>
        <w:ind w:firstLine="640" w:firstLineChars="200"/>
        <w:jc w:val="left"/>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ascii="仿宋" w:hAnsi="仿宋" w:eastAsia="仿宋" w:cs="仿宋"/>
          <w:color w:val="000000"/>
          <w:kern w:val="0"/>
          <w:sz w:val="31"/>
          <w:szCs w:val="31"/>
          <w:lang w:val="en-US" w:eastAsia="zh-CN" w:bidi="ar"/>
        </w:rPr>
        <w:t>。</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keepNext w:val="0"/>
        <w:keepLines w:val="0"/>
        <w:widowControl/>
        <w:suppressLineNumbers w:val="0"/>
        <w:jc w:val="both"/>
        <w:rPr>
          <w:u w:val="singl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w:t>
      </w:r>
      <w:r>
        <w:rPr>
          <w:rFonts w:hint="eastAsia" w:ascii="仿宋" w:hAnsi="仿宋" w:eastAsia="仿宋" w:cs="仿宋"/>
          <w:color w:val="000000"/>
          <w:kern w:val="0"/>
          <w:sz w:val="31"/>
          <w:szCs w:val="31"/>
          <w:u w:val="single"/>
          <w:lang w:val="en-US" w:eastAsia="zh-CN" w:bidi="ar"/>
        </w:rPr>
        <w:t>政府性基金预算拨款。</w:t>
      </w:r>
    </w:p>
    <w:p>
      <w:pPr>
        <w:ind w:firstLine="640"/>
        <w:jc w:val="both"/>
        <w:rPr>
          <w:rFonts w:hint="eastAsia" w:ascii="仿宋_GB2312" w:hAnsi="仿宋_GB2312" w:eastAsia="仿宋_GB2312" w:cs="仿宋_GB2312"/>
          <w:szCs w:val="32"/>
          <w:highlight w:val="none"/>
        </w:rPr>
      </w:pPr>
    </w:p>
    <w:p>
      <w:pPr>
        <w:keepNext w:val="0"/>
        <w:keepLines w:val="0"/>
        <w:widowControl/>
        <w:suppressLineNumbers w:val="0"/>
        <w:jc w:val="both"/>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 xml:space="preserve">本部门无 </w:t>
      </w:r>
      <w:r>
        <w:rPr>
          <w:rFonts w:hint="eastAsia" w:ascii="仿宋" w:hAnsi="仿宋" w:eastAsia="仿宋" w:cs="仿宋"/>
          <w:color w:val="000000"/>
          <w:kern w:val="0"/>
          <w:sz w:val="31"/>
          <w:szCs w:val="31"/>
          <w:u w:val="single"/>
          <w:lang w:val="en-US" w:eastAsia="zh-CN" w:bidi="ar"/>
        </w:rPr>
        <w:t>政府性基金预算拨款</w:t>
      </w:r>
      <w:r>
        <w:rPr>
          <w:rFonts w:hint="eastAsia" w:ascii="仿宋" w:hAnsi="仿宋" w:eastAsia="仿宋" w:cs="仿宋"/>
          <w:color w:val="000000"/>
          <w:kern w:val="0"/>
          <w:sz w:val="31"/>
          <w:szCs w:val="31"/>
          <w:lang w:val="en-US" w:eastAsia="zh-CN" w:bidi="ar"/>
        </w:rPr>
        <w:t>。</w:t>
      </w:r>
    </w:p>
    <w:p>
      <w:pPr>
        <w:keepNext w:val="0"/>
        <w:keepLines w:val="0"/>
        <w:widowControl/>
        <w:suppressLineNumbers w:val="0"/>
        <w:jc w:val="both"/>
        <w:rPr>
          <w:rFonts w:hint="eastAsia" w:ascii="仿宋_GB2312" w:hAnsi="仿宋_GB2312" w:eastAsia="仿宋_GB2312" w:cs="仿宋_GB2312"/>
          <w:szCs w:val="32"/>
          <w:highlight w:val="none"/>
        </w:rPr>
      </w:pPr>
    </w:p>
    <w:p>
      <w:pPr>
        <w:keepNext w:val="0"/>
        <w:keepLines w:val="0"/>
        <w:widowControl/>
        <w:suppressLineNumbers w:val="0"/>
        <w:jc w:val="both"/>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 xml:space="preserve">本部门无 </w:t>
      </w:r>
      <w:r>
        <w:rPr>
          <w:rFonts w:hint="eastAsia" w:ascii="仿宋" w:hAnsi="仿宋" w:eastAsia="仿宋" w:cs="仿宋"/>
          <w:color w:val="000000"/>
          <w:kern w:val="0"/>
          <w:sz w:val="31"/>
          <w:szCs w:val="31"/>
          <w:u w:val="single"/>
          <w:lang w:val="en-US" w:eastAsia="zh-CN" w:bidi="ar"/>
        </w:rPr>
        <w:t>政府性基金预算拨款</w:t>
      </w:r>
    </w:p>
    <w:p>
      <w:pPr>
        <w:ind w:firstLine="640"/>
        <w:jc w:val="both"/>
        <w:rPr>
          <w:rFonts w:hint="eastAsia" w:ascii="仿宋_GB2312" w:hAnsi="仿宋_GB2312" w:eastAsia="仿宋_GB2312" w:cs="仿宋_GB2312"/>
          <w:szCs w:val="32"/>
          <w:highlight w:val="none"/>
        </w:rPr>
      </w:pPr>
    </w:p>
    <w:p>
      <w:pPr>
        <w:keepNext w:val="0"/>
        <w:keepLines w:val="0"/>
        <w:widowControl/>
        <w:suppressLineNumbers w:val="0"/>
        <w:jc w:val="both"/>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kern w:val="0"/>
          <w:sz w:val="31"/>
          <w:szCs w:val="31"/>
          <w:u w:val="single"/>
          <w:lang w:val="en-US" w:eastAsia="zh-CN" w:bidi="ar"/>
        </w:rPr>
        <w:t xml:space="preserve">本部门无 </w:t>
      </w:r>
      <w:r>
        <w:rPr>
          <w:rFonts w:hint="eastAsia" w:ascii="仿宋" w:hAnsi="仿宋" w:eastAsia="仿宋" w:cs="仿宋"/>
          <w:b w:val="0"/>
          <w:bCs w:val="0"/>
          <w:color w:val="000000"/>
          <w:kern w:val="0"/>
          <w:sz w:val="31"/>
          <w:szCs w:val="31"/>
          <w:u w:val="single"/>
          <w:lang w:val="en-US" w:eastAsia="zh-CN" w:bidi="ar"/>
        </w:rPr>
        <w:t>政府性基金预算拨款</w:t>
      </w:r>
      <w:r>
        <w:rPr>
          <w:rFonts w:hint="eastAsia" w:ascii="仿宋" w:hAnsi="仿宋" w:eastAsia="仿宋" w:cs="仿宋"/>
          <w:color w:val="000000"/>
          <w:kern w:val="0"/>
          <w:sz w:val="31"/>
          <w:szCs w:val="31"/>
          <w:lang w:val="en-US" w:eastAsia="zh-CN" w:bidi="ar"/>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keepNext w:val="0"/>
        <w:keepLines w:val="0"/>
        <w:widowControl/>
        <w:suppressLineNumbers w:val="0"/>
        <w:jc w:val="left"/>
        <w:rPr>
          <w:u w:val="singl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 w:hAnsi="仿宋" w:eastAsia="仿宋" w:cs="仿宋"/>
          <w:color w:val="000000"/>
          <w:kern w:val="0"/>
          <w:sz w:val="31"/>
          <w:szCs w:val="31"/>
          <w:u w:val="single"/>
          <w:lang w:val="en-US" w:eastAsia="zh-CN" w:bidi="ar"/>
        </w:rPr>
        <w:t>。</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jc w:val="left"/>
        <w:rPr>
          <w:u w:val="singl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jc w:val="left"/>
        <w:rPr>
          <w:rFonts w:hint="eastAsia" w:ascii="仿宋_GB2312" w:hAnsi="仿宋_GB2312" w:eastAsia="仿宋" w:cs="仿宋_GB2312"/>
          <w:szCs w:val="32"/>
          <w:highlight w:val="none"/>
          <w:lang w:eastAsia="zh-CN"/>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eastAsia="仿宋"/>
          <w:u w:val="single"/>
          <w:lang w:eastAsia="zh-CN"/>
        </w:rPr>
        <w:t>。</w:t>
      </w:r>
    </w:p>
    <w:p>
      <w:pPr>
        <w:keepNext w:val="0"/>
        <w:keepLines w:val="0"/>
        <w:widowControl/>
        <w:suppressLineNumbers w:val="0"/>
        <w:jc w:val="left"/>
        <w:rPr>
          <w:rFonts w:hint="eastAsia" w:ascii="仿宋_GB2312" w:hAnsi="仿宋_GB2312" w:eastAsia="仿宋_GB2312" w:cs="仿宋_GB2312"/>
          <w:szCs w:val="32"/>
          <w:highlight w:val="none"/>
        </w:rPr>
      </w:pPr>
    </w:p>
    <w:p>
      <w:pPr>
        <w:keepNext w:val="0"/>
        <w:keepLines w:val="0"/>
        <w:widowControl/>
        <w:suppressLineNumbers w:val="0"/>
        <w:jc w:val="left"/>
        <w:rPr>
          <w:u w:val="singl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 w:hAnsi="仿宋" w:eastAsia="仿宋" w:cs="仿宋"/>
          <w:color w:val="000000"/>
          <w:kern w:val="0"/>
          <w:sz w:val="31"/>
          <w:szCs w:val="31"/>
          <w:u w:val="single"/>
          <w:lang w:val="en-US" w:eastAsia="zh-CN" w:bidi="ar"/>
        </w:rPr>
        <w:t>。</w:t>
      </w:r>
    </w:p>
    <w:p>
      <w:pPr>
        <w:ind w:firstLine="640"/>
        <w:rPr>
          <w:rFonts w:hint="eastAsia" w:ascii="仿宋_GB2312" w:hAnsi="仿宋_GB2312" w:eastAsia="仿宋_GB2312" w:cs="仿宋_GB2312"/>
          <w:szCs w:val="32"/>
          <w:highlight w:val="none"/>
        </w:rPr>
      </w:pP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keepNext w:val="0"/>
        <w:keepLines w:val="0"/>
        <w:widowControl/>
        <w:suppressLineNumbers w:val="0"/>
        <w:jc w:val="left"/>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家行政单位以及</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%，主要原因是</w:t>
      </w:r>
      <w:r>
        <w:rPr>
          <w:rFonts w:ascii="仿宋" w:hAnsi="仿宋" w:eastAsia="仿宋" w:cs="仿宋"/>
          <w:color w:val="000000"/>
          <w:kern w:val="0"/>
          <w:sz w:val="31"/>
          <w:szCs w:val="31"/>
          <w:u w:val="single"/>
          <w:lang w:val="en-US" w:eastAsia="zh-CN" w:bidi="ar"/>
        </w:rPr>
        <w:t>本部门无机关运行经费</w:t>
      </w:r>
      <w:r>
        <w:rPr>
          <w:rFonts w:hint="eastAsia" w:ascii="仿宋" w:hAnsi="仿宋" w:eastAsia="仿宋" w:cs="仿宋"/>
          <w:color w:val="000000"/>
          <w:kern w:val="0"/>
          <w:sz w:val="31"/>
          <w:szCs w:val="31"/>
          <w:lang w:val="en-US" w:eastAsia="zh-CN" w:bidi="ar"/>
        </w:rPr>
        <w:t>。</w:t>
      </w:r>
    </w:p>
    <w:p>
      <w:pPr>
        <w:spacing w:line="540" w:lineRule="exact"/>
        <w:ind w:firstLine="640" w:firstLineChars="200"/>
        <w:rPr>
          <w:rFonts w:hint="eastAsia" w:ascii="仿宋_GB2312" w:hAnsi="仿宋_GB2312" w:eastAsia="仿宋_GB2312" w:cs="仿宋_GB2312"/>
          <w:szCs w:val="32"/>
        </w:rPr>
      </w:pP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93532C"/>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EE1CEA"/>
    <w:rsid w:val="13F21722"/>
    <w:rsid w:val="1441443C"/>
    <w:rsid w:val="146E6B13"/>
    <w:rsid w:val="14C12787"/>
    <w:rsid w:val="15593E10"/>
    <w:rsid w:val="159F7E25"/>
    <w:rsid w:val="15F848D0"/>
    <w:rsid w:val="160E1FA5"/>
    <w:rsid w:val="160F2600"/>
    <w:rsid w:val="17765BCA"/>
    <w:rsid w:val="17A027D8"/>
    <w:rsid w:val="19081158"/>
    <w:rsid w:val="1A817DF8"/>
    <w:rsid w:val="1ADC594E"/>
    <w:rsid w:val="1AEB5252"/>
    <w:rsid w:val="1B29410C"/>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CF73565"/>
    <w:rsid w:val="2DF8796C"/>
    <w:rsid w:val="2E3D31FA"/>
    <w:rsid w:val="2EB22F18"/>
    <w:rsid w:val="2EE12108"/>
    <w:rsid w:val="2EED35E3"/>
    <w:rsid w:val="2F250383"/>
    <w:rsid w:val="2F63610B"/>
    <w:rsid w:val="300965A3"/>
    <w:rsid w:val="30730D6E"/>
    <w:rsid w:val="30B91A70"/>
    <w:rsid w:val="322A0B8B"/>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850D1"/>
    <w:rsid w:val="3BC92948"/>
    <w:rsid w:val="3BE370D4"/>
    <w:rsid w:val="3C29381E"/>
    <w:rsid w:val="3C711E1D"/>
    <w:rsid w:val="3C7F463D"/>
    <w:rsid w:val="3CAE3960"/>
    <w:rsid w:val="3D365BF6"/>
    <w:rsid w:val="3DF23324"/>
    <w:rsid w:val="3EA14040"/>
    <w:rsid w:val="3EE8108D"/>
    <w:rsid w:val="405745EF"/>
    <w:rsid w:val="40B80EFF"/>
    <w:rsid w:val="41A35364"/>
    <w:rsid w:val="41C31686"/>
    <w:rsid w:val="42703E3A"/>
    <w:rsid w:val="42982B4E"/>
    <w:rsid w:val="436B1E42"/>
    <w:rsid w:val="43993170"/>
    <w:rsid w:val="44054362"/>
    <w:rsid w:val="449C5E6A"/>
    <w:rsid w:val="456D114B"/>
    <w:rsid w:val="45DE30BD"/>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06E48"/>
    <w:rsid w:val="54810E66"/>
    <w:rsid w:val="54C2556E"/>
    <w:rsid w:val="55480EEF"/>
    <w:rsid w:val="56570E30"/>
    <w:rsid w:val="57AE5C26"/>
    <w:rsid w:val="57DD75A9"/>
    <w:rsid w:val="580530E5"/>
    <w:rsid w:val="58256ABD"/>
    <w:rsid w:val="58B42C85"/>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D602A4"/>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FDD7DBD"/>
    <w:rsid w:val="714213DD"/>
    <w:rsid w:val="717F272E"/>
    <w:rsid w:val="728027C6"/>
    <w:rsid w:val="72D54D7C"/>
    <w:rsid w:val="73700EA1"/>
    <w:rsid w:val="737664E0"/>
    <w:rsid w:val="73FE7ACC"/>
    <w:rsid w:val="74053F35"/>
    <w:rsid w:val="74556746"/>
    <w:rsid w:val="74AB7A24"/>
    <w:rsid w:val="76897587"/>
    <w:rsid w:val="76BB79B1"/>
    <w:rsid w:val="76C17E06"/>
    <w:rsid w:val="76CA67BD"/>
    <w:rsid w:val="774E6400"/>
    <w:rsid w:val="775B0046"/>
    <w:rsid w:val="78796248"/>
    <w:rsid w:val="79700BEF"/>
    <w:rsid w:val="79AD1D1A"/>
    <w:rsid w:val="79F85634"/>
    <w:rsid w:val="7A090695"/>
    <w:rsid w:val="7AE175F4"/>
    <w:rsid w:val="7B417685"/>
    <w:rsid w:val="7B5220F0"/>
    <w:rsid w:val="7B803CF3"/>
    <w:rsid w:val="7BA169C0"/>
    <w:rsid w:val="7BE95D3C"/>
    <w:rsid w:val="7CAD595B"/>
    <w:rsid w:val="7CC7607D"/>
    <w:rsid w:val="7CF65D07"/>
    <w:rsid w:val="7D2975D1"/>
    <w:rsid w:val="7D7448E8"/>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7222</Words>
  <Characters>8119</Characters>
  <Lines>71</Lines>
  <Paragraphs>20</Paragraphs>
  <TotalTime>18</TotalTime>
  <ScaleCrop>false</ScaleCrop>
  <LinksUpToDate>false</LinksUpToDate>
  <CharactersWithSpaces>8743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2024-01-29T08:52:10Z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38A05457625A4014AC858330ADB28FCA_13</vt:lpwstr>
  </property>
</Properties>
</file>