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keepNext w:val="0"/>
        <w:keepLines w:val="0"/>
        <w:widowControl/>
        <w:suppressLineNumbers w:val="0"/>
        <w:ind w:firstLine="1291" w:firstLineChars="300"/>
        <w:jc w:val="left"/>
        <w:rPr>
          <w:b/>
          <w:bCs/>
        </w:rPr>
      </w:pPr>
      <w:r>
        <w:rPr>
          <w:rFonts w:ascii="FZXiaoBiaoSong-B05S" w:hAnsi="FZXiaoBiaoSong-B05S" w:eastAsia="FZXiaoBiaoSong-B05S" w:cs="FZXiaoBiaoSong-B05S"/>
          <w:b/>
          <w:bCs/>
          <w:color w:val="000000"/>
          <w:kern w:val="0"/>
          <w:sz w:val="43"/>
          <w:szCs w:val="43"/>
          <w:lang w:val="en-US" w:eastAsia="zh-CN" w:bidi="ar"/>
        </w:rPr>
        <w:t>通榆县包拉温都乡综合服务中心</w:t>
      </w:r>
    </w:p>
    <w:p>
      <w:pPr>
        <w:jc w:val="center"/>
        <w:rPr>
          <w:rFonts w:hint="eastAsia" w:eastAsia="方正小标宋简体"/>
          <w:b/>
          <w:bCs/>
          <w:sz w:val="44"/>
          <w:szCs w:val="44"/>
          <w:lang w:eastAsia="zh-CN"/>
        </w:rPr>
      </w:pP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keepNext w:val="0"/>
        <w:keepLines w:val="0"/>
        <w:widowControl/>
        <w:suppressLineNumbers w:val="0"/>
        <w:jc w:val="left"/>
      </w:pPr>
      <w:r>
        <w:rPr>
          <w:rFonts w:ascii="仿宋" w:hAnsi="仿宋" w:eastAsia="仿宋" w:cs="仿宋"/>
          <w:color w:val="000000"/>
          <w:kern w:val="0"/>
          <w:sz w:val="31"/>
          <w:szCs w:val="31"/>
          <w:lang w:val="en-US" w:eastAsia="zh-CN" w:bidi="ar"/>
        </w:rPr>
        <w:t xml:space="preserve">承担农业（畜牧业）、自然资源、林业（草原）、水利、文化、体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育、劳动和社会保障、退役军人保障等服务工作；负责行政审批服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务窗口具体事务性工作；完成党委、政府交办的其他任务。</w:t>
      </w:r>
    </w:p>
    <w:p>
      <w:pPr>
        <w:ind w:firstLine="64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Cs w:val="32"/>
        </w:rPr>
        <w:t>（按照部门“三定”方案表述）</w:t>
      </w:r>
    </w:p>
    <w:p>
      <w:pPr>
        <w:ind w:firstLine="640" w:firstLineChars="200"/>
      </w:pPr>
      <w:r>
        <w:rPr>
          <w:rFonts w:eastAsia="楷体_GB2312"/>
        </w:rPr>
        <w:t>二、机构设置</w:t>
      </w:r>
    </w:p>
    <w:p>
      <w:pPr>
        <w:keepNext w:val="0"/>
        <w:keepLines w:val="0"/>
        <w:widowControl/>
        <w:suppressLineNumbers w:val="0"/>
        <w:jc w:val="left"/>
      </w:pPr>
      <w:r>
        <w:rPr>
          <w:rFonts w:ascii="仿宋" w:hAnsi="仿宋" w:eastAsia="仿宋" w:cs="仿宋"/>
          <w:color w:val="000000"/>
          <w:kern w:val="0"/>
          <w:sz w:val="31"/>
          <w:szCs w:val="31"/>
          <w:lang w:val="en-US" w:eastAsia="zh-CN" w:bidi="ar"/>
        </w:rPr>
        <w:t xml:space="preserve">根据所承担的工作职责和编制总量，通榆县包拉温都乡综合服务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中心设 14 个内设机构。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(一)综合科。负责行政事务管理、综合协调、接待联络工 作；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负责文电、档案、印信管理、会务等工作；承担文字综合、 保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密、安全保卫、消防等工作；负责单位职称评审、工资核定、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人事档案、社会保障等干部人事管理及机构编制管理工作。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(二)党务办公室。负责党组织建设、政治思想教育、精神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文明建设、党风廉政建设等工作；负责党员党费收缴管理、党员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信息采集、整理、上报和党员的发展及组织关系转接、整理等工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作。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(三)农业工作站。负责本辖区农作物栽培技术、土壤肥 料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技术、植物保护技术推广工作规划和年度计划的制定并组织实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施。负责组织本辖区农民农业专业技术培训，提供农业技术信息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服务，培育和推广农业典型经验。负责测土配方施肥技术推广应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用和肥料新产品、新品种、新技术、新成果的试验、示范和推广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工作。负责耕地质量保护与建设管理工作。负责蔬菜、园艺特产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的技术指导及信息服务。组织开展对农民、农业生产经营组织、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科技示范户和农药经营人员培训工作。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(四)畜牧工作站。负责组织实施本辖区动物疫病的免疫、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监测、预警、预报、实验室诊断、流行病学调查分析、病情报告；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负责提出本辖区重大动物疫病防控规划、扑灭计划、应急预案建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议、指导人畜共患病防治工作；负责动物疫情收集、汇总、分析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及重大动物疫情预警预报工作；畜牧兽医技术推广；负责公益性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推广、疫病防控、疫情监测、动物检疫，负责动物疫病防治技术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指导、技术培训科普宣传等。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(五)农村经济管理站。主要负责资金、资产、资源的“三 资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"管理，村社财务会计核算和惠农资金的落实，以及财务公开 工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作。做好土地承包经营权流转工作，维护农民土地承包权益。 依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据《农民专业合作社法》,协助主管部门指导农户组建农民专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业合作社。准确、及时、全面、系统地搞好农村经济情况的调查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统计工作。抓好乡镇村组财务人员的业务培训工作，协助开展村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级财务审计，确保村组集体资金的安全和保值增值，以及各项政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策的贯彻落实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(六)农机推广站。协助农机管理部门落实农机新技术、新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机具的试验、示范及推广的基础工作；实施农业机械试验推广，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向群众推荐优质适用的农业机械；协助农机管理部门对农机具安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全作业进行管理，协助做好拖拉机牌、证的初审工作；负责农机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购置补贴的申报；宣传贯彻国家有关农业机械化的方针、政策和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法律、法规、规章；负责本辖区农机具普查、登记工作，发生重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大农机事故随时上报；逐步建立和完善农机化网站信息服务，开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展农机社会化服务；负责本辖区农机机械化统计。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(七)林业工作站。宣传与贯彻执行《森林法》和国家及地 方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的林业方针政策；协助当地政府制定林业长远规划和年度计 划，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指导和组织农村集体、个人开展各项林业生产经营活动；按 照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上级林业主管部门的安排配合林业调查设计单位开展森林资 源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调查，负责造林检查验收、林业统计和森林资源档案管理，掌 握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本站辖区内的森林资源消长变化情况；配合林业主管部门开展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森林防火、林业有害生物防治等工作；核定并落实集体和个人的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年度采伐指标；为调处林地纠纷，查处毁林案件等工作提供服务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保障，维护森林资源安全；负责组织本辖区的森林病虫害防治工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作；传播林业科学技术，总结和推广林业生产先进经验，开展本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辖区的林业技术培训、技术咨询和技术服务；协助上级主管部门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管好用好当地各项林业资金。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(八)水利工作站。负责国家、省、市、县各级政府涉水法 律和方针政策的贯彻实施，实行依法治水、依法管水；协助制定 本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辖区水利建设中长期规划、年度实施计划，协助组织制定水资 源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开发、配置和保护以及农田水利基本建设、水土保持、防洪等 相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关专业规划；负责本辖区农业、工业、生活用水的计划制定与 节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水、水环境保护、水污染防治等涉水事务；协助主管部门做好 本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辖区水利工程建设管理工作，协助做好辖区内各类水利工程设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施管理体制改革；承担本辖区防汛抗旱日常工作，做好防汛抗旱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物资的筹集、调拨；组织指导本辖区水土保持工作；承担节水新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技术、新措施的推广运用，发展节水灌溉，解决人畜饮水，推进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实现人饮安全战略。协助主管部门做好区域内水质检测、政府投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资兴建的农村饮水安全工程运行管理的维护等工作。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(九)文化工作站。对农家书屋、文化大院进行管理；开展 图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书报刊借阅活动；组织文艺演出活动；开展数字文化信息服务；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开展文化遗产保护传承活动；开展公共文化资源配送和流动服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务；组织体育健身活动。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(十)计划生育工作站。贯彻实施有关人口与计划生育的法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律、法规以及上级的有关指示，开展人口国情教育，普及人口与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计划生育基础知识。负责计划生育日常工作的实施，组织开展人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口与计划生育宣传教育和技术服务，负责计划生育工作人员的培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训和队伍建设。负责出生缺陷优生筛查的调查随访工作。受理行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政区域内的违反人口和计划生育法律、法规的举报考核。提供人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口和计划生育工作信息。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(十一)国土资源所。宣传、贯彻国土资源管理的法律、法 规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及方针、政策；配合镇政府编制好本辖区内的国土空间、矿产 资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源开发规划，并严格执行；受上级自然资源行政管理部门和镇 政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府的委托，负责本行政区内国土空间总体规划修编前期工作，划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定基本农田保护区及耕地保护工作；负责农村村民建房的选址定点、报批代办及竣工验收工作。负责辖区内取土场、设施农用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地、临时用地等管理工作；负责农村集体土地所有权、使用权登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记发证的初审呈报及土地利用现状的变更调查工作；参与辖区内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采矿权申请登记、延续登记、变更登记和注销登记的预审或初审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工作；参与辖区新增建设用地的预审和报批工作；配合上级自然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资源行政管理部门做好辖区内土地开发整理工作；配合镇政府做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好辖区内地质灾害防治和地质环境保护工作；负责本辖区内国土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资源动态巡查，及时发现、制止土地(除农业农村主管部门监管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部分)和地质矿产违法行为，为查处国土资源违法案件、调处土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地、矿业权属纠纷等工作提供服务保障做好本辖区国土资源信访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接待工作。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(十二)人力资源社会保障事务所。负责就业、劳动和社会 保障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等法律、法规、政策的宣传和咨询工作；负责辖区内劳动力 资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源统计；负责收集发布劳动力供求信息；掌握辖区内劳动力人员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信息，报送各种业务报表；配合有关单位开展辖区内社会养老、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医疗、失业等劳动和社会保障服务，检查辖区内用人单位的劳动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用工情况，维护劳动者与离退休人员合法权益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(十三)广播站。管理维护广播电视设施；为查处自办广 播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电视节目、自行接收境外非法广播电视节目信号行为等工作提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供服务保障；配合本级党委政府的中心工作举办广播节目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(十四)退役军人工作站。面对面、个性化、 一对一服务退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役军人，做好关系转接、联络接待、困难帮扶、信息采集、情况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反映、立功报喜、悬挂光荣牌和“八一 ”、春节等节日以及重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大 变故走访慰问等具体事务，搭建政策咨询、帮扶援助、沟通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联系、 学习交流等活动场所，把党和政府的关怀送到每一个退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役军人身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边。 </w:t>
      </w:r>
    </w:p>
    <w:p>
      <w:pPr>
        <w:keepNext w:val="0"/>
        <w:keepLines w:val="0"/>
        <w:widowControl/>
        <w:suppressLineNumbers w:val="0"/>
        <w:jc w:val="left"/>
      </w:pPr>
      <w:r>
        <w:rPr>
          <w:rFonts w:ascii="楷体" w:hAnsi="楷体" w:eastAsia="楷体" w:cs="楷体"/>
          <w:color w:val="000000"/>
          <w:kern w:val="0"/>
          <w:sz w:val="31"/>
          <w:szCs w:val="31"/>
          <w:lang w:val="en-US" w:eastAsia="zh-CN" w:bidi="ar"/>
        </w:rPr>
        <w:t xml:space="preserve">三、 人员编制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根据职责任务，核定通榆县包拉温都乡综合服务中心 26 名事业编制。编制结构比例：行政管理岗位编制 1 名，专业技术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岗位编制 25 名。</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numPr>
          <w:ilvl w:val="0"/>
          <w:numId w:val="1"/>
        </w:numPr>
        <w:ind w:firstLine="2160" w:firstLineChars="600"/>
        <w:jc w:val="both"/>
        <w:rPr>
          <w:rFonts w:eastAsia="黑体"/>
          <w:sz w:val="36"/>
          <w:szCs w:val="36"/>
        </w:rPr>
      </w:pPr>
      <w:r>
        <w:rPr>
          <w:rFonts w:eastAsia="黑体"/>
          <w:sz w:val="36"/>
          <w:szCs w:val="36"/>
        </w:rPr>
        <w:t>预算表格</w:t>
      </w:r>
    </w:p>
    <w:p>
      <w:pPr>
        <w:numPr>
          <w:ilvl w:val="0"/>
          <w:numId w:val="0"/>
        </w:numPr>
        <w:jc w:val="both"/>
        <w:rPr>
          <w:rFonts w:eastAsia="黑体"/>
          <w:sz w:val="36"/>
          <w:szCs w:val="36"/>
        </w:rPr>
      </w:pP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431.69</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431.69</w:t>
            </w:r>
          </w:p>
        </w:tc>
        <w:tc>
          <w:tcPr>
            <w:tcW w:w="1200" w:type="dxa"/>
            <w:tcBorders>
              <w:top w:val="nil"/>
              <w:left w:val="single" w:color="auto" w:sz="4" w:space="0"/>
              <w:bottom w:val="single" w:color="auto" w:sz="4" w:space="0"/>
              <w:right w:val="nil"/>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olor w:val="000000"/>
                <w:kern w:val="0"/>
                <w:sz w:val="20"/>
                <w:lang w:val="en-US" w:eastAsia="zh-CN"/>
              </w:rPr>
              <w:t>0.00</w:t>
            </w: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275.15</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275.15</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olor w:val="000000"/>
                <w:kern w:val="0"/>
                <w:sz w:val="20"/>
                <w:lang w:val="en-US" w:eastAsia="zh-CN"/>
              </w:rPr>
              <w:t>0.00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431.69</w:t>
            </w:r>
          </w:p>
        </w:tc>
        <w:tc>
          <w:tcPr>
            <w:tcW w:w="1073" w:type="dxa"/>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431.69</w:t>
            </w:r>
          </w:p>
        </w:tc>
        <w:tc>
          <w:tcPr>
            <w:tcW w:w="1200" w:type="dxa"/>
            <w:tcBorders>
              <w:top w:val="nil"/>
              <w:left w:val="single" w:color="auto" w:sz="4" w:space="0"/>
              <w:bottom w:val="single" w:color="auto" w:sz="4" w:space="0"/>
              <w:right w:val="nil"/>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olor w:val="000000"/>
                <w:kern w:val="0"/>
                <w:sz w:val="20"/>
                <w:lang w:val="en-US" w:eastAsia="zh-CN"/>
              </w:rPr>
              <w:t>0.00</w:t>
            </w: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50.36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50.36</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olor w:val="000000"/>
                <w:kern w:val="0"/>
                <w:sz w:val="20"/>
                <w:lang w:val="en-US" w:eastAsia="zh-CN"/>
              </w:rPr>
              <w:t>0.00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62.78</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62.78</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olor w:val="000000"/>
                <w:kern w:val="0"/>
                <w:sz w:val="20"/>
                <w:lang w:val="en-US" w:eastAsia="zh-CN"/>
              </w:rPr>
              <w:t>0.00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27.27</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27.27</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olor w:val="000000"/>
                <w:kern w:val="0"/>
                <w:sz w:val="20"/>
                <w:lang w:val="en-US" w:eastAsia="zh-CN"/>
              </w:rPr>
              <w:t>0.00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16.13</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16.13</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olor w:val="000000"/>
                <w:kern w:val="0"/>
                <w:sz w:val="20"/>
                <w:lang w:val="en-US" w:eastAsia="zh-CN"/>
              </w:rPr>
              <w:t>0.00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431.69</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431.69</w:t>
            </w:r>
          </w:p>
        </w:tc>
        <w:tc>
          <w:tcPr>
            <w:tcW w:w="1200" w:type="dxa"/>
            <w:tcBorders>
              <w:top w:val="nil"/>
              <w:left w:val="single" w:color="auto" w:sz="4" w:space="0"/>
              <w:bottom w:val="single" w:color="auto" w:sz="4" w:space="0"/>
              <w:right w:val="nil"/>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olor w:val="000000"/>
                <w:kern w:val="0"/>
                <w:sz w:val="20"/>
                <w:lang w:val="en-US" w:eastAsia="zh-CN"/>
              </w:rPr>
              <w:t>0.00</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431.69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431.69</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olor w:val="000000"/>
                <w:kern w:val="0"/>
                <w:sz w:val="20"/>
                <w:lang w:val="en-US" w:eastAsia="zh-CN"/>
              </w:rPr>
              <w:t>0.00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431.69</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431.69</w:t>
            </w:r>
          </w:p>
        </w:tc>
        <w:tc>
          <w:tcPr>
            <w:tcW w:w="1200" w:type="dxa"/>
            <w:tcBorders>
              <w:top w:val="nil"/>
              <w:left w:val="single" w:color="auto" w:sz="4" w:space="0"/>
              <w:bottom w:val="single" w:color="auto" w:sz="4" w:space="0"/>
              <w:right w:val="nil"/>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olor w:val="000000"/>
                <w:kern w:val="0"/>
                <w:sz w:val="20"/>
                <w:lang w:val="en-US" w:eastAsia="zh-CN"/>
              </w:rPr>
              <w:t>0.00</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431.69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431.69</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olor w:val="000000"/>
                <w:kern w:val="0"/>
                <w:sz w:val="20"/>
                <w:lang w:val="en-US" w:eastAsia="zh-CN"/>
              </w:rPr>
              <w:t>0.00</w:t>
            </w:r>
          </w:p>
        </w:tc>
      </w:tr>
    </w:tbl>
    <w:p>
      <w:pPr>
        <w:ind w:firstLine="640" w:firstLineChars="200"/>
        <w:rPr>
          <w:rFonts w:eastAsia="楷体_GB2312"/>
          <w:strike/>
        </w:rPr>
      </w:pPr>
    </w:p>
    <w:p>
      <w:pPr>
        <w:ind w:firstLine="645"/>
        <w:rPr>
          <w:rFonts w:hAnsi="楷体" w:eastAsia="楷体"/>
        </w:rPr>
      </w:pPr>
    </w:p>
    <w:tbl>
      <w:tblPr>
        <w:tblStyle w:val="9"/>
        <w:tblpPr w:leftFromText="180" w:rightFromText="180" w:vertAnchor="text" w:horzAnchor="page" w:tblpX="1696" w:tblpY="2616"/>
        <w:tblOverlap w:val="never"/>
        <w:tblW w:w="0" w:type="auto"/>
        <w:tblInd w:w="0" w:type="dxa"/>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trPr>
        <w:tc>
          <w:tcPr>
            <w:tcW w:w="1428" w:type="dxa"/>
            <w:gridSpan w:val="2"/>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通榆县包拉温都乡综合服务中心</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431.69</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431.69</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431.69</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431.69</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431.69</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431.69</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jc w:val="center"/>
        <w:rPr>
          <w:rFonts w:eastAsia="方正小标宋简体"/>
          <w:sz w:val="36"/>
          <w:szCs w:val="36"/>
        </w:rPr>
      </w:pPr>
    </w:p>
    <w:p>
      <w:pPr>
        <w:jc w:val="center"/>
        <w:rPr>
          <w:rFonts w:eastAsia="方正小标宋简体"/>
          <w:sz w:val="36"/>
          <w:szCs w:val="36"/>
        </w:rPr>
      </w:pP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275.15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275.15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政府办公厅（室）及相关机构事务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275.15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275.15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275.15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275.15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200" w:firstLineChars="100"/>
                    <w:jc w:val="lef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二、</w:t>
                  </w:r>
                  <w:r>
                    <w:rPr>
                      <w:rFonts w:hint="default" w:ascii="Arial" w:hAnsi="Arial" w:eastAsia="宋体" w:cs="Arial"/>
                      <w:i w:val="0"/>
                      <w:iCs w:val="0"/>
                      <w:color w:val="000000"/>
                      <w:kern w:val="0"/>
                      <w:sz w:val="20"/>
                      <w:szCs w:val="20"/>
                      <w:u w:val="none"/>
                      <w:lang w:val="en-US" w:eastAsia="zh-CN" w:bidi="ar"/>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50.36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50.36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50.36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50.36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39.10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39.10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9.55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9.55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200" w:firstLineChars="100"/>
                    <w:jc w:val="lef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三、</w:t>
                  </w:r>
                  <w:r>
                    <w:rPr>
                      <w:rFonts w:hint="default" w:ascii="Arial" w:hAnsi="Arial" w:eastAsia="宋体" w:cs="Arial"/>
                      <w:i w:val="0"/>
                      <w:iCs w:val="0"/>
                      <w:color w:val="000000"/>
                      <w:kern w:val="0"/>
                      <w:sz w:val="20"/>
                      <w:szCs w:val="20"/>
                      <w:u w:val="none"/>
                      <w:lang w:val="en-US" w:eastAsia="zh-CN" w:bidi="ar"/>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16.13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16.13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16.13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16.13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15.64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15.64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0.49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0.49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200" w:firstLineChars="100"/>
                    <w:jc w:val="lef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四、</w:t>
                  </w:r>
                  <w:r>
                    <w:rPr>
                      <w:rFonts w:hint="default" w:ascii="Arial" w:hAnsi="Arial" w:eastAsia="宋体" w:cs="Arial"/>
                      <w:i w:val="0"/>
                      <w:iCs w:val="0"/>
                      <w:color w:val="000000"/>
                      <w:kern w:val="0"/>
                      <w:sz w:val="20"/>
                      <w:szCs w:val="20"/>
                      <w:u w:val="none"/>
                      <w:lang w:val="en-US" w:eastAsia="zh-CN" w:bidi="ar"/>
                    </w:rPr>
                    <w:t>农林水支出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62.78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62.78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农村综合改革</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62.78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62.78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对村民委员会和村党支部的补助</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62.78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62.78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200" w:firstLineChars="100"/>
                    <w:jc w:val="lef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五、</w:t>
                  </w:r>
                  <w:r>
                    <w:rPr>
                      <w:rFonts w:hint="default" w:ascii="Arial" w:hAnsi="Arial" w:eastAsia="宋体" w:cs="Arial"/>
                      <w:i w:val="0"/>
                      <w:iCs w:val="0"/>
                      <w:color w:val="000000"/>
                      <w:kern w:val="0"/>
                      <w:sz w:val="20"/>
                      <w:szCs w:val="20"/>
                      <w:u w:val="none"/>
                      <w:lang w:val="en-US" w:eastAsia="zh-CN" w:bidi="ar"/>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27.27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27.27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27.27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27.27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27.27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27.27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431.69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368.91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62.78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eastAsia="楷体"/>
        </w:rPr>
      </w:pPr>
      <w:r>
        <w:rPr>
          <w:rFonts w:hAnsi="楷体" w:eastAsia="楷体"/>
        </w:rPr>
        <w:br w:type="page"/>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tbl>
      <w:tblPr>
        <w:tblStyle w:val="9"/>
        <w:tblpPr w:leftFromText="180" w:rightFromText="180" w:vertAnchor="page" w:horzAnchor="page" w:tblpX="846" w:tblpY="4116"/>
        <w:tblOverlap w:val="never"/>
        <w:tblW w:w="9880" w:type="dxa"/>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431.69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431.69</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olor w:val="000000"/>
                <w:kern w:val="0"/>
                <w:sz w:val="20"/>
                <w:lang w:val="en-US" w:eastAsia="zh-CN"/>
              </w:rPr>
              <w:t>0.00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275.15</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275.15</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olor w:val="000000"/>
                <w:kern w:val="0"/>
                <w:sz w:val="20"/>
                <w:lang w:val="en-US" w:eastAsia="zh-CN"/>
              </w:rPr>
              <w:t>0.00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431.69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431.69</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olor w:val="000000"/>
                <w:kern w:val="0"/>
                <w:sz w:val="20"/>
                <w:lang w:val="en-US" w:eastAsia="zh-CN"/>
              </w:rPr>
              <w:t>0.00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50.36</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50.36</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olor w:val="000000"/>
                <w:kern w:val="0"/>
                <w:sz w:val="20"/>
                <w:lang w:val="en-US" w:eastAsia="zh-CN"/>
              </w:rPr>
              <w:t>0.00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16.13</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16.13</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olor w:val="000000"/>
                <w:kern w:val="0"/>
                <w:sz w:val="20"/>
                <w:lang w:val="en-US" w:eastAsia="zh-CN"/>
              </w:rPr>
              <w:t>0.00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62.78</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62.78</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olor w:val="000000"/>
                <w:kern w:val="0"/>
                <w:sz w:val="20"/>
                <w:lang w:val="en-US" w:eastAsia="zh-CN"/>
              </w:rPr>
              <w:t>0.00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27.27</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27.27</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color w:val="000000"/>
                <w:kern w:val="0"/>
                <w:sz w:val="20"/>
                <w:lang w:val="en-US" w:eastAsia="zh-CN"/>
              </w:rPr>
              <w:t>0.00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431.69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431.69</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olor w:val="000000"/>
                <w:kern w:val="0"/>
                <w:sz w:val="20"/>
                <w:lang w:val="en-US" w:eastAsia="zh-CN"/>
              </w:rPr>
              <w:t>0.00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431.69</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431.69</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olor w:val="000000"/>
                <w:kern w:val="0"/>
                <w:sz w:val="20"/>
                <w:lang w:val="en-US" w:eastAsia="zh-CN"/>
              </w:rPr>
              <w:t>0.00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lang w:val="en-US" w:eastAsia="zh-CN"/>
              </w:rPr>
              <w:t>431.69</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黑体"/>
                <w:kern w:val="0"/>
                <w:sz w:val="20"/>
                <w:lang w:val="en-US" w:eastAsia="zh-CN"/>
              </w:rPr>
            </w:pPr>
            <w:r>
              <w:rPr>
                <w:rFonts w:hint="eastAsia" w:eastAsia="黑体"/>
                <w:kern w:val="0"/>
                <w:sz w:val="20"/>
                <w:lang w:val="en-US" w:eastAsia="zh-CN"/>
              </w:rPr>
              <w:t>431.69</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olor w:val="000000"/>
                <w:kern w:val="0"/>
                <w:sz w:val="20"/>
                <w:lang w:val="en-US" w:eastAsia="zh-CN"/>
              </w:rPr>
              <w:t>0.00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431.69</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431.69</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olor w:val="000000"/>
                <w:kern w:val="0"/>
                <w:sz w:val="20"/>
                <w:lang w:val="en-US" w:eastAsia="zh-CN"/>
              </w:rPr>
              <w:t>0.00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华文细黑" w:cs="Times New Roman"/>
                      <w:color w:val="000000"/>
                      <w:kern w:val="0"/>
                      <w:sz w:val="20"/>
                      <w:lang w:val="en-US" w:eastAsia="zh-CN" w:bidi="ar-SA"/>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275.15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275.15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250.19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24.96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政府办公厅（室）及相关机构事务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275.15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275.15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250.19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24.96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275.15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275.15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250.19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24.96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200" w:firstLineChars="100"/>
                    <w:jc w:val="lef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二、</w:t>
                  </w:r>
                  <w:r>
                    <w:rPr>
                      <w:rFonts w:hint="default" w:ascii="Arial" w:hAnsi="Arial" w:eastAsia="宋体" w:cs="Arial"/>
                      <w:i w:val="0"/>
                      <w:iCs w:val="0"/>
                      <w:color w:val="000000"/>
                      <w:kern w:val="0"/>
                      <w:sz w:val="20"/>
                      <w:szCs w:val="20"/>
                      <w:u w:val="none"/>
                      <w:lang w:val="en-US" w:eastAsia="zh-CN"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50.36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50.36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50.36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50.36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50.36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50.36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39.10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39.10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39.10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1.71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1.71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200" w:firstLineChars="100"/>
                    <w:jc w:val="lef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三、</w:t>
                  </w:r>
                  <w:r>
                    <w:rPr>
                      <w:rFonts w:hint="default" w:ascii="Arial" w:hAnsi="Arial" w:eastAsia="宋体" w:cs="Arial"/>
                      <w:i w:val="0"/>
                      <w:iCs w:val="0"/>
                      <w:color w:val="000000"/>
                      <w:kern w:val="0"/>
                      <w:sz w:val="20"/>
                      <w:szCs w:val="20"/>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200" w:firstLineChars="100"/>
                    <w:jc w:val="lef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四、</w:t>
                  </w:r>
                  <w:r>
                    <w:rPr>
                      <w:rFonts w:hint="default" w:ascii="Arial" w:hAnsi="Arial" w:eastAsia="宋体" w:cs="Arial"/>
                      <w:i w:val="0"/>
                      <w:iCs w:val="0"/>
                      <w:color w:val="000000"/>
                      <w:kern w:val="0"/>
                      <w:sz w:val="20"/>
                      <w:szCs w:val="20"/>
                      <w:u w:val="none"/>
                      <w:lang w:val="en-US" w:eastAsia="zh-CN" w:bidi="ar"/>
                    </w:rPr>
                    <w:t>农林水支出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62.78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62.78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农村综合改革</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62.78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62.78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对村民委员会和村党支部的补助</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62.78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62.78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200" w:firstLineChars="100"/>
                    <w:jc w:val="lef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五、</w:t>
                  </w:r>
                  <w:r>
                    <w:rPr>
                      <w:rFonts w:hint="default" w:ascii="Arial" w:hAnsi="Arial" w:eastAsia="宋体" w:cs="Arial"/>
                      <w:i w:val="0"/>
                      <w:iCs w:val="0"/>
                      <w:color w:val="000000"/>
                      <w:kern w:val="0"/>
                      <w:sz w:val="20"/>
                      <w:szCs w:val="20"/>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27.27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27.27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27.27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27.27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27.27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27.27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431.69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368.91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343.95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24.96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62.78</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45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341.18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341.18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r>
              <w:rPr>
                <w:rFonts w:hint="eastAsia" w:eastAsia="宋体"/>
                <w:color w:val="000000"/>
                <w:kern w:val="0"/>
                <w:sz w:val="20"/>
                <w:szCs w:val="20"/>
                <w:lang w:val="en-US" w:eastAsia="zh-CN"/>
              </w:rPr>
              <w:t>0.00</w:t>
            </w:r>
          </w:p>
        </w:tc>
      </w:tr>
      <w:tr>
        <w:tblPrEx>
          <w:tblCellMar>
            <w:top w:w="0" w:type="dxa"/>
            <w:left w:w="108" w:type="dxa"/>
            <w:bottom w:w="0" w:type="dxa"/>
            <w:right w:w="108" w:type="dxa"/>
          </w:tblCellMar>
        </w:tblPrEx>
        <w:trPr>
          <w:trHeight w:val="45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125.13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125.13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r>
              <w:rPr>
                <w:rFonts w:hint="eastAsia" w:eastAsia="宋体"/>
                <w:color w:val="000000"/>
                <w:kern w:val="0"/>
                <w:sz w:val="20"/>
                <w:szCs w:val="20"/>
                <w:lang w:val="en-US" w:eastAsia="zh-CN"/>
              </w:rPr>
              <w:t>0.00</w:t>
            </w:r>
          </w:p>
        </w:tc>
      </w:tr>
      <w:tr>
        <w:tblPrEx>
          <w:tblCellMar>
            <w:top w:w="0" w:type="dxa"/>
            <w:left w:w="108" w:type="dxa"/>
            <w:bottom w:w="0" w:type="dxa"/>
            <w:right w:w="108" w:type="dxa"/>
          </w:tblCellMar>
        </w:tblPrEx>
        <w:trPr>
          <w:trHeight w:val="45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25.06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25.06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r>
              <w:rPr>
                <w:rFonts w:hint="eastAsia" w:eastAsia="宋体"/>
                <w:color w:val="000000"/>
                <w:kern w:val="0"/>
                <w:sz w:val="20"/>
                <w:szCs w:val="20"/>
                <w:lang w:val="en-US" w:eastAsia="zh-CN"/>
              </w:rPr>
              <w:t>0.00</w:t>
            </w:r>
          </w:p>
        </w:tc>
      </w:tr>
      <w:tr>
        <w:tblPrEx>
          <w:tblCellMar>
            <w:top w:w="0" w:type="dxa"/>
            <w:left w:w="108" w:type="dxa"/>
            <w:bottom w:w="0" w:type="dxa"/>
            <w:right w:w="108" w:type="dxa"/>
          </w:tblCellMar>
        </w:tblPrEx>
        <w:trPr>
          <w:trHeight w:val="45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25.95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25.95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r>
              <w:rPr>
                <w:rFonts w:hint="eastAsia" w:eastAsia="宋体"/>
                <w:color w:val="000000"/>
                <w:kern w:val="0"/>
                <w:sz w:val="20"/>
                <w:szCs w:val="20"/>
                <w:lang w:val="en-US" w:eastAsia="zh-CN"/>
              </w:rPr>
              <w:t>0.00</w:t>
            </w:r>
          </w:p>
        </w:tc>
      </w:tr>
      <w:tr>
        <w:tblPrEx>
          <w:tblCellMar>
            <w:top w:w="0" w:type="dxa"/>
            <w:left w:w="108" w:type="dxa"/>
            <w:bottom w:w="0" w:type="dxa"/>
            <w:right w:w="108" w:type="dxa"/>
          </w:tblCellMar>
        </w:tblPrEx>
        <w:trPr>
          <w:trHeight w:val="45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68.24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sz w:val="20"/>
                <w:szCs w:val="20"/>
                <w:lang w:val="en-US" w:eastAsia="zh-CN"/>
              </w:rPr>
            </w:pPr>
            <w:r>
              <w:rPr>
                <w:rFonts w:hint="eastAsia"/>
                <w:sz w:val="20"/>
                <w:szCs w:val="20"/>
                <w:lang w:val="en-US" w:eastAsia="zh-CN"/>
              </w:rPr>
              <w:t>68.24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r>
              <w:rPr>
                <w:rFonts w:hint="eastAsia" w:eastAsia="宋体"/>
                <w:color w:val="000000"/>
                <w:kern w:val="0"/>
                <w:sz w:val="20"/>
                <w:szCs w:val="20"/>
                <w:lang w:val="en-US" w:eastAsia="zh-CN"/>
              </w:rPr>
              <w:t>0.00</w:t>
            </w:r>
          </w:p>
        </w:tc>
      </w:tr>
      <w:tr>
        <w:tblPrEx>
          <w:tblCellMar>
            <w:top w:w="0" w:type="dxa"/>
            <w:left w:w="108" w:type="dxa"/>
            <w:bottom w:w="0" w:type="dxa"/>
            <w:right w:w="108" w:type="dxa"/>
          </w:tblCellMar>
        </w:tblPrEx>
        <w:trPr>
          <w:trHeight w:val="45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39.10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39.10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r>
              <w:rPr>
                <w:rFonts w:hint="eastAsia" w:eastAsia="宋体"/>
                <w:color w:val="000000"/>
                <w:kern w:val="0"/>
                <w:sz w:val="20"/>
                <w:szCs w:val="20"/>
                <w:lang w:val="en-US" w:eastAsia="zh-CN"/>
              </w:rPr>
              <w:t>0.00</w:t>
            </w:r>
          </w:p>
        </w:tc>
      </w:tr>
      <w:tr>
        <w:tblPrEx>
          <w:tblCellMar>
            <w:top w:w="0" w:type="dxa"/>
            <w:left w:w="108" w:type="dxa"/>
            <w:bottom w:w="0" w:type="dxa"/>
            <w:right w:w="108" w:type="dxa"/>
          </w:tblCellMar>
        </w:tblPrEx>
        <w:trPr>
          <w:trHeight w:val="45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9.55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9.55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r>
              <w:rPr>
                <w:rFonts w:hint="eastAsia" w:eastAsia="宋体"/>
                <w:color w:val="000000"/>
                <w:kern w:val="0"/>
                <w:sz w:val="20"/>
                <w:szCs w:val="20"/>
                <w:lang w:val="en-US" w:eastAsia="zh-CN"/>
              </w:rPr>
              <w:t>0.00</w:t>
            </w:r>
          </w:p>
        </w:tc>
      </w:tr>
      <w:tr>
        <w:tblPrEx>
          <w:tblCellMar>
            <w:top w:w="0" w:type="dxa"/>
            <w:left w:w="108" w:type="dxa"/>
            <w:bottom w:w="0" w:type="dxa"/>
            <w:right w:w="108" w:type="dxa"/>
          </w:tblCellMar>
        </w:tblPrEx>
        <w:trPr>
          <w:trHeight w:val="45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ind w:firstLine="200" w:firstLineChars="10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15.64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15.64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r>
              <w:rPr>
                <w:rFonts w:hint="eastAsia" w:eastAsia="宋体"/>
                <w:color w:val="000000"/>
                <w:kern w:val="0"/>
                <w:sz w:val="20"/>
                <w:szCs w:val="20"/>
                <w:lang w:val="en-US" w:eastAsia="zh-CN"/>
              </w:rPr>
              <w:t>0.00</w:t>
            </w:r>
          </w:p>
        </w:tc>
      </w:tr>
      <w:tr>
        <w:tblPrEx>
          <w:tblCellMar>
            <w:top w:w="0" w:type="dxa"/>
            <w:left w:w="108" w:type="dxa"/>
            <w:bottom w:w="0" w:type="dxa"/>
            <w:right w:w="108" w:type="dxa"/>
          </w:tblCellMar>
        </w:tblPrEx>
        <w:trPr>
          <w:trHeight w:val="45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2.20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2.20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r>
              <w:rPr>
                <w:rFonts w:hint="eastAsia" w:eastAsia="宋体"/>
                <w:color w:val="000000"/>
                <w:kern w:val="0"/>
                <w:sz w:val="20"/>
                <w:szCs w:val="20"/>
                <w:lang w:val="en-US" w:eastAsia="zh-CN"/>
              </w:rPr>
              <w:t>0.00</w:t>
            </w:r>
          </w:p>
        </w:tc>
      </w:tr>
      <w:tr>
        <w:tblPrEx>
          <w:tblCellMar>
            <w:top w:w="0" w:type="dxa"/>
            <w:left w:w="108" w:type="dxa"/>
            <w:bottom w:w="0" w:type="dxa"/>
            <w:right w:w="108" w:type="dxa"/>
          </w:tblCellMar>
        </w:tblPrEx>
        <w:trPr>
          <w:trHeight w:val="45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ind w:firstLine="200" w:firstLineChars="10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27.27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27.27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r>
              <w:rPr>
                <w:rFonts w:hint="eastAsia" w:eastAsia="宋体"/>
                <w:color w:val="000000"/>
                <w:kern w:val="0"/>
                <w:sz w:val="20"/>
                <w:szCs w:val="20"/>
                <w:lang w:val="en-US" w:eastAsia="zh-CN"/>
              </w:rPr>
              <w:t>0.00</w:t>
            </w:r>
          </w:p>
        </w:tc>
      </w:tr>
      <w:tr>
        <w:tblPrEx>
          <w:tblCellMar>
            <w:top w:w="0" w:type="dxa"/>
            <w:left w:w="108" w:type="dxa"/>
            <w:bottom w:w="0" w:type="dxa"/>
            <w:right w:w="108" w:type="dxa"/>
          </w:tblCellMar>
        </w:tblPrEx>
        <w:trPr>
          <w:trHeight w:val="45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3.04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3.04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r>
              <w:rPr>
                <w:rFonts w:hint="eastAsia" w:eastAsia="宋体"/>
                <w:color w:val="000000"/>
                <w:kern w:val="0"/>
                <w:sz w:val="20"/>
                <w:szCs w:val="20"/>
                <w:lang w:val="en-US" w:eastAsia="zh-CN"/>
              </w:rPr>
              <w:t>0.00</w:t>
            </w:r>
          </w:p>
        </w:tc>
      </w:tr>
      <w:tr>
        <w:tblPrEx>
          <w:tblCellMar>
            <w:top w:w="0" w:type="dxa"/>
            <w:left w:w="108" w:type="dxa"/>
            <w:bottom w:w="0" w:type="dxa"/>
            <w:right w:w="108" w:type="dxa"/>
          </w:tblCellMar>
        </w:tblPrEx>
        <w:trPr>
          <w:trHeight w:val="45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24.96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r>
              <w:rPr>
                <w:rFonts w:hint="eastAsia" w:eastAsia="宋体"/>
                <w:color w:val="000000"/>
                <w:kern w:val="0"/>
                <w:sz w:val="20"/>
                <w:szCs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24.96</w:t>
            </w:r>
          </w:p>
        </w:tc>
      </w:tr>
      <w:tr>
        <w:tblPrEx>
          <w:tblCellMar>
            <w:top w:w="0" w:type="dxa"/>
            <w:left w:w="108" w:type="dxa"/>
            <w:bottom w:w="0" w:type="dxa"/>
            <w:right w:w="108" w:type="dxa"/>
          </w:tblCellMar>
        </w:tblPrEx>
        <w:trPr>
          <w:trHeight w:val="45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11.96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eastAsia="宋体"/>
                <w:color w:val="000000"/>
                <w:kern w:val="0"/>
                <w:sz w:val="20"/>
                <w:szCs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11.96</w:t>
            </w:r>
          </w:p>
        </w:tc>
      </w:tr>
      <w:tr>
        <w:tblPrEx>
          <w:tblCellMar>
            <w:top w:w="0" w:type="dxa"/>
            <w:left w:w="108" w:type="dxa"/>
            <w:bottom w:w="0" w:type="dxa"/>
            <w:right w:w="108" w:type="dxa"/>
          </w:tblCellMar>
        </w:tblPrEx>
        <w:trPr>
          <w:trHeight w:val="454"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电费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3.00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sz w:val="20"/>
                <w:szCs w:val="20"/>
                <w:lang w:val="en-US" w:eastAsia="zh-CN"/>
              </w:rPr>
            </w:pPr>
            <w:r>
              <w:rPr>
                <w:rFonts w:hint="eastAsia" w:eastAsia="宋体"/>
                <w:color w:val="000000"/>
                <w:kern w:val="0"/>
                <w:sz w:val="20"/>
                <w:szCs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sz w:val="20"/>
                <w:szCs w:val="20"/>
                <w:lang w:val="en-US" w:eastAsia="zh-CN"/>
              </w:rPr>
            </w:pPr>
            <w:r>
              <w:rPr>
                <w:rFonts w:hint="eastAsia"/>
                <w:sz w:val="20"/>
                <w:szCs w:val="20"/>
                <w:lang w:val="en-US" w:eastAsia="zh-CN"/>
              </w:rPr>
              <w:t>3.00</w:t>
            </w:r>
          </w:p>
        </w:tc>
      </w:tr>
      <w:tr>
        <w:tblPrEx>
          <w:tblCellMar>
            <w:top w:w="0" w:type="dxa"/>
            <w:left w:w="108" w:type="dxa"/>
            <w:bottom w:w="0" w:type="dxa"/>
            <w:right w:w="108" w:type="dxa"/>
          </w:tblCellMar>
        </w:tblPrEx>
        <w:trPr>
          <w:trHeight w:val="454"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ind w:firstLine="200" w:firstLineChars="10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取暖费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10.00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20"/>
                <w:szCs w:val="20"/>
              </w:rPr>
            </w:pPr>
            <w:r>
              <w:rPr>
                <w:rFonts w:hint="eastAsia" w:eastAsia="宋体"/>
                <w:color w:val="000000"/>
                <w:kern w:val="0"/>
                <w:sz w:val="20"/>
                <w:szCs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sz w:val="20"/>
                <w:szCs w:val="20"/>
                <w:lang w:val="en-US" w:eastAsia="zh-CN"/>
              </w:rPr>
            </w:pPr>
            <w:r>
              <w:rPr>
                <w:rFonts w:hint="eastAsia"/>
                <w:sz w:val="20"/>
                <w:szCs w:val="20"/>
                <w:lang w:val="en-US" w:eastAsia="zh-CN"/>
              </w:rPr>
              <w:t>10.00</w:t>
            </w:r>
          </w:p>
        </w:tc>
      </w:tr>
      <w:tr>
        <w:tblPrEx>
          <w:tblCellMar>
            <w:top w:w="0" w:type="dxa"/>
            <w:left w:w="108" w:type="dxa"/>
            <w:bottom w:w="0" w:type="dxa"/>
            <w:right w:w="108" w:type="dxa"/>
          </w:tblCellMar>
        </w:tblPrEx>
        <w:trPr>
          <w:trHeight w:val="454"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三、</w:t>
            </w:r>
            <w:r>
              <w:rPr>
                <w:rFonts w:hint="default" w:ascii="Arial" w:hAnsi="Arial" w:eastAsia="宋体" w:cs="Arial"/>
                <w:i w:val="0"/>
                <w:iCs w:val="0"/>
                <w:color w:val="000000"/>
                <w:kern w:val="0"/>
                <w:sz w:val="20"/>
                <w:szCs w:val="20"/>
                <w:u w:val="none"/>
                <w:lang w:val="en-US" w:eastAsia="zh-CN" w:bidi="ar"/>
              </w:rPr>
              <w:t>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2.77</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sz w:val="20"/>
                <w:szCs w:val="20"/>
                <w:lang w:val="en-US" w:eastAsia="zh-CN"/>
              </w:rPr>
            </w:pPr>
            <w:r>
              <w:rPr>
                <w:rFonts w:hint="eastAsia"/>
                <w:sz w:val="20"/>
                <w:szCs w:val="20"/>
                <w:lang w:val="en-US" w:eastAsia="zh-CN"/>
              </w:rPr>
              <w:t>2.77</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20"/>
                <w:szCs w:val="20"/>
              </w:rPr>
            </w:pPr>
            <w:r>
              <w:rPr>
                <w:rFonts w:hint="eastAsia" w:eastAsia="宋体"/>
                <w:color w:val="000000"/>
                <w:kern w:val="0"/>
                <w:sz w:val="20"/>
                <w:szCs w:val="20"/>
                <w:lang w:val="en-US" w:eastAsia="zh-CN"/>
              </w:rPr>
              <w:t>0.00</w:t>
            </w:r>
          </w:p>
        </w:tc>
      </w:tr>
      <w:tr>
        <w:tblPrEx>
          <w:tblCellMar>
            <w:top w:w="0" w:type="dxa"/>
            <w:left w:w="108" w:type="dxa"/>
            <w:bottom w:w="0" w:type="dxa"/>
            <w:right w:w="108" w:type="dxa"/>
          </w:tblCellMar>
        </w:tblPrEx>
        <w:trPr>
          <w:trHeight w:val="454"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退休费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1.78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sz w:val="20"/>
                <w:szCs w:val="20"/>
                <w:lang w:val="en-US" w:eastAsia="zh-CN"/>
              </w:rPr>
            </w:pPr>
            <w:r>
              <w:rPr>
                <w:rFonts w:hint="eastAsia"/>
                <w:sz w:val="20"/>
                <w:szCs w:val="20"/>
                <w:lang w:val="en-US" w:eastAsia="zh-CN"/>
              </w:rPr>
              <w:t>1.78</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20"/>
                <w:szCs w:val="20"/>
              </w:rPr>
            </w:pPr>
            <w:r>
              <w:rPr>
                <w:rFonts w:hint="eastAsia" w:eastAsia="宋体"/>
                <w:color w:val="000000"/>
                <w:kern w:val="0"/>
                <w:sz w:val="20"/>
                <w:szCs w:val="20"/>
                <w:lang w:val="en-US" w:eastAsia="zh-CN"/>
              </w:rPr>
              <w:t>0.00</w:t>
            </w:r>
          </w:p>
        </w:tc>
      </w:tr>
      <w:tr>
        <w:tblPrEx>
          <w:tblCellMar>
            <w:top w:w="0" w:type="dxa"/>
            <w:left w:w="108" w:type="dxa"/>
            <w:bottom w:w="0" w:type="dxa"/>
            <w:right w:w="108" w:type="dxa"/>
          </w:tblCellMar>
        </w:tblPrEx>
        <w:trPr>
          <w:trHeight w:val="454"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生活补助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0.99</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sz w:val="22"/>
                <w:szCs w:val="15"/>
                <w:lang w:val="en-US" w:eastAsia="zh-CN"/>
              </w:rPr>
            </w:pPr>
            <w:r>
              <w:rPr>
                <w:rFonts w:hint="eastAsia"/>
                <w:sz w:val="22"/>
                <w:szCs w:val="15"/>
                <w:lang w:val="en-US" w:eastAsia="zh-CN"/>
              </w:rPr>
              <w:t>0.99</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olor w:val="000000"/>
                <w:kern w:val="0"/>
                <w:sz w:val="20"/>
                <w:lang w:val="en-US" w:eastAsia="zh-CN"/>
              </w:rPr>
              <w:t>0.00</w:t>
            </w:r>
          </w:p>
        </w:tc>
      </w:tr>
      <w:tr>
        <w:tblPrEx>
          <w:tblCellMar>
            <w:top w:w="0" w:type="dxa"/>
            <w:left w:w="108" w:type="dxa"/>
            <w:bottom w:w="0" w:type="dxa"/>
            <w:right w:w="108" w:type="dxa"/>
          </w:tblCellMar>
        </w:tblPrEx>
        <w:trPr>
          <w:trHeight w:val="454"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val="en-US" w:eastAsia="zh-CN"/>
              </w:rPr>
            </w:pPr>
            <w:r>
              <w:rPr>
                <w:rFonts w:hint="eastAsia" w:eastAsia="宋体"/>
                <w:color w:val="000000"/>
                <w:kern w:val="0"/>
                <w:sz w:val="20"/>
                <w:lang w:val="en-US" w:eastAsia="zh-CN"/>
              </w:rPr>
              <w:t>合计</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368.91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sz w:val="22"/>
                <w:szCs w:val="15"/>
                <w:lang w:val="en-US" w:eastAsia="zh-CN"/>
              </w:rPr>
            </w:pPr>
            <w:r>
              <w:rPr>
                <w:rFonts w:hint="eastAsia"/>
                <w:sz w:val="22"/>
                <w:szCs w:val="15"/>
                <w:lang w:val="en-US" w:eastAsia="zh-CN"/>
              </w:rPr>
              <w:t>343.95</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sz w:val="22"/>
                <w:szCs w:val="15"/>
                <w:lang w:val="en-US" w:eastAsia="zh-CN"/>
              </w:rPr>
            </w:pPr>
            <w:r>
              <w:rPr>
                <w:rFonts w:hint="eastAsia"/>
                <w:sz w:val="22"/>
                <w:szCs w:val="15"/>
                <w:lang w:val="en-US" w:eastAsia="zh-CN"/>
              </w:rPr>
              <w:t>24.96</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keepNext w:val="0"/>
              <w:keepLines w:val="0"/>
              <w:widowControl/>
              <w:suppressLineNumbers w:val="0"/>
              <w:jc w:val="left"/>
            </w:pPr>
            <w:r>
              <w:rPr>
                <w:rFonts w:eastAsia="宋体"/>
                <w:color w:val="000000"/>
                <w:kern w:val="0"/>
                <w:sz w:val="28"/>
                <w:szCs w:val="28"/>
              </w:rPr>
              <w:t xml:space="preserve">       1</w:t>
            </w:r>
            <w:r>
              <w:rPr>
                <w:color w:val="000000"/>
                <w:kern w:val="0"/>
                <w:sz w:val="28"/>
                <w:szCs w:val="28"/>
              </w:rPr>
              <w:t>、</w:t>
            </w:r>
            <w:r>
              <w:rPr>
                <w:rFonts w:hint="default" w:ascii="Times New Roman" w:hAnsi="Times New Roman" w:eastAsia="宋体" w:cs="Times New Roman"/>
                <w:color w:val="000000"/>
                <w:kern w:val="0"/>
                <w:sz w:val="28"/>
                <w:szCs w:val="28"/>
                <w:lang w:val="en-US" w:eastAsia="zh-CN" w:bidi="ar"/>
              </w:rPr>
              <w:t>“202</w:t>
            </w:r>
            <w:r>
              <w:rPr>
                <w:rFonts w:hint="eastAsia" w:eastAsia="宋体" w:cs="Times New Roman"/>
                <w:color w:val="000000"/>
                <w:kern w:val="0"/>
                <w:sz w:val="28"/>
                <w:szCs w:val="28"/>
                <w:lang w:val="en-US" w:eastAsia="zh-CN" w:bidi="ar"/>
              </w:rPr>
              <w:t>4</w:t>
            </w:r>
            <w:r>
              <w:rPr>
                <w:rFonts w:hint="default" w:ascii="Times New Roman" w:hAnsi="Times New Roman" w:eastAsia="宋体" w:cs="Times New Roman"/>
                <w:color w:val="000000"/>
                <w:kern w:val="0"/>
                <w:sz w:val="28"/>
                <w:szCs w:val="28"/>
                <w:lang w:val="en-US" w:eastAsia="zh-CN" w:bidi="ar"/>
              </w:rPr>
              <w:t xml:space="preserve"> </w:t>
            </w:r>
            <w:r>
              <w:rPr>
                <w:rFonts w:ascii="仿宋" w:hAnsi="仿宋" w:eastAsia="仿宋" w:cs="仿宋"/>
                <w:color w:val="000000"/>
                <w:kern w:val="0"/>
                <w:sz w:val="28"/>
                <w:szCs w:val="28"/>
                <w:lang w:val="en-US" w:eastAsia="zh-CN" w:bidi="ar"/>
              </w:rPr>
              <w:t>年预算数</w:t>
            </w:r>
            <w:r>
              <w:rPr>
                <w:rFonts w:hint="default" w:ascii="Times New Roman" w:hAnsi="Times New Roman" w:eastAsia="宋体" w:cs="Times New Roman"/>
                <w:color w:val="000000"/>
                <w:kern w:val="0"/>
                <w:sz w:val="28"/>
                <w:szCs w:val="28"/>
                <w:lang w:val="en-US" w:eastAsia="zh-CN" w:bidi="ar"/>
              </w:rPr>
              <w:t>”</w:t>
            </w:r>
            <w:r>
              <w:rPr>
                <w:rFonts w:hint="eastAsia" w:ascii="仿宋" w:hAnsi="仿宋" w:eastAsia="仿宋" w:cs="仿宋"/>
                <w:color w:val="000000"/>
                <w:kern w:val="0"/>
                <w:sz w:val="28"/>
                <w:szCs w:val="28"/>
                <w:lang w:val="en-US" w:eastAsia="zh-CN" w:bidi="ar"/>
              </w:rPr>
              <w:t>的单位范围为部门本级。</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26</w:t>
            </w:r>
            <w:r>
              <w:rPr>
                <w:rFonts w:eastAsia="宋体"/>
                <w:color w:val="000000"/>
                <w:kern w:val="0"/>
                <w:sz w:val="28"/>
                <w:szCs w:val="28"/>
                <w:u w:val="single"/>
              </w:rPr>
              <w:t xml:space="preserve"> </w:t>
            </w:r>
            <w:r>
              <w:rPr>
                <w:color w:val="000000"/>
                <w:kern w:val="0"/>
                <w:sz w:val="28"/>
                <w:szCs w:val="28"/>
              </w:rPr>
              <w:t>人，其中：在职人员</w:t>
            </w:r>
            <w:r>
              <w:rPr>
                <w:rFonts w:hint="eastAsia" w:eastAsia="宋体"/>
                <w:color w:val="000000"/>
                <w:kern w:val="0"/>
                <w:sz w:val="28"/>
                <w:szCs w:val="28"/>
                <w:u w:val="single"/>
                <w:lang w:val="en-US" w:eastAsia="zh-CN"/>
              </w:rPr>
              <w:t>26</w:t>
            </w:r>
            <w:r>
              <w:rPr>
                <w:color w:val="000000"/>
                <w:kern w:val="0"/>
                <w:sz w:val="28"/>
                <w:szCs w:val="28"/>
              </w:rPr>
              <w:t>人，离退休人员</w:t>
            </w:r>
            <w:r>
              <w:rPr>
                <w:rFonts w:hint="eastAsia"/>
                <w:color w:val="000000"/>
                <w:kern w:val="0"/>
                <w:sz w:val="28"/>
                <w:szCs w:val="28"/>
                <w:u w:val="single"/>
                <w:lang w:val="en-US" w:eastAsia="zh-CN"/>
              </w:rPr>
              <w:t>5</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tbl>
      <w:tblPr>
        <w:tblStyle w:val="9"/>
        <w:tblpPr w:leftFromText="180" w:rightFromText="180" w:vertAnchor="page" w:horzAnchor="page" w:tblpX="1136" w:tblpY="2680"/>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r>
        <w:rPr>
          <w:rFonts w:eastAsia="楷体_GB2312"/>
          <w:kern w:val="0"/>
          <w:szCs w:val="32"/>
        </w:rPr>
        <w:t xml:space="preserve">   </w:t>
      </w: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640"/>
        <w:gridCol w:w="558"/>
        <w:gridCol w:w="407"/>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640"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486"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640"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486"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lang w:val="en-US" w:eastAsia="zh-CN"/>
              </w:rPr>
              <w:t>二</w:t>
            </w:r>
            <w:r>
              <w:rPr>
                <w:rFonts w:hint="eastAsia" w:ascii="宋体" w:hAnsi="宋体" w:eastAsia="宋体" w:cs="宋体"/>
                <w:color w:val="000000"/>
                <w:sz w:val="20"/>
                <w:szCs w:val="22"/>
              </w:rPr>
              <w:t>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640" w:type="dxa"/>
            <w:vMerge w:val="continue"/>
            <w:noWrap w:val="0"/>
            <w:vAlign w:val="center"/>
          </w:tcPr>
          <w:p>
            <w:pPr>
              <w:autoSpaceDN w:val="0"/>
              <w:jc w:val="center"/>
              <w:textAlignment w:val="center"/>
              <w:rPr>
                <w:rFonts w:ascii="Calibri" w:hAnsi="Calibri" w:eastAsia="华文细黑"/>
                <w:color w:val="000000"/>
                <w:sz w:val="20"/>
                <w:szCs w:val="22"/>
              </w:rPr>
            </w:pPr>
          </w:p>
        </w:tc>
        <w:tc>
          <w:tcPr>
            <w:tcW w:w="558"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4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exact"/>
          <w:jc w:val="center"/>
        </w:trPr>
        <w:tc>
          <w:tcPr>
            <w:tcW w:w="759" w:type="dxa"/>
            <w:noWrap w:val="0"/>
            <w:vAlign w:val="center"/>
          </w:tcPr>
          <w:p>
            <w:pPr>
              <w:spacing w:line="240" w:lineRule="auto"/>
              <w:jc w:val="center"/>
              <w:rPr>
                <w:rFonts w:hint="default" w:ascii="Calibri" w:hAnsi="Calibri" w:eastAsia="楷体"/>
                <w:kern w:val="0"/>
                <w:sz w:val="20"/>
                <w:szCs w:val="20"/>
                <w:lang w:val="en-US" w:eastAsia="zh-CN"/>
              </w:rPr>
            </w:pPr>
            <w:r>
              <w:rPr>
                <w:rFonts w:hint="eastAsia" w:ascii="Calibri" w:hAnsi="Calibri" w:eastAsia="楷体"/>
                <w:kern w:val="0"/>
                <w:sz w:val="20"/>
                <w:szCs w:val="20"/>
                <w:lang w:val="en-US" w:eastAsia="zh-CN"/>
              </w:rPr>
              <w:t>事业运行支出</w:t>
            </w:r>
          </w:p>
        </w:tc>
        <w:tc>
          <w:tcPr>
            <w:tcW w:w="1063"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包拉温都乡人民政府（综合服务中心2024年村级组织运转经费1.3（627800元））</w:t>
            </w:r>
          </w:p>
        </w:tc>
        <w:tc>
          <w:tcPr>
            <w:tcW w:w="1107"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包拉温都乡人民政府（综合服务中心2024年村级组织运转经费1.3（627800元））</w:t>
            </w:r>
          </w:p>
        </w:tc>
        <w:tc>
          <w:tcPr>
            <w:tcW w:w="864"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通榆县包拉温都乡综合服务中心</w:t>
            </w:r>
          </w:p>
        </w:tc>
        <w:tc>
          <w:tcPr>
            <w:tcW w:w="640" w:type="dxa"/>
            <w:noWrap w:val="0"/>
            <w:vAlign w:val="center"/>
          </w:tcPr>
          <w:p>
            <w:pPr>
              <w:spacing w:line="240" w:lineRule="auto"/>
              <w:jc w:val="center"/>
              <w:rPr>
                <w:rFonts w:hint="default" w:ascii="Calibri" w:hAnsi="Calibri" w:eastAsia="楷体"/>
                <w:kern w:val="0"/>
                <w:sz w:val="24"/>
                <w:szCs w:val="24"/>
                <w:lang w:val="en-US" w:eastAsia="zh-CN"/>
              </w:rPr>
            </w:pPr>
            <w:r>
              <w:rPr>
                <w:rFonts w:hint="eastAsia" w:ascii="Calibri" w:hAnsi="Calibri" w:eastAsia="楷体"/>
                <w:kern w:val="0"/>
                <w:sz w:val="24"/>
                <w:szCs w:val="24"/>
                <w:lang w:val="en-US" w:eastAsia="zh-CN"/>
              </w:rPr>
              <w:t>62.78</w:t>
            </w:r>
          </w:p>
        </w:tc>
        <w:tc>
          <w:tcPr>
            <w:tcW w:w="558" w:type="dxa"/>
            <w:noWrap w:val="0"/>
            <w:vAlign w:val="center"/>
          </w:tcPr>
          <w:p>
            <w:pPr>
              <w:spacing w:line="240" w:lineRule="auto"/>
              <w:jc w:val="center"/>
              <w:rPr>
                <w:rFonts w:hint="default" w:ascii="Calibri" w:hAnsi="Calibri" w:eastAsia="楷体"/>
                <w:kern w:val="0"/>
                <w:sz w:val="24"/>
                <w:szCs w:val="24"/>
                <w:lang w:val="en-US" w:eastAsia="zh-CN"/>
              </w:rPr>
            </w:pPr>
            <w:r>
              <w:rPr>
                <w:rFonts w:hint="eastAsia" w:ascii="Calibri" w:hAnsi="Calibri" w:eastAsia="楷体"/>
                <w:kern w:val="0"/>
                <w:sz w:val="24"/>
                <w:szCs w:val="24"/>
                <w:lang w:val="en-US" w:eastAsia="zh-CN"/>
              </w:rPr>
              <w:t>62.78</w:t>
            </w:r>
          </w:p>
        </w:tc>
        <w:tc>
          <w:tcPr>
            <w:tcW w:w="407"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640" w:type="dxa"/>
            <w:noWrap w:val="0"/>
            <w:vAlign w:val="center"/>
          </w:tcPr>
          <w:p>
            <w:pPr>
              <w:spacing w:line="700" w:lineRule="exact"/>
              <w:jc w:val="center"/>
              <w:rPr>
                <w:rFonts w:ascii="Calibri" w:hAnsi="Calibri" w:eastAsia="楷体"/>
                <w:kern w:val="0"/>
                <w:szCs w:val="32"/>
              </w:rPr>
            </w:pPr>
          </w:p>
        </w:tc>
        <w:tc>
          <w:tcPr>
            <w:tcW w:w="558" w:type="dxa"/>
            <w:noWrap w:val="0"/>
            <w:vAlign w:val="center"/>
          </w:tcPr>
          <w:p>
            <w:pPr>
              <w:spacing w:line="700" w:lineRule="exact"/>
              <w:jc w:val="center"/>
              <w:rPr>
                <w:rFonts w:ascii="Calibri" w:hAnsi="Calibri" w:eastAsia="楷体"/>
                <w:kern w:val="0"/>
                <w:szCs w:val="32"/>
              </w:rPr>
            </w:pPr>
          </w:p>
        </w:tc>
        <w:tc>
          <w:tcPr>
            <w:tcW w:w="407"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640" w:type="dxa"/>
            <w:noWrap w:val="0"/>
            <w:vAlign w:val="center"/>
          </w:tcPr>
          <w:p>
            <w:pPr>
              <w:spacing w:line="700" w:lineRule="exact"/>
              <w:jc w:val="center"/>
              <w:rPr>
                <w:rFonts w:ascii="Calibri" w:hAnsi="Calibri" w:eastAsia="楷体"/>
                <w:kern w:val="0"/>
                <w:szCs w:val="32"/>
              </w:rPr>
            </w:pPr>
          </w:p>
        </w:tc>
        <w:tc>
          <w:tcPr>
            <w:tcW w:w="558" w:type="dxa"/>
            <w:noWrap w:val="0"/>
            <w:vAlign w:val="center"/>
          </w:tcPr>
          <w:p>
            <w:pPr>
              <w:spacing w:line="700" w:lineRule="exact"/>
              <w:jc w:val="center"/>
              <w:rPr>
                <w:rFonts w:ascii="Calibri" w:hAnsi="Calibri" w:eastAsia="楷体"/>
                <w:kern w:val="0"/>
                <w:szCs w:val="32"/>
              </w:rPr>
            </w:pPr>
          </w:p>
        </w:tc>
        <w:tc>
          <w:tcPr>
            <w:tcW w:w="407"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640" w:type="dxa"/>
            <w:noWrap w:val="0"/>
            <w:vAlign w:val="center"/>
          </w:tcPr>
          <w:p>
            <w:pPr>
              <w:spacing w:line="700" w:lineRule="exact"/>
              <w:jc w:val="center"/>
              <w:rPr>
                <w:rFonts w:ascii="Calibri" w:hAnsi="Calibri" w:eastAsia="楷体"/>
                <w:kern w:val="0"/>
                <w:szCs w:val="32"/>
              </w:rPr>
            </w:pPr>
          </w:p>
        </w:tc>
        <w:tc>
          <w:tcPr>
            <w:tcW w:w="558" w:type="dxa"/>
            <w:noWrap w:val="0"/>
            <w:vAlign w:val="center"/>
          </w:tcPr>
          <w:p>
            <w:pPr>
              <w:spacing w:line="700" w:lineRule="exact"/>
              <w:jc w:val="center"/>
              <w:rPr>
                <w:rFonts w:ascii="Calibri" w:hAnsi="Calibri" w:eastAsia="楷体"/>
                <w:kern w:val="0"/>
                <w:szCs w:val="32"/>
              </w:rPr>
            </w:pPr>
          </w:p>
        </w:tc>
        <w:tc>
          <w:tcPr>
            <w:tcW w:w="407"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640" w:type="dxa"/>
            <w:noWrap w:val="0"/>
            <w:vAlign w:val="center"/>
          </w:tcPr>
          <w:p>
            <w:pPr>
              <w:spacing w:line="240" w:lineRule="auto"/>
              <w:jc w:val="center"/>
              <w:rPr>
                <w:rFonts w:hint="default" w:ascii="Calibri" w:hAnsi="Calibri" w:eastAsia="楷体"/>
                <w:kern w:val="0"/>
                <w:sz w:val="24"/>
                <w:szCs w:val="24"/>
                <w:lang w:val="en-US" w:eastAsia="zh-CN"/>
              </w:rPr>
            </w:pPr>
            <w:r>
              <w:rPr>
                <w:rFonts w:hint="eastAsia" w:ascii="Calibri" w:hAnsi="Calibri" w:eastAsia="楷体"/>
                <w:kern w:val="0"/>
                <w:sz w:val="24"/>
                <w:szCs w:val="24"/>
                <w:lang w:val="en-US" w:eastAsia="zh-CN"/>
              </w:rPr>
              <w:t>62.78</w:t>
            </w:r>
          </w:p>
        </w:tc>
        <w:tc>
          <w:tcPr>
            <w:tcW w:w="558" w:type="dxa"/>
            <w:noWrap w:val="0"/>
            <w:vAlign w:val="center"/>
          </w:tcPr>
          <w:p>
            <w:pPr>
              <w:spacing w:line="240" w:lineRule="auto"/>
              <w:jc w:val="center"/>
              <w:rPr>
                <w:rFonts w:hint="default" w:ascii="Calibri" w:hAnsi="Calibri" w:eastAsia="楷体"/>
                <w:kern w:val="0"/>
                <w:sz w:val="24"/>
                <w:szCs w:val="24"/>
                <w:lang w:val="en-US" w:eastAsia="zh-CN"/>
              </w:rPr>
            </w:pPr>
            <w:r>
              <w:rPr>
                <w:rFonts w:hint="eastAsia" w:ascii="Calibri" w:hAnsi="Calibri" w:eastAsia="楷体"/>
                <w:kern w:val="0"/>
                <w:sz w:val="24"/>
                <w:szCs w:val="24"/>
                <w:lang w:val="en-US" w:eastAsia="zh-CN"/>
              </w:rPr>
              <w:t>62.78</w:t>
            </w:r>
          </w:p>
        </w:tc>
        <w:tc>
          <w:tcPr>
            <w:tcW w:w="407"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包拉温都乡综合服务中心2024年村级运转经费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62.78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62.78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包拉温都乡综合服务中心2024年为有效开展村级运转工作，按照历年标准每村每月13079.1元共计四村，全年共计627800元</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享受补助村数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村级组织工作质量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default" w:ascii="Arial" w:hAnsi="Arial" w:eastAsia="宋体" w:cs="Arial"/>
                <w:color w:val="000000"/>
                <w:sz w:val="20"/>
                <w:lang w:val="en-US" w:eastAsia="zh-CN"/>
              </w:rPr>
              <w:t>≥</w:t>
            </w:r>
            <w:r>
              <w:rPr>
                <w:rFonts w:hint="eastAsia" w:ascii="Arial" w:hAnsi="Arial" w:eastAsia="宋体" w:cs="Arial"/>
                <w:color w:val="000000"/>
                <w:sz w:val="20"/>
                <w:lang w:val="en-US" w:eastAsia="zh-CN"/>
              </w:rPr>
              <w:t>25</w:t>
            </w:r>
            <w:r>
              <w:rPr>
                <w:rFonts w:hint="eastAsia" w:ascii="宋体" w:hAnsi="宋体" w:eastAsia="宋体" w:cs="宋体"/>
                <w:color w:val="000000"/>
                <w:sz w:val="20"/>
                <w:lang w:val="en-US" w:eastAsia="zh-CN"/>
              </w:rPr>
              <w:t>%</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村级组织运转成本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=13079.元/村/月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资金下放的及时率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default" w:ascii="Arial" w:hAnsi="Arial" w:eastAsia="宋体" w:cs="Arial"/>
                <w:color w:val="000000"/>
                <w:sz w:val="20"/>
                <w:lang w:val="en-US" w:eastAsia="zh-CN"/>
              </w:rPr>
              <w:t>≥</w:t>
            </w: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资金发放对村帮助率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default" w:ascii="Arial" w:hAnsi="Arial" w:eastAsia="宋体" w:cs="Arial"/>
                <w:color w:val="000000"/>
                <w:sz w:val="20"/>
                <w:lang w:val="en-US" w:eastAsia="zh-CN"/>
              </w:rPr>
              <w:t>≥</w:t>
            </w: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村干部满意度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default" w:ascii="Arial" w:hAnsi="Arial" w:eastAsia="宋体" w:cs="Arial"/>
                <w:color w:val="000000"/>
                <w:sz w:val="20"/>
                <w:lang w:val="en-US" w:eastAsia="zh-CN"/>
              </w:rPr>
              <w:t>≥</w:t>
            </w:r>
            <w:r>
              <w:rPr>
                <w:rFonts w:hint="eastAsia" w:ascii="宋体" w:hAnsi="宋体" w:eastAsia="宋体" w:cs="宋体"/>
                <w:color w:val="000000"/>
                <w:sz w:val="20"/>
                <w:lang w:val="en-US" w:eastAsia="zh-CN"/>
              </w:rPr>
              <w:t>99%</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keepNext w:val="0"/>
        <w:keepLines w:val="0"/>
        <w:widowControl/>
        <w:suppressLineNumbers w:val="0"/>
        <w:jc w:val="left"/>
        <w:rPr>
          <w:u w:val="none"/>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u w:val="single"/>
          <w:lang w:val="en-US" w:eastAsia="zh-CN"/>
        </w:rPr>
        <w:t>431.69</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431.69</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w:t>
      </w:r>
      <w:r>
        <w:rPr>
          <w:rFonts w:hint="eastAsia" w:ascii="仿宋_GB2312" w:hAnsi="仿宋_GB2312" w:cs="仿宋_GB2312"/>
          <w:szCs w:val="32"/>
          <w:lang w:val="en-US" w:eastAsia="zh-CN"/>
        </w:rPr>
        <w:t>加</w:t>
      </w:r>
      <w:r>
        <w:rPr>
          <w:rFonts w:hint="eastAsia" w:ascii="仿宋_GB2312" w:hAnsi="仿宋_GB2312" w:cs="仿宋_GB2312"/>
          <w:szCs w:val="32"/>
          <w:u w:val="single"/>
          <w:lang w:val="en-US" w:eastAsia="zh-CN"/>
        </w:rPr>
        <w:t>7.57</w:t>
      </w:r>
      <w:r>
        <w:rPr>
          <w:rFonts w:hint="eastAsia" w:ascii="仿宋_GB2312" w:hAnsi="仿宋_GB2312" w:eastAsia="仿宋_GB2312" w:cs="仿宋_GB2312"/>
          <w:szCs w:val="32"/>
        </w:rPr>
        <w:t>万元，主要原因是</w:t>
      </w:r>
      <w:r>
        <w:rPr>
          <w:rFonts w:ascii="仿宋" w:hAnsi="仿宋" w:eastAsia="仿宋" w:cs="仿宋"/>
          <w:color w:val="000000"/>
          <w:kern w:val="0"/>
          <w:sz w:val="31"/>
          <w:szCs w:val="31"/>
          <w:u w:val="none"/>
          <w:lang w:val="en-US" w:eastAsia="zh-CN" w:bidi="ar"/>
        </w:rPr>
        <w:t>人员</w:t>
      </w:r>
      <w:r>
        <w:rPr>
          <w:rFonts w:hint="eastAsia" w:ascii="仿宋" w:hAnsi="仿宋" w:eastAsia="仿宋" w:cs="仿宋"/>
          <w:color w:val="000000"/>
          <w:kern w:val="0"/>
          <w:sz w:val="31"/>
          <w:szCs w:val="31"/>
          <w:u w:val="none"/>
          <w:lang w:val="en-US" w:eastAsia="zh-CN" w:bidi="ar"/>
        </w:rPr>
        <w:t>及日常各项缴费增加。</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u w:val="single"/>
          <w:lang w:val="en-US" w:eastAsia="zh-CN"/>
        </w:rPr>
        <w:t>431.69</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431.69</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u w:val="single"/>
          <w:lang w:val="en-US" w:eastAsia="zh-CN"/>
        </w:rPr>
        <w:t>431.69</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u w:val="single"/>
          <w:lang w:val="en-US" w:eastAsia="zh-CN"/>
        </w:rPr>
        <w:t>431.69</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368.91</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85.46</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62.78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14.54</w:t>
      </w:r>
      <w:r>
        <w:rPr>
          <w:rFonts w:hint="eastAsia" w:ascii="仿宋_GB2312" w:hAnsi="仿宋_GB2312" w:eastAsia="仿宋_GB2312" w:cs="仿宋_GB2312"/>
          <w:szCs w:val="32"/>
        </w:rPr>
        <w:t>%；事业单位经营支出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u w:val="single"/>
          <w:lang w:val="en-US" w:eastAsia="zh-CN"/>
        </w:rPr>
        <w:t>431.69</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431.69</w:t>
      </w:r>
      <w:r>
        <w:rPr>
          <w:rFonts w:hint="eastAsia" w:ascii="仿宋_GB2312" w:hAnsi="仿宋_GB2312" w:eastAsia="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u w:val="single"/>
          <w:lang w:val="en-US" w:eastAsia="zh-CN"/>
        </w:rPr>
        <w:t>275.15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kern w:val="0"/>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u w:val="single"/>
          <w:lang w:val="en-US" w:eastAsia="zh-CN"/>
        </w:rPr>
        <w:t>50.36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u w:val="single"/>
          <w:lang w:val="en-US" w:eastAsia="zh-CN"/>
        </w:rPr>
        <w:t>16.13</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u w:val="single"/>
          <w:lang w:val="en-US" w:eastAsia="zh-CN"/>
        </w:rPr>
        <w:t>62.78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u w:val="single"/>
          <w:lang w:val="en-US" w:eastAsia="zh-CN"/>
        </w:rPr>
        <w:t>27.27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u w:val="single"/>
          <w:lang w:val="en-US" w:eastAsia="zh-CN"/>
        </w:rPr>
        <w:t>431.69</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368.91</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85.46</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62.78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14.54</w:t>
      </w:r>
      <w:r>
        <w:rPr>
          <w:rFonts w:hint="eastAsia" w:ascii="仿宋_GB2312" w:hAnsi="仿宋_GB2312" w:eastAsia="仿宋_GB2312" w:cs="仿宋_GB2312"/>
          <w:szCs w:val="32"/>
        </w:rPr>
        <w:t>%。基本支出中，人员经费</w:t>
      </w:r>
      <w:r>
        <w:rPr>
          <w:rFonts w:hint="eastAsia" w:ascii="仿宋_GB2312" w:hAnsi="仿宋_GB2312" w:cs="仿宋_GB2312"/>
          <w:szCs w:val="32"/>
          <w:u w:val="single"/>
          <w:lang w:val="en-US" w:eastAsia="zh-CN"/>
        </w:rPr>
        <w:t>343.95</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93.23</w:t>
      </w:r>
      <w:r>
        <w:rPr>
          <w:rFonts w:hint="eastAsia" w:ascii="仿宋_GB2312" w:hAnsi="仿宋_GB2312" w:eastAsia="仿宋_GB2312" w:cs="仿宋_GB2312"/>
          <w:szCs w:val="32"/>
        </w:rPr>
        <w:t>%；公用经费</w:t>
      </w:r>
      <w:r>
        <w:rPr>
          <w:rFonts w:hint="eastAsia" w:ascii="仿宋_GB2312" w:hAnsi="仿宋_GB2312" w:cs="仿宋_GB2312"/>
          <w:szCs w:val="32"/>
          <w:u w:val="single"/>
          <w:lang w:val="en-US" w:eastAsia="zh-CN"/>
        </w:rPr>
        <w:t>24.96</w:t>
      </w:r>
      <w:r>
        <w:rPr>
          <w:rFonts w:hint="eastAsia" w:ascii="仿宋_GB2312" w:hAnsi="仿宋_GB2312" w:eastAsia="仿宋_GB2312" w:cs="仿宋_GB2312"/>
          <w:szCs w:val="32"/>
        </w:rPr>
        <w:t>万元</w:t>
      </w:r>
      <w:r>
        <w:rPr>
          <w:rFonts w:hint="eastAsia" w:ascii="仿宋_GB2312" w:hAnsi="仿宋_GB2312" w:cs="仿宋_GB2312"/>
          <w:szCs w:val="32"/>
          <w:lang w:eastAsia="zh-CN"/>
        </w:rPr>
        <w:t>，</w:t>
      </w:r>
      <w:r>
        <w:rPr>
          <w:rFonts w:hint="eastAsia" w:ascii="仿宋_GB2312" w:hAnsi="仿宋_GB2312" w:eastAsia="仿宋_GB2312" w:cs="仿宋_GB2312"/>
          <w:szCs w:val="32"/>
        </w:rPr>
        <w:t>占</w:t>
      </w:r>
      <w:r>
        <w:rPr>
          <w:rFonts w:hint="eastAsia" w:ascii="仿宋_GB2312" w:hAnsi="仿宋_GB2312" w:cs="仿宋_GB2312"/>
          <w:szCs w:val="32"/>
          <w:u w:val="single"/>
          <w:lang w:val="en-US" w:eastAsia="zh-CN"/>
        </w:rPr>
        <w:t>6.77</w:t>
      </w:r>
      <w:r>
        <w:rPr>
          <w:rFonts w:hint="eastAsia" w:ascii="仿宋_GB2312" w:hAnsi="仿宋_GB2312" w:eastAsia="仿宋_GB2312" w:cs="仿宋_GB2312"/>
          <w:szCs w:val="32"/>
        </w:rPr>
        <w:t>%。</w:t>
      </w:r>
    </w:p>
    <w:p>
      <w:pPr>
        <w:spacing w:line="520" w:lineRule="exact"/>
        <w:ind w:firstLine="200"/>
        <w:rPr>
          <w:rFonts w:hint="eastAsia" w:ascii="仿宋_GB2312" w:hAnsi="仿宋_GB2312" w:cs="仿宋_GB2312"/>
          <w:szCs w:val="32"/>
          <w:lang w:val="en-US" w:eastAsia="zh-CN"/>
        </w:rPr>
      </w:pPr>
      <w:r>
        <w:rPr>
          <w:rFonts w:hint="eastAsia" w:ascii="仿宋_GB2312" w:hAnsi="仿宋_GB2312" w:eastAsia="仿宋_GB2312" w:cs="仿宋_GB2312"/>
          <w:szCs w:val="32"/>
        </w:rPr>
        <w:t>一般公共服务（类）支出</w:t>
      </w:r>
      <w:r>
        <w:rPr>
          <w:rFonts w:hint="eastAsia" w:ascii="仿宋_GB2312" w:hAnsi="仿宋_GB2312" w:cs="仿宋_GB2312"/>
          <w:szCs w:val="32"/>
          <w:u w:val="single"/>
          <w:lang w:val="en-US" w:eastAsia="zh-CN"/>
        </w:rPr>
        <w:t>275.15</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63.74</w:t>
      </w:r>
      <w:r>
        <w:rPr>
          <w:rFonts w:hint="eastAsia" w:ascii="仿宋_GB2312" w:hAnsi="仿宋_GB2312" w:eastAsia="仿宋_GB2312" w:cs="仿宋_GB2312"/>
          <w:szCs w:val="32"/>
        </w:rPr>
        <w:t>%</w:t>
      </w:r>
      <w:r>
        <w:rPr>
          <w:rFonts w:hint="eastAsia" w:ascii="仿宋_GB2312" w:hAnsi="仿宋_GB2312" w:cs="仿宋_GB2312"/>
          <w:szCs w:val="32"/>
          <w:lang w:eastAsia="zh-CN"/>
        </w:rPr>
        <w:t>，</w:t>
      </w:r>
      <w:r>
        <w:rPr>
          <w:rFonts w:hint="eastAsia" w:ascii="仿宋_GB2312" w:hAnsi="仿宋_GB2312" w:cs="仿宋_GB2312"/>
          <w:szCs w:val="32"/>
          <w:lang w:val="en-US" w:eastAsia="zh-CN"/>
        </w:rPr>
        <w:t>主要用于</w:t>
      </w:r>
    </w:p>
    <w:p>
      <w:pPr>
        <w:keepNext w:val="0"/>
        <w:keepLines w:val="0"/>
        <w:widowControl/>
        <w:suppressLineNumbers w:val="0"/>
        <w:jc w:val="left"/>
        <w:rPr>
          <w:u w:val="none"/>
        </w:rPr>
      </w:pPr>
      <w:r>
        <w:rPr>
          <w:rFonts w:ascii="仿宋" w:hAnsi="仿宋" w:eastAsia="仿宋" w:cs="仿宋"/>
          <w:color w:val="000000"/>
          <w:kern w:val="0"/>
          <w:sz w:val="31"/>
          <w:szCs w:val="31"/>
          <w:u w:val="none"/>
          <w:lang w:val="en-US" w:eastAsia="zh-CN" w:bidi="ar"/>
        </w:rPr>
        <w:t>部分人员经费和日常公用经费支出</w:t>
      </w:r>
      <w:r>
        <w:rPr>
          <w:rFonts w:hint="eastAsia" w:ascii="仿宋" w:hAnsi="仿宋" w:eastAsia="仿宋" w:cs="仿宋"/>
          <w:color w:val="000000"/>
          <w:kern w:val="0"/>
          <w:sz w:val="31"/>
          <w:szCs w:val="31"/>
          <w:u w:val="none"/>
          <w:lang w:val="en-US" w:eastAsia="zh-CN" w:bidi="ar"/>
        </w:rPr>
        <w:t>。</w:t>
      </w:r>
    </w:p>
    <w:p>
      <w:pPr>
        <w:spacing w:line="520" w:lineRule="exact"/>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国防（类）支出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r>
        <w:rPr>
          <w:rFonts w:hint="eastAsia" w:ascii="仿宋_GB2312" w:hAnsi="仿宋_GB2312" w:cs="仿宋_GB2312"/>
          <w:szCs w:val="32"/>
          <w:lang w:eastAsia="zh-CN"/>
        </w:rPr>
        <w:t>。</w:t>
      </w:r>
    </w:p>
    <w:p>
      <w:pPr>
        <w:spacing w:line="520" w:lineRule="exact"/>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r>
        <w:rPr>
          <w:rFonts w:hint="eastAsia" w:ascii="仿宋_GB2312" w:hAnsi="仿宋_GB2312" w:cs="仿宋_GB2312"/>
          <w:szCs w:val="32"/>
          <w:lang w:eastAsia="zh-CN"/>
        </w:rPr>
        <w:t>。</w:t>
      </w:r>
    </w:p>
    <w:p>
      <w:pPr>
        <w:spacing w:line="520" w:lineRule="exact"/>
        <w:rPr>
          <w:rFonts w:hint="eastAsia" w:ascii="仿宋_GB2312" w:hAnsi="仿宋_GB2312" w:cs="仿宋_GB2312"/>
          <w:szCs w:val="32"/>
          <w:lang w:eastAsia="zh-CN"/>
        </w:rPr>
      </w:pPr>
      <w:r>
        <w:rPr>
          <w:rFonts w:hint="eastAsia" w:ascii="仿宋_GB2312" w:hAnsi="仿宋_GB2312" w:eastAsia="仿宋_GB2312" w:cs="仿宋_GB2312"/>
          <w:szCs w:val="32"/>
        </w:rPr>
        <w:t>科学技术（类）支出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r>
        <w:rPr>
          <w:rFonts w:hint="eastAsia" w:ascii="仿宋_GB2312" w:hAnsi="仿宋_GB2312" w:cs="仿宋_GB2312"/>
          <w:szCs w:val="32"/>
          <w:lang w:eastAsia="zh-CN"/>
        </w:rPr>
        <w:t>。</w:t>
      </w:r>
    </w:p>
    <w:p>
      <w:pPr>
        <w:spacing w:line="520" w:lineRule="exact"/>
        <w:rPr>
          <w:rFonts w:hint="eastAsia" w:ascii="仿宋_GB2312" w:hAnsi="仿宋_GB2312" w:cs="仿宋_GB2312"/>
          <w:szCs w:val="32"/>
          <w:u w:val="none"/>
          <w:lang w:val="en-US" w:eastAsia="zh-CN"/>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u w:val="none"/>
          <w:lang w:val="en-US" w:eastAsia="zh-CN"/>
        </w:rPr>
        <w:t>。</w:t>
      </w:r>
    </w:p>
    <w:p>
      <w:pPr>
        <w:keepNext w:val="0"/>
        <w:keepLines w:val="0"/>
        <w:widowControl/>
        <w:suppressLineNumbers w:val="0"/>
        <w:jc w:val="left"/>
        <w:rPr>
          <w:u w:val="none"/>
        </w:rPr>
      </w:pPr>
      <w:r>
        <w:rPr>
          <w:rFonts w:hint="eastAsia" w:ascii="仿宋_GB2312" w:hAnsi="仿宋_GB2312" w:eastAsia="仿宋_GB2312" w:cs="仿宋_GB2312"/>
          <w:szCs w:val="32"/>
        </w:rPr>
        <w:t>社会保障和就业（类）支出</w:t>
      </w:r>
      <w:r>
        <w:rPr>
          <w:rFonts w:hint="eastAsia" w:ascii="仿宋_GB2312" w:hAnsi="仿宋_GB2312" w:cs="仿宋_GB2312"/>
          <w:szCs w:val="32"/>
          <w:u w:val="single"/>
          <w:lang w:val="en-US" w:eastAsia="zh-CN"/>
        </w:rPr>
        <w:t>50.36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11.67</w:t>
      </w:r>
      <w:r>
        <w:rPr>
          <w:rFonts w:hint="eastAsia" w:ascii="仿宋_GB2312" w:hAnsi="仿宋_GB2312" w:eastAsia="仿宋_GB2312" w:cs="仿宋_GB2312"/>
          <w:szCs w:val="32"/>
        </w:rPr>
        <w:t>%</w:t>
      </w:r>
      <w:r>
        <w:rPr>
          <w:rFonts w:hint="eastAsia" w:ascii="仿宋_GB2312" w:hAnsi="仿宋_GB2312" w:cs="仿宋_GB2312"/>
          <w:szCs w:val="32"/>
          <w:lang w:eastAsia="zh-CN"/>
        </w:rPr>
        <w:t>。</w:t>
      </w:r>
      <w:r>
        <w:rPr>
          <w:rFonts w:hint="eastAsia" w:ascii="仿宋_GB2312" w:hAnsi="仿宋_GB2312" w:eastAsia="仿宋_GB2312" w:cs="仿宋_GB2312"/>
          <w:szCs w:val="32"/>
        </w:rPr>
        <w:t>主要用于</w:t>
      </w:r>
      <w:r>
        <w:rPr>
          <w:rFonts w:ascii="仿宋" w:hAnsi="仿宋" w:eastAsia="仿宋" w:cs="仿宋"/>
          <w:color w:val="000000"/>
          <w:kern w:val="0"/>
          <w:sz w:val="31"/>
          <w:szCs w:val="31"/>
          <w:u w:val="none"/>
          <w:lang w:val="en-US" w:eastAsia="zh-CN" w:bidi="ar"/>
        </w:rPr>
        <w:t>职工养老保险和职业年金缴费支出</w:t>
      </w:r>
      <w:r>
        <w:rPr>
          <w:rFonts w:hint="eastAsia" w:ascii="仿宋" w:hAnsi="仿宋" w:eastAsia="仿宋" w:cs="仿宋"/>
          <w:color w:val="000000"/>
          <w:kern w:val="0"/>
          <w:sz w:val="31"/>
          <w:szCs w:val="31"/>
          <w:u w:val="none"/>
          <w:lang w:val="en-US" w:eastAsia="zh-CN" w:bidi="ar"/>
        </w:rPr>
        <w:t>。</w:t>
      </w:r>
    </w:p>
    <w:p>
      <w:pPr>
        <w:keepNext w:val="0"/>
        <w:keepLines w:val="0"/>
        <w:widowControl/>
        <w:suppressLineNumbers w:val="0"/>
        <w:jc w:val="left"/>
        <w:rPr>
          <w:u w:val="none"/>
        </w:rPr>
      </w:pPr>
      <w:r>
        <w:rPr>
          <w:rFonts w:hint="eastAsia" w:ascii="仿宋_GB2312" w:hAnsi="仿宋_GB2312" w:eastAsia="仿宋_GB2312" w:cs="仿宋_GB2312"/>
          <w:szCs w:val="32"/>
        </w:rPr>
        <w:t>农林水支出（类）支出</w:t>
      </w:r>
      <w:r>
        <w:rPr>
          <w:rFonts w:hint="eastAsia" w:ascii="仿宋_GB2312" w:hAnsi="仿宋_GB2312" w:cs="仿宋_GB2312"/>
          <w:szCs w:val="32"/>
          <w:u w:val="single"/>
          <w:lang w:val="en-US" w:eastAsia="zh-CN"/>
        </w:rPr>
        <w:t>62.78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14.54</w:t>
      </w:r>
      <w:r>
        <w:rPr>
          <w:rFonts w:hint="eastAsia" w:ascii="仿宋_GB2312" w:hAnsi="仿宋_GB2312" w:eastAsia="仿宋_GB2312" w:cs="仿宋_GB2312"/>
          <w:szCs w:val="32"/>
        </w:rPr>
        <w:t>%，主要用于</w:t>
      </w:r>
      <w:r>
        <w:rPr>
          <w:rFonts w:ascii="仿宋" w:hAnsi="仿宋" w:eastAsia="仿宋" w:cs="仿宋"/>
          <w:color w:val="000000"/>
          <w:kern w:val="0"/>
          <w:sz w:val="31"/>
          <w:szCs w:val="31"/>
          <w:u w:val="none"/>
          <w:lang w:val="en-US" w:eastAsia="zh-CN" w:bidi="ar"/>
        </w:rPr>
        <w:t xml:space="preserve">本 </w:t>
      </w:r>
    </w:p>
    <w:p>
      <w:pPr>
        <w:keepNext w:val="0"/>
        <w:keepLines w:val="0"/>
        <w:widowControl/>
        <w:suppressLineNumbers w:val="0"/>
        <w:jc w:val="left"/>
        <w:rPr>
          <w:u w:val="none"/>
        </w:rPr>
      </w:pPr>
      <w:r>
        <w:rPr>
          <w:rFonts w:hint="eastAsia" w:ascii="仿宋" w:hAnsi="仿宋" w:eastAsia="仿宋" w:cs="仿宋"/>
          <w:color w:val="000000"/>
          <w:kern w:val="0"/>
          <w:sz w:val="31"/>
          <w:szCs w:val="31"/>
          <w:u w:val="none"/>
          <w:lang w:val="en-US" w:eastAsia="zh-CN" w:bidi="ar"/>
        </w:rPr>
        <w:t>年度村级组织运行经费</w:t>
      </w:r>
      <w:r>
        <w:rPr>
          <w:rFonts w:hint="eastAsia" w:ascii="仿宋" w:hAnsi="仿宋" w:eastAsia="仿宋" w:cs="仿宋"/>
          <w:color w:val="000000"/>
          <w:kern w:val="0"/>
          <w:sz w:val="31"/>
          <w:szCs w:val="31"/>
          <w:u w:val="none"/>
          <w:lang w:val="en-US" w:eastAsia="zh-CN" w:bidi="ar"/>
        </w:rPr>
        <w:t>。</w:t>
      </w:r>
    </w:p>
    <w:p>
      <w:pPr>
        <w:spacing w:line="520" w:lineRule="exact"/>
        <w:rPr>
          <w:rFonts w:hint="eastAsia" w:ascii="仿宋_GB2312" w:hAnsi="仿宋_GB2312" w:cs="仿宋_GB2312"/>
          <w:szCs w:val="32"/>
          <w:u w:val="none"/>
          <w:lang w:val="en-US" w:eastAsia="zh-CN"/>
        </w:rPr>
      </w:pPr>
      <w:r>
        <w:rPr>
          <w:rFonts w:hint="eastAsia" w:ascii="仿宋_GB2312" w:hAnsi="仿宋_GB2312" w:eastAsia="仿宋_GB2312" w:cs="仿宋_GB2312"/>
          <w:szCs w:val="32"/>
        </w:rPr>
        <w:t>住房保障（类）支出</w:t>
      </w:r>
      <w:r>
        <w:rPr>
          <w:rFonts w:hint="eastAsia" w:ascii="仿宋_GB2312" w:hAnsi="仿宋_GB2312" w:cs="仿宋_GB2312"/>
          <w:szCs w:val="32"/>
          <w:u w:val="single"/>
          <w:lang w:val="en-US" w:eastAsia="zh-CN"/>
        </w:rPr>
        <w:t>27.27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6.32</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本年</w:t>
      </w:r>
      <w:r>
        <w:rPr>
          <w:rFonts w:hint="eastAsia" w:ascii="仿宋_GB2312" w:hAnsi="仿宋_GB2312" w:cs="仿宋_GB2312"/>
          <w:szCs w:val="32"/>
          <w:u w:val="none"/>
          <w:lang w:val="en-US" w:eastAsia="zh-CN"/>
        </w:rPr>
        <w:t>住房公积金缴纳支出</w:t>
      </w:r>
      <w:r>
        <w:rPr>
          <w:rFonts w:hint="eastAsia" w:ascii="仿宋_GB2312" w:hAnsi="仿宋_GB2312" w:cs="仿宋_GB2312"/>
          <w:szCs w:val="32"/>
          <w:u w:val="none"/>
          <w:lang w:val="en-US" w:eastAsia="zh-CN"/>
        </w:rPr>
        <w:t>。</w:t>
      </w:r>
    </w:p>
    <w:p>
      <w:pPr>
        <w:keepNext w:val="0"/>
        <w:keepLines w:val="0"/>
        <w:widowControl/>
        <w:suppressLineNumbers w:val="0"/>
        <w:jc w:val="left"/>
        <w:rPr>
          <w:u w:val="none"/>
        </w:rPr>
      </w:pPr>
      <w:r>
        <w:rPr>
          <w:rFonts w:ascii="仿宋" w:hAnsi="仿宋" w:eastAsia="仿宋" w:cs="仿宋"/>
          <w:color w:val="000000"/>
          <w:kern w:val="0"/>
          <w:sz w:val="31"/>
          <w:szCs w:val="31"/>
          <w:lang w:val="en-US" w:eastAsia="zh-CN" w:bidi="ar"/>
        </w:rPr>
        <w:t>卫生健康（类）支出</w:t>
      </w:r>
      <w:r>
        <w:rPr>
          <w:rFonts w:hint="eastAsia" w:ascii="仿宋" w:hAnsi="仿宋" w:eastAsia="仿宋" w:cs="仿宋"/>
          <w:color w:val="000000"/>
          <w:kern w:val="0"/>
          <w:sz w:val="31"/>
          <w:szCs w:val="31"/>
          <w:u w:val="single"/>
          <w:lang w:val="en-US" w:eastAsia="zh-CN" w:bidi="ar"/>
        </w:rPr>
        <w:t>16.13</w:t>
      </w:r>
      <w:r>
        <w:rPr>
          <w:rFonts w:ascii="仿宋" w:hAnsi="仿宋" w:eastAsia="仿宋" w:cs="仿宋"/>
          <w:color w:val="000000"/>
          <w:kern w:val="0"/>
          <w:sz w:val="31"/>
          <w:szCs w:val="31"/>
          <w:u w:val="single"/>
          <w:lang w:val="en-US" w:eastAsia="zh-CN" w:bidi="ar"/>
        </w:rPr>
        <w:t xml:space="preserve"> </w:t>
      </w:r>
      <w:r>
        <w:rPr>
          <w:rFonts w:ascii="仿宋" w:hAnsi="仿宋" w:eastAsia="仿宋" w:cs="仿宋"/>
          <w:color w:val="000000"/>
          <w:kern w:val="0"/>
          <w:sz w:val="31"/>
          <w:szCs w:val="31"/>
          <w:lang w:val="en-US" w:eastAsia="zh-CN" w:bidi="ar"/>
        </w:rPr>
        <w:t xml:space="preserve">万元，占 </w:t>
      </w:r>
      <w:r>
        <w:rPr>
          <w:rFonts w:hint="eastAsia" w:ascii="仿宋" w:hAnsi="仿宋" w:eastAsia="仿宋" w:cs="仿宋"/>
          <w:color w:val="000000"/>
          <w:kern w:val="0"/>
          <w:sz w:val="31"/>
          <w:szCs w:val="31"/>
          <w:u w:val="single"/>
          <w:lang w:val="en-US" w:eastAsia="zh-CN" w:bidi="ar"/>
        </w:rPr>
        <w:t>3.73</w:t>
      </w:r>
      <w:r>
        <w:rPr>
          <w:rFonts w:ascii="仿宋" w:hAnsi="仿宋" w:eastAsia="仿宋" w:cs="仿宋"/>
          <w:color w:val="000000"/>
          <w:kern w:val="0"/>
          <w:sz w:val="31"/>
          <w:szCs w:val="31"/>
          <w:lang w:val="en-US" w:eastAsia="zh-CN" w:bidi="ar"/>
        </w:rPr>
        <w:t>%，主要用于</w:t>
      </w:r>
      <w:r>
        <w:rPr>
          <w:rFonts w:ascii="仿宋" w:hAnsi="仿宋" w:eastAsia="仿宋" w:cs="仿宋"/>
          <w:color w:val="000000"/>
          <w:kern w:val="0"/>
          <w:sz w:val="31"/>
          <w:szCs w:val="31"/>
          <w:u w:val="none"/>
          <w:lang w:val="en-US" w:eastAsia="zh-CN" w:bidi="ar"/>
        </w:rPr>
        <w:t xml:space="preserve">职工医 </w:t>
      </w:r>
    </w:p>
    <w:p>
      <w:pPr>
        <w:keepNext w:val="0"/>
        <w:keepLines w:val="0"/>
        <w:widowControl/>
        <w:suppressLineNumbers w:val="0"/>
        <w:jc w:val="left"/>
        <w:rPr>
          <w:rFonts w:hint="eastAsia" w:eastAsia="仿宋"/>
          <w:u w:val="none"/>
          <w:lang w:val="en-US" w:eastAsia="zh-CN"/>
        </w:rPr>
      </w:pPr>
      <w:r>
        <w:rPr>
          <w:rFonts w:hint="eastAsia" w:ascii="仿宋" w:hAnsi="仿宋" w:eastAsia="仿宋" w:cs="仿宋"/>
          <w:color w:val="000000"/>
          <w:kern w:val="0"/>
          <w:sz w:val="31"/>
          <w:szCs w:val="31"/>
          <w:u w:val="none"/>
          <w:lang w:val="en-US" w:eastAsia="zh-CN" w:bidi="ar"/>
        </w:rPr>
        <w:t>疗保险支出。</w:t>
      </w:r>
    </w:p>
    <w:p>
      <w:pPr>
        <w:spacing w:line="520" w:lineRule="exact"/>
        <w:rPr>
          <w:rFonts w:hint="default" w:ascii="仿宋_GB2312" w:hAnsi="仿宋_GB2312" w:cs="仿宋_GB2312"/>
          <w:szCs w:val="32"/>
          <w:u w:val="none"/>
          <w:lang w:val="en-US" w:eastAsia="zh-CN"/>
        </w:rPr>
      </w:pPr>
    </w:p>
    <w:p>
      <w:pPr>
        <w:spacing w:line="520" w:lineRule="exact"/>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u w:val="single"/>
          <w:lang w:val="en-US" w:eastAsia="zh-CN"/>
        </w:rPr>
        <w:t>368.91</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u w:val="single"/>
          <w:lang w:val="en-US" w:eastAsia="zh-CN"/>
        </w:rPr>
        <w:t>343.95</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u w:val="single"/>
          <w:lang w:val="en-US" w:eastAsia="zh-CN"/>
        </w:rPr>
        <w:t>24.96</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hint="eastAsia" w:ascii="黑体" w:hAnsi="黑体" w:eastAsia="黑体" w:cs="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keepNext w:val="0"/>
        <w:keepLines w:val="0"/>
        <w:widowControl/>
        <w:suppressLineNumbers w:val="0"/>
        <w:ind w:firstLine="1240" w:firstLineChars="400"/>
        <w:jc w:val="left"/>
        <w:rPr>
          <w:rFonts w:ascii="仿宋" w:hAnsi="仿宋" w:eastAsia="仿宋" w:cs="仿宋"/>
          <w:color w:val="000000"/>
          <w:kern w:val="0"/>
          <w:sz w:val="31"/>
          <w:szCs w:val="31"/>
          <w:lang w:val="en-US" w:eastAsia="zh-CN" w:bidi="ar"/>
        </w:rPr>
      </w:pPr>
      <w:r>
        <w:rPr>
          <w:rFonts w:ascii="仿宋" w:hAnsi="仿宋" w:eastAsia="仿宋" w:cs="仿宋"/>
          <w:color w:val="000000"/>
          <w:kern w:val="0"/>
          <w:sz w:val="31"/>
          <w:szCs w:val="31"/>
          <w:lang w:val="en-US" w:eastAsia="zh-CN" w:bidi="ar"/>
        </w:rPr>
        <w:t>本部门无一般公共预算</w:t>
      </w:r>
      <w:r>
        <w:rPr>
          <w:rFonts w:hint="eastAsia" w:ascii="黑体" w:hAnsi="黑体" w:eastAsia="黑体" w:cs="黑体"/>
          <w:szCs w:val="30"/>
        </w:rPr>
        <w:t>“</w:t>
      </w:r>
      <w:r>
        <w:rPr>
          <w:rFonts w:hint="eastAsia" w:ascii="黑体" w:hAnsi="黑体" w:eastAsia="黑体" w:cs="黑体"/>
          <w:b w:val="0"/>
          <w:bCs w:val="0"/>
          <w:sz w:val="28"/>
          <w:szCs w:val="28"/>
        </w:rPr>
        <w:t>三公”经费</w:t>
      </w:r>
      <w:r>
        <w:rPr>
          <w:rFonts w:ascii="仿宋" w:hAnsi="仿宋" w:eastAsia="仿宋" w:cs="仿宋"/>
          <w:color w:val="000000"/>
          <w:kern w:val="0"/>
          <w:sz w:val="31"/>
          <w:szCs w:val="31"/>
          <w:lang w:val="en-US" w:eastAsia="zh-CN" w:bidi="ar"/>
        </w:rPr>
        <w:t>拨款</w:t>
      </w:r>
    </w:p>
    <w:p>
      <w:pPr>
        <w:keepNext w:val="0"/>
        <w:keepLines w:val="0"/>
        <w:widowControl/>
        <w:suppressLineNumbers w:val="0"/>
        <w:ind w:firstLine="1240" w:firstLineChars="400"/>
        <w:jc w:val="left"/>
        <w:rPr>
          <w:rFonts w:ascii="仿宋" w:hAnsi="仿宋" w:eastAsia="仿宋" w:cs="仿宋"/>
          <w:color w:val="000000"/>
          <w:kern w:val="0"/>
          <w:sz w:val="31"/>
          <w:szCs w:val="31"/>
          <w:lang w:val="en-US" w:eastAsia="zh-CN" w:bidi="ar"/>
        </w:rPr>
      </w:pP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keepNext w:val="0"/>
        <w:keepLines w:val="0"/>
        <w:widowControl/>
        <w:suppressLineNumbers w:val="0"/>
        <w:ind w:firstLine="1240" w:firstLineChars="400"/>
        <w:jc w:val="left"/>
        <w:rPr>
          <w:rFonts w:ascii="仿宋" w:hAnsi="仿宋" w:eastAsia="仿宋" w:cs="仿宋"/>
          <w:color w:val="000000"/>
          <w:kern w:val="0"/>
          <w:sz w:val="31"/>
          <w:szCs w:val="31"/>
          <w:lang w:val="en-US" w:eastAsia="zh-CN" w:bidi="ar"/>
        </w:rPr>
      </w:pPr>
    </w:p>
    <w:p>
      <w:pPr>
        <w:ind w:firstLine="640" w:firstLineChars="200"/>
        <w:rPr>
          <w:rFonts w:hint="eastAsia" w:ascii="黑体" w:hAnsi="黑体" w:eastAsia="黑体" w:cs="黑体"/>
          <w:szCs w:val="30"/>
        </w:rPr>
      </w:pPr>
    </w:p>
    <w:p>
      <w:pPr>
        <w:ind w:firstLine="640" w:firstLineChars="200"/>
        <w:rPr>
          <w:rFonts w:hint="eastAsia" w:ascii="黑体" w:hAnsi="黑体" w:eastAsia="黑体" w:cs="黑体"/>
          <w:szCs w:val="32"/>
        </w:rPr>
      </w:pP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keepNext w:val="0"/>
        <w:keepLines w:val="0"/>
        <w:widowControl/>
        <w:suppressLineNumbers w:val="0"/>
        <w:ind w:firstLine="1240" w:firstLineChars="400"/>
        <w:jc w:val="left"/>
      </w:pPr>
      <w:r>
        <w:rPr>
          <w:rFonts w:ascii="仿宋" w:hAnsi="仿宋" w:eastAsia="仿宋" w:cs="仿宋"/>
          <w:color w:val="000000"/>
          <w:kern w:val="0"/>
          <w:sz w:val="31"/>
          <w:szCs w:val="31"/>
          <w:lang w:val="en-US" w:eastAsia="zh-CN" w:bidi="ar"/>
        </w:rPr>
        <w:t>本部门无政府性基金预算拨款</w:t>
      </w: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960" w:firstLineChars="300"/>
        <w:rPr>
          <w:rFonts w:eastAsia="楷体"/>
          <w:szCs w:val="32"/>
        </w:rPr>
      </w:pPr>
      <w:r>
        <w:rPr>
          <w:rFonts w:eastAsia="楷体"/>
          <w:szCs w:val="32"/>
        </w:rPr>
        <w:t>本部门无</w:t>
      </w:r>
      <w:r>
        <w:rPr>
          <w:rFonts w:hint="eastAsia" w:eastAsia="楷体"/>
          <w:szCs w:val="32"/>
        </w:rPr>
        <w:t>国有资本经营</w:t>
      </w:r>
      <w:r>
        <w:rPr>
          <w:rFonts w:eastAsia="楷体"/>
          <w:szCs w:val="32"/>
        </w:rPr>
        <w:t>预算拨款</w:t>
      </w:r>
    </w:p>
    <w:p>
      <w:pPr>
        <w:ind w:firstLine="640" w:firstLineChars="200"/>
        <w:rPr>
          <w:rFonts w:hint="eastAsia" w:ascii="黑体" w:hAnsi="黑体" w:eastAsia="黑体" w:cs="黑体"/>
          <w:szCs w:val="32"/>
          <w:highlight w:val="none"/>
        </w:rPr>
      </w:pPr>
    </w:p>
    <w:p>
      <w:pPr>
        <w:ind w:firstLine="640" w:firstLineChars="20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年部门本级事业单位的机关运行经费财政拨款预算</w:t>
      </w:r>
      <w:r>
        <w:rPr>
          <w:rFonts w:hint="eastAsia" w:ascii="仿宋_GB2312" w:hAnsi="仿宋_GB2312" w:cs="仿宋_GB2312"/>
          <w:szCs w:val="32"/>
          <w:lang w:val="en-US" w:eastAsia="zh-CN"/>
        </w:rPr>
        <w:t>24.96</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2.88</w:t>
      </w:r>
      <w:r>
        <w:rPr>
          <w:rFonts w:hint="eastAsia" w:ascii="仿宋_GB2312" w:hAnsi="仿宋_GB2312" w:eastAsia="仿宋_GB2312" w:cs="仿宋_GB2312"/>
          <w:szCs w:val="32"/>
        </w:rPr>
        <w:t>万元，增长</w:t>
      </w:r>
      <w:r>
        <w:rPr>
          <w:rFonts w:hint="eastAsia" w:ascii="仿宋_GB2312" w:hAnsi="仿宋_GB2312" w:cs="仿宋_GB2312"/>
          <w:szCs w:val="32"/>
          <w:u w:val="single"/>
          <w:lang w:val="en-US" w:eastAsia="zh-CN"/>
        </w:rPr>
        <w:t>13.04</w:t>
      </w:r>
      <w:r>
        <w:rPr>
          <w:rFonts w:hint="eastAsia" w:ascii="仿宋_GB2312" w:hAnsi="仿宋_GB2312" w:eastAsia="仿宋_GB2312" w:cs="仿宋_GB2312"/>
          <w:szCs w:val="32"/>
        </w:rPr>
        <w:t>%，主要原因是</w:t>
      </w:r>
      <w:r>
        <w:rPr>
          <w:rFonts w:hint="eastAsia" w:ascii="仿宋_GB2312" w:hAnsi="仿宋_GB2312" w:cs="仿宋_GB2312"/>
          <w:szCs w:val="32"/>
          <w:u w:val="none"/>
          <w:lang w:val="en-US" w:eastAsia="zh-CN"/>
        </w:rPr>
        <w:t>增加了电费取暖费</w:t>
      </w:r>
      <w:r>
        <w:rPr>
          <w:rFonts w:hint="eastAsia" w:ascii="仿宋_GB2312" w:hAnsi="仿宋_GB2312" w:eastAsia="仿宋_GB2312" w:cs="仿宋_GB2312"/>
          <w:szCs w:val="32"/>
        </w:rPr>
        <w:t>。</w:t>
      </w:r>
    </w:p>
    <w:p>
      <w:pPr>
        <w:keepNext w:val="0"/>
        <w:keepLines w:val="0"/>
        <w:widowControl/>
        <w:suppressLineNumbers w:val="0"/>
        <w:jc w:val="left"/>
      </w:pPr>
      <w:r>
        <w:rPr>
          <w:rFonts w:hint="eastAsia" w:ascii="仿宋_GB2312" w:hAnsi="仿宋_GB2312" w:cs="仿宋_GB2312"/>
          <w:szCs w:val="32"/>
          <w:lang w:val="en-US" w:eastAsia="zh-CN"/>
        </w:rPr>
        <w:t xml:space="preserve"> </w:t>
      </w:r>
    </w:p>
    <w:p>
      <w:pPr>
        <w:keepNext w:val="0"/>
        <w:keepLines w:val="0"/>
        <w:widowControl/>
        <w:numPr>
          <w:ilvl w:val="0"/>
          <w:numId w:val="2"/>
        </w:numPr>
        <w:suppressLineNumbers w:val="0"/>
        <w:ind w:firstLine="640" w:firstLineChars="200"/>
        <w:jc w:val="left"/>
        <w:rPr>
          <w:rFonts w:hint="eastAsia" w:ascii="仿宋_GB2312" w:hAnsi="仿宋_GB2312" w:eastAsia="仿宋_GB2312" w:cs="仿宋_GB2312"/>
          <w:szCs w:val="32"/>
        </w:rPr>
      </w:pPr>
      <w:r>
        <w:rPr>
          <w:rFonts w:hint="eastAsia" w:ascii="仿宋_GB2312" w:hAnsi="仿宋_GB2312" w:eastAsia="仿宋_GB2312" w:cs="仿宋_GB2312"/>
          <w:szCs w:val="32"/>
        </w:rPr>
        <w:t>政府采购情况</w:t>
      </w:r>
      <w:r>
        <w:rPr>
          <w:rFonts w:ascii="仿宋" w:hAnsi="仿宋" w:eastAsia="仿宋" w:cs="仿宋"/>
          <w:color w:val="000000"/>
          <w:kern w:val="0"/>
          <w:sz w:val="31"/>
          <w:szCs w:val="31"/>
          <w:lang w:val="en-US" w:eastAsia="zh-CN" w:bidi="ar"/>
        </w:rPr>
        <w:t>。</w:t>
      </w:r>
    </w:p>
    <w:p>
      <w:pPr>
        <w:keepNext w:val="0"/>
        <w:keepLines w:val="0"/>
        <w:widowControl/>
        <w:numPr>
          <w:ilvl w:val="0"/>
          <w:numId w:val="0"/>
        </w:numPr>
        <w:suppressLineNumbers w:val="0"/>
        <w:ind w:firstLine="930" w:firstLineChars="300"/>
        <w:jc w:val="left"/>
        <w:rPr>
          <w:rFonts w:hint="eastAsia" w:ascii="仿宋_GB2312" w:hAnsi="仿宋_GB2312" w:eastAsia="仿宋_GB2312" w:cs="仿宋_GB2312"/>
          <w:szCs w:val="32"/>
        </w:rPr>
      </w:pPr>
      <w:r>
        <w:rPr>
          <w:rFonts w:ascii="仿宋" w:hAnsi="仿宋" w:eastAsia="仿宋" w:cs="仿宋"/>
          <w:color w:val="000000"/>
          <w:kern w:val="0"/>
          <w:sz w:val="31"/>
          <w:szCs w:val="31"/>
          <w:lang w:val="en-US" w:eastAsia="zh-CN" w:bidi="ar"/>
        </w:rPr>
        <w:t>本部门 202</w:t>
      </w:r>
      <w:r>
        <w:rPr>
          <w:rFonts w:hint="eastAsia" w:ascii="仿宋" w:hAnsi="仿宋" w:eastAsia="仿宋" w:cs="仿宋"/>
          <w:color w:val="000000"/>
          <w:kern w:val="0"/>
          <w:sz w:val="31"/>
          <w:szCs w:val="31"/>
          <w:lang w:val="en-US" w:eastAsia="zh-CN" w:bidi="ar"/>
        </w:rPr>
        <w:t>4</w:t>
      </w:r>
      <w:r>
        <w:rPr>
          <w:rFonts w:ascii="仿宋" w:hAnsi="仿宋" w:eastAsia="仿宋" w:cs="仿宋"/>
          <w:color w:val="000000"/>
          <w:kern w:val="0"/>
          <w:sz w:val="31"/>
          <w:szCs w:val="31"/>
          <w:lang w:val="en-US" w:eastAsia="zh-CN" w:bidi="ar"/>
        </w:rPr>
        <w:t>年无政府采购。</w:t>
      </w:r>
    </w:p>
    <w:p>
      <w:pPr>
        <w:numPr>
          <w:ilvl w:val="0"/>
          <w:numId w:val="3"/>
        </w:numPr>
        <w:spacing w:line="540" w:lineRule="exact"/>
        <w:ind w:firstLine="640" w:firstLineChars="200"/>
        <w:rPr>
          <w:rFonts w:eastAsia="楷体"/>
          <w:szCs w:val="32"/>
        </w:rPr>
      </w:pPr>
      <w:r>
        <w:rPr>
          <w:rFonts w:eastAsia="楷体"/>
          <w:szCs w:val="32"/>
        </w:rPr>
        <w:t>国有资产占有使用情况</w:t>
      </w:r>
    </w:p>
    <w:p>
      <w:pPr>
        <w:keepNext w:val="0"/>
        <w:keepLines w:val="0"/>
        <w:widowControl/>
        <w:suppressLineNumbers w:val="0"/>
        <w:ind w:firstLine="930" w:firstLineChars="300"/>
        <w:jc w:val="left"/>
        <w:rPr>
          <w:rFonts w:hint="default" w:eastAsia="楷体"/>
          <w:szCs w:val="32"/>
          <w:lang w:val="en-US"/>
        </w:rPr>
      </w:pPr>
      <w:r>
        <w:rPr>
          <w:rFonts w:ascii="仿宋" w:hAnsi="仿宋" w:eastAsia="仿宋" w:cs="仿宋"/>
          <w:color w:val="000000"/>
          <w:kern w:val="0"/>
          <w:sz w:val="31"/>
          <w:szCs w:val="31"/>
          <w:lang w:val="en-US" w:eastAsia="zh-CN" w:bidi="ar"/>
        </w:rPr>
        <w:t>本部门无国有资产占</w:t>
      </w:r>
      <w:r>
        <w:rPr>
          <w:rFonts w:hint="eastAsia" w:ascii="仿宋" w:hAnsi="仿宋" w:eastAsia="仿宋" w:cs="仿宋"/>
          <w:color w:val="000000"/>
          <w:kern w:val="0"/>
          <w:sz w:val="31"/>
          <w:szCs w:val="31"/>
          <w:lang w:val="en-US" w:eastAsia="zh-CN" w:bidi="ar"/>
        </w:rPr>
        <w:t>用。</w:t>
      </w:r>
    </w:p>
    <w:p>
      <w:pPr>
        <w:numPr>
          <w:ilvl w:val="0"/>
          <w:numId w:val="4"/>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u w:val="single"/>
          <w:lang w:val="en-US" w:eastAsia="zh-CN"/>
        </w:rPr>
        <w:t>62.78</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u w:val="single"/>
          <w:lang w:val="en-US" w:eastAsia="zh-CN"/>
        </w:rPr>
        <w:t>1</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u w:val="single"/>
          <w:lang w:val="en-US" w:eastAsia="zh-CN"/>
        </w:rPr>
        <w:t>62.78</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u w:val="single"/>
          <w:lang w:val="en-US" w:eastAsia="zh-CN"/>
        </w:rPr>
        <w:t>1</w:t>
      </w:r>
      <w:r>
        <w:rPr>
          <w:rFonts w:hint="eastAsia" w:ascii="仿宋_GB2312" w:hAnsi="仿宋_GB2312" w:eastAsia="仿宋_GB2312" w:cs="仿宋_GB2312"/>
        </w:rPr>
        <w:t>个</w:t>
      </w:r>
      <w:r>
        <w:rPr>
          <w:rFonts w:hint="eastAsia" w:ascii="仿宋_GB2312" w:hAnsi="仿宋_GB2312" w:cs="仿宋_GB2312"/>
          <w:lang w:val="en-US"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u w:val="single"/>
          <w:lang w:val="en-US" w:eastAsia="zh-CN"/>
        </w:rPr>
        <w:t>62.78</w:t>
      </w:r>
      <w:r>
        <w:rPr>
          <w:rFonts w:hint="eastAsia" w:ascii="仿宋_GB2312" w:hAnsi="仿宋_GB2312" w:eastAsia="仿宋_GB2312" w:cs="仿宋_GB2312"/>
        </w:rPr>
        <w:t>万元。</w:t>
      </w:r>
    </w:p>
    <w:p>
      <w:pPr>
        <w:spacing w:line="540" w:lineRule="exact"/>
        <w:rPr>
          <w:rFonts w:eastAsia="楷体"/>
          <w:szCs w:val="32"/>
        </w:rPr>
      </w:pPr>
      <w:bookmarkStart w:id="0" w:name="_GoBack"/>
      <w:bookmarkEnd w:id="0"/>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FZXiaoBiaoSong-B05S">
    <w:altName w:val="Segoe Print"/>
    <w:panose1 w:val="00000000000000000000"/>
    <w:charset w:val="00"/>
    <w:family w:val="auto"/>
    <w:pitch w:val="default"/>
    <w:sig w:usb0="00000000" w:usb1="00000000" w:usb2="00000000" w:usb3="00000000" w:csb0="00000000"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76D0E8"/>
    <w:multiLevelType w:val="singleLevel"/>
    <w:tmpl w:val="A576D0E8"/>
    <w:lvl w:ilvl="0" w:tentative="0">
      <w:start w:val="2"/>
      <w:numFmt w:val="chineseCounting"/>
      <w:suff w:val="space"/>
      <w:lvlText w:val="第%1部分"/>
      <w:lvlJc w:val="left"/>
      <w:rPr>
        <w:rFonts w:hint="eastAsia"/>
      </w:rPr>
    </w:lvl>
  </w:abstractNum>
  <w:abstractNum w:abstractNumId="1">
    <w:nsid w:val="EE9688C5"/>
    <w:multiLevelType w:val="singleLevel"/>
    <w:tmpl w:val="EE9688C5"/>
    <w:lvl w:ilvl="0" w:tentative="0">
      <w:start w:val="3"/>
      <w:numFmt w:val="chineseCounting"/>
      <w:suff w:val="nothing"/>
      <w:lvlText w:val="（%1）"/>
      <w:lvlJc w:val="left"/>
      <w:rPr>
        <w:rFonts w:hint="eastAsia"/>
      </w:rPr>
    </w:lvl>
  </w:abstractNum>
  <w:abstractNum w:abstractNumId="2">
    <w:nsid w:val="0E0477D7"/>
    <w:multiLevelType w:val="singleLevel"/>
    <w:tmpl w:val="0E0477D7"/>
    <w:lvl w:ilvl="0" w:tentative="0">
      <w:start w:val="2"/>
      <w:numFmt w:val="chineseCounting"/>
      <w:suff w:val="nothing"/>
      <w:lvlText w:val="（%1）"/>
      <w:lvlJc w:val="left"/>
      <w:rPr>
        <w:rFonts w:hint="eastAsia"/>
      </w:rPr>
    </w:lvl>
  </w:abstractNum>
  <w:abstractNum w:abstractNumId="3">
    <w:nsid w:val="601A1281"/>
    <w:multiLevelType w:val="singleLevel"/>
    <w:tmpl w:val="601A1281"/>
    <w:lvl w:ilvl="0" w:tentative="0">
      <w:start w:val="4"/>
      <w:numFmt w:val="chineseCounting"/>
      <w:suff w:val="nothing"/>
      <w:lvlText w:val="（%1）"/>
      <w:lvlJc w:val="left"/>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1MzBkNDIxMzIxNzZjNjI3ZDUwYTJhNWIzZGNjND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181EDB"/>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B743FD"/>
    <w:rsid w:val="14C12787"/>
    <w:rsid w:val="14E60C13"/>
    <w:rsid w:val="15593E10"/>
    <w:rsid w:val="159F7E25"/>
    <w:rsid w:val="15F848D0"/>
    <w:rsid w:val="160E1FA5"/>
    <w:rsid w:val="160F2600"/>
    <w:rsid w:val="16874A49"/>
    <w:rsid w:val="168B1525"/>
    <w:rsid w:val="17765BCA"/>
    <w:rsid w:val="17A027D8"/>
    <w:rsid w:val="1A3366A8"/>
    <w:rsid w:val="1A817DF8"/>
    <w:rsid w:val="1ADC594E"/>
    <w:rsid w:val="1AEB5252"/>
    <w:rsid w:val="1C852172"/>
    <w:rsid w:val="1CA40C0C"/>
    <w:rsid w:val="1CFF4A32"/>
    <w:rsid w:val="1D833200"/>
    <w:rsid w:val="1E2D59A2"/>
    <w:rsid w:val="1E3A3FD0"/>
    <w:rsid w:val="1EB55C07"/>
    <w:rsid w:val="1F351A10"/>
    <w:rsid w:val="1FED47E9"/>
    <w:rsid w:val="206816AC"/>
    <w:rsid w:val="208337BA"/>
    <w:rsid w:val="22A4003E"/>
    <w:rsid w:val="23984063"/>
    <w:rsid w:val="23CE11F0"/>
    <w:rsid w:val="23EC61F6"/>
    <w:rsid w:val="244C543C"/>
    <w:rsid w:val="24624768"/>
    <w:rsid w:val="2539376C"/>
    <w:rsid w:val="254C6FAD"/>
    <w:rsid w:val="259B5BC5"/>
    <w:rsid w:val="25C7462E"/>
    <w:rsid w:val="25F62C4E"/>
    <w:rsid w:val="265718D7"/>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3FF05BE1"/>
    <w:rsid w:val="405745EF"/>
    <w:rsid w:val="40B80EFF"/>
    <w:rsid w:val="41A35364"/>
    <w:rsid w:val="41C31686"/>
    <w:rsid w:val="42982B4E"/>
    <w:rsid w:val="436B1E42"/>
    <w:rsid w:val="43993170"/>
    <w:rsid w:val="43E13F1F"/>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1CB041B"/>
    <w:rsid w:val="624C5C52"/>
    <w:rsid w:val="63952BB5"/>
    <w:rsid w:val="63DF08E4"/>
    <w:rsid w:val="64127E15"/>
    <w:rsid w:val="64C04AFD"/>
    <w:rsid w:val="65E075C8"/>
    <w:rsid w:val="661A7B69"/>
    <w:rsid w:val="664909C1"/>
    <w:rsid w:val="66C63EB5"/>
    <w:rsid w:val="677772D0"/>
    <w:rsid w:val="679461D3"/>
    <w:rsid w:val="6858287E"/>
    <w:rsid w:val="69157114"/>
    <w:rsid w:val="691A443E"/>
    <w:rsid w:val="6A80735F"/>
    <w:rsid w:val="6ACC5E47"/>
    <w:rsid w:val="6AD43ED1"/>
    <w:rsid w:val="6B11024D"/>
    <w:rsid w:val="6B7D5B36"/>
    <w:rsid w:val="6CF120A8"/>
    <w:rsid w:val="6EE81A06"/>
    <w:rsid w:val="6FB05511"/>
    <w:rsid w:val="714213DD"/>
    <w:rsid w:val="717F272E"/>
    <w:rsid w:val="728027C6"/>
    <w:rsid w:val="72D54D7C"/>
    <w:rsid w:val="737664E0"/>
    <w:rsid w:val="73FE7ACC"/>
    <w:rsid w:val="74053F35"/>
    <w:rsid w:val="74556746"/>
    <w:rsid w:val="74AB7A24"/>
    <w:rsid w:val="76BB79B1"/>
    <w:rsid w:val="76C17E06"/>
    <w:rsid w:val="76CA67BD"/>
    <w:rsid w:val="774E6400"/>
    <w:rsid w:val="775B0046"/>
    <w:rsid w:val="77AC3BEB"/>
    <w:rsid w:val="78796248"/>
    <w:rsid w:val="79700BEF"/>
    <w:rsid w:val="79AF51D8"/>
    <w:rsid w:val="79F85634"/>
    <w:rsid w:val="7A090695"/>
    <w:rsid w:val="7AE175F4"/>
    <w:rsid w:val="7B234843"/>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5</TotalTime>
  <ScaleCrop>false</ScaleCrop>
  <LinksUpToDate>false</LinksUpToDate>
  <CharactersWithSpaces>8690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2024-01-30T01:29:11Z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