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pPr>
      <w:r>
        <w:rPr>
          <w:rFonts w:hint="eastAsia" w:ascii="黑体" w:hAnsi="宋体" w:eastAsia="黑体" w:cs="黑体"/>
          <w:color w:val="000000"/>
          <w:kern w:val="0"/>
          <w:sz w:val="31"/>
          <w:szCs w:val="31"/>
          <w:lang w:val="en-US" w:eastAsia="zh-CN" w:bidi="ar"/>
        </w:rPr>
        <w:t xml:space="preserve"> </w:t>
      </w:r>
    </w:p>
    <w:p>
      <w:pPr>
        <w:keepNext w:val="0"/>
        <w:keepLines w:val="0"/>
        <w:widowControl/>
        <w:suppressLineNumbers w:val="0"/>
        <w:jc w:val="left"/>
        <w:rPr>
          <w:rFonts w:ascii="FZXiaoBiaoSong-B05S" w:hAnsi="FZXiaoBiaoSong-B05S" w:eastAsia="FZXiaoBiaoSong-B05S" w:cs="FZXiaoBiaoSong-B05S"/>
          <w:color w:val="000000"/>
          <w:kern w:val="0"/>
          <w:sz w:val="43"/>
          <w:szCs w:val="43"/>
          <w:lang w:val="en-US" w:eastAsia="zh-CN" w:bidi="ar"/>
        </w:rPr>
      </w:pPr>
    </w:p>
    <w:p>
      <w:pPr>
        <w:keepNext w:val="0"/>
        <w:keepLines w:val="0"/>
        <w:widowControl/>
        <w:suppressLineNumbers w:val="0"/>
        <w:jc w:val="left"/>
        <w:rPr>
          <w:rFonts w:ascii="FZXiaoBiaoSong-B05S" w:hAnsi="FZXiaoBiaoSong-B05S" w:eastAsia="FZXiaoBiaoSong-B05S" w:cs="FZXiaoBiaoSong-B05S"/>
          <w:color w:val="000000"/>
          <w:kern w:val="0"/>
          <w:sz w:val="43"/>
          <w:szCs w:val="43"/>
          <w:lang w:val="en-US" w:eastAsia="zh-CN" w:bidi="ar"/>
        </w:rPr>
      </w:pPr>
    </w:p>
    <w:p>
      <w:pPr>
        <w:keepNext w:val="0"/>
        <w:keepLines w:val="0"/>
        <w:widowControl/>
        <w:suppressLineNumbers w:val="0"/>
        <w:tabs>
          <w:tab w:val="center" w:pos="4425"/>
          <w:tab w:val="left" w:pos="7880"/>
        </w:tabs>
        <w:jc w:val="left"/>
        <w:rPr>
          <w:rFonts w:hint="default" w:ascii="FZXiaoBiaoSong-B05S" w:hAnsi="FZXiaoBiaoSong-B05S" w:eastAsia="FZXiaoBiaoSong-B05S" w:cs="FZXiaoBiaoSong-B05S"/>
          <w:color w:val="000000"/>
          <w:kern w:val="0"/>
          <w:sz w:val="48"/>
          <w:szCs w:val="48"/>
          <w:lang w:val="en-US" w:eastAsia="zh-CN" w:bidi="ar"/>
        </w:rPr>
      </w:pPr>
      <w:r>
        <w:rPr>
          <w:rFonts w:hint="eastAsia" w:ascii="FZXiaoBiaoSong-B05S" w:hAnsi="FZXiaoBiaoSong-B05S" w:eastAsia="FZXiaoBiaoSong-B05S" w:cs="FZXiaoBiaoSong-B05S"/>
          <w:color w:val="000000"/>
          <w:kern w:val="0"/>
          <w:sz w:val="48"/>
          <w:szCs w:val="48"/>
          <w:lang w:val="en-US" w:eastAsia="zh-CN" w:bidi="ar"/>
        </w:rPr>
        <w:tab/>
      </w:r>
      <w:r>
        <w:rPr>
          <w:rFonts w:ascii="FZXiaoBiaoSong-B05S" w:hAnsi="FZXiaoBiaoSong-B05S" w:eastAsia="FZXiaoBiaoSong-B05S" w:cs="FZXiaoBiaoSong-B05S"/>
          <w:color w:val="000000"/>
          <w:kern w:val="0"/>
          <w:sz w:val="48"/>
          <w:szCs w:val="48"/>
          <w:lang w:val="en-US" w:eastAsia="zh-CN" w:bidi="ar"/>
        </w:rPr>
        <w:t>通榆县</w:t>
      </w:r>
      <w:r>
        <w:rPr>
          <w:rFonts w:hint="eastAsia" w:ascii="宋体" w:hAnsi="宋体" w:eastAsia="宋体" w:cs="宋体"/>
          <w:color w:val="000000"/>
          <w:kern w:val="0"/>
          <w:sz w:val="48"/>
          <w:szCs w:val="48"/>
          <w:lang w:val="en-US" w:eastAsia="zh-CN" w:bidi="ar"/>
        </w:rPr>
        <w:t>包拉温都</w:t>
      </w:r>
      <w:r>
        <w:rPr>
          <w:rFonts w:hint="default" w:ascii="FZXiaoBiaoSong-B05S" w:hAnsi="FZXiaoBiaoSong-B05S" w:eastAsia="FZXiaoBiaoSong-B05S" w:cs="FZXiaoBiaoSong-B05S"/>
          <w:color w:val="000000"/>
          <w:kern w:val="0"/>
          <w:sz w:val="48"/>
          <w:szCs w:val="48"/>
          <w:lang w:val="en-US" w:eastAsia="zh-CN" w:bidi="ar"/>
        </w:rPr>
        <w:t>乡</w:t>
      </w:r>
      <w:r>
        <w:rPr>
          <w:rFonts w:hint="eastAsia" w:ascii="宋体" w:hAnsi="宋体" w:eastAsia="宋体" w:cs="宋体"/>
          <w:color w:val="000000"/>
          <w:kern w:val="0"/>
          <w:sz w:val="48"/>
          <w:szCs w:val="48"/>
          <w:lang w:val="en-US" w:eastAsia="zh-CN" w:bidi="ar"/>
        </w:rPr>
        <w:t>人民</w:t>
      </w:r>
      <w:r>
        <w:rPr>
          <w:rFonts w:hint="default" w:ascii="FZXiaoBiaoSong-B05S" w:hAnsi="FZXiaoBiaoSong-B05S" w:eastAsia="FZXiaoBiaoSong-B05S" w:cs="FZXiaoBiaoSong-B05S"/>
          <w:color w:val="000000"/>
          <w:kern w:val="0"/>
          <w:sz w:val="48"/>
          <w:szCs w:val="48"/>
          <w:lang w:val="en-US" w:eastAsia="zh-CN" w:bidi="ar"/>
        </w:rPr>
        <w:t>政府</w:t>
      </w:r>
    </w:p>
    <w:p>
      <w:pPr>
        <w:keepNext w:val="0"/>
        <w:keepLines w:val="0"/>
        <w:widowControl/>
        <w:suppressLineNumbers w:val="0"/>
        <w:tabs>
          <w:tab w:val="center" w:pos="4425"/>
          <w:tab w:val="left" w:pos="7880"/>
        </w:tabs>
        <w:jc w:val="left"/>
        <w:rPr>
          <w:rFonts w:hint="eastAsia" w:ascii="黑体" w:hAnsi="黑体" w:eastAsia="黑体" w:cs="黑体"/>
          <w:b w:val="0"/>
          <w:bCs w:val="0"/>
          <w:color w:val="000000"/>
          <w:kern w:val="0"/>
          <w:sz w:val="48"/>
          <w:szCs w:val="48"/>
          <w:lang w:val="en-US" w:eastAsia="zh-CN" w:bidi="ar"/>
        </w:rPr>
      </w:pPr>
      <w:r>
        <w:rPr>
          <w:rFonts w:hint="eastAsia" w:ascii="FZXiaoBiaoSong-B05S" w:hAnsi="FZXiaoBiaoSong-B05S" w:eastAsia="FZXiaoBiaoSong-B05S" w:cs="FZXiaoBiaoSong-B05S"/>
          <w:color w:val="000000"/>
          <w:kern w:val="0"/>
          <w:sz w:val="48"/>
          <w:szCs w:val="48"/>
          <w:lang w:val="en-US" w:eastAsia="zh-CN" w:bidi="ar"/>
        </w:rPr>
        <w:tab/>
      </w:r>
      <w:r>
        <w:rPr>
          <w:rFonts w:hint="eastAsia" w:ascii="黑体" w:hAnsi="黑体" w:eastAsia="黑体" w:cs="黑体"/>
          <w:b w:val="0"/>
          <w:bCs w:val="0"/>
          <w:color w:val="000000"/>
          <w:kern w:val="0"/>
          <w:sz w:val="48"/>
          <w:szCs w:val="48"/>
          <w:lang w:val="en-US" w:eastAsia="zh-CN" w:bidi="ar"/>
        </w:rPr>
        <w:t>(本级)</w:t>
      </w:r>
    </w:p>
    <w:p>
      <w:pPr>
        <w:keepNext w:val="0"/>
        <w:keepLines w:val="0"/>
        <w:widowControl/>
        <w:suppressLineNumbers w:val="0"/>
        <w:jc w:val="center"/>
        <w:rPr>
          <w:sz w:val="40"/>
          <w:szCs w:val="22"/>
        </w:rPr>
      </w:pPr>
      <w:r>
        <w:rPr>
          <w:rFonts w:hint="eastAsia" w:ascii="仿宋" w:hAnsi="仿宋" w:eastAsia="仿宋" w:cs="仿宋"/>
          <w:b w:val="0"/>
          <w:bCs w:val="0"/>
          <w:color w:val="000000"/>
          <w:kern w:val="0"/>
          <w:sz w:val="48"/>
          <w:szCs w:val="48"/>
          <w:lang w:val="en-US" w:eastAsia="zh-CN" w:bidi="ar"/>
        </w:rPr>
        <w:t xml:space="preserve">2024 </w:t>
      </w:r>
      <w:r>
        <w:rPr>
          <w:rFonts w:hint="default" w:ascii="FZXiaoBiaoSong-B05S" w:hAnsi="FZXiaoBiaoSong-B05S" w:eastAsia="FZXiaoBiaoSong-B05S" w:cs="FZXiaoBiaoSong-B05S"/>
          <w:color w:val="000000"/>
          <w:kern w:val="0"/>
          <w:sz w:val="48"/>
          <w:szCs w:val="48"/>
          <w:lang w:val="en-US" w:eastAsia="zh-CN" w:bidi="ar"/>
        </w:rPr>
        <w:t>年部门预算</w:t>
      </w:r>
    </w:p>
    <w:p>
      <w:pPr>
        <w:keepNext w:val="0"/>
        <w:keepLines w:val="0"/>
        <w:widowControl/>
        <w:suppressLineNumbers w:val="0"/>
        <w:jc w:val="left"/>
        <w:rPr>
          <w:rFonts w:hint="eastAsia" w:ascii="黑体" w:hAnsi="宋体" w:eastAsia="黑体" w:cs="黑体"/>
          <w:color w:val="000000"/>
          <w:kern w:val="0"/>
          <w:sz w:val="31"/>
          <w:szCs w:val="31"/>
          <w:lang w:val="en-US" w:eastAsia="zh-CN" w:bidi="ar"/>
        </w:rPr>
      </w:pPr>
    </w:p>
    <w:p>
      <w:pPr>
        <w:keepNext w:val="0"/>
        <w:keepLines w:val="0"/>
        <w:widowControl/>
        <w:suppressLineNumbers w:val="0"/>
        <w:jc w:val="left"/>
        <w:rPr>
          <w:rFonts w:hint="eastAsia" w:ascii="黑体" w:hAnsi="宋体" w:eastAsia="黑体" w:cs="黑体"/>
          <w:color w:val="000000"/>
          <w:kern w:val="0"/>
          <w:sz w:val="31"/>
          <w:szCs w:val="31"/>
          <w:lang w:val="en-US" w:eastAsia="zh-CN" w:bidi="ar"/>
        </w:rPr>
      </w:pPr>
    </w:p>
    <w:p>
      <w:pPr>
        <w:keepNext w:val="0"/>
        <w:keepLines w:val="0"/>
        <w:widowControl/>
        <w:suppressLineNumbers w:val="0"/>
        <w:jc w:val="center"/>
        <w:rPr>
          <w:rFonts w:hint="eastAsia" w:ascii="宋体" w:hAnsi="宋体" w:eastAsia="宋体" w:cs="宋体"/>
          <w:color w:val="000000"/>
          <w:kern w:val="0"/>
          <w:sz w:val="43"/>
          <w:szCs w:val="43"/>
          <w:lang w:val="en-US" w:eastAsia="zh-CN" w:bidi="ar"/>
        </w:rPr>
      </w:pPr>
    </w:p>
    <w:p>
      <w:pPr>
        <w:keepNext w:val="0"/>
        <w:keepLines w:val="0"/>
        <w:widowControl/>
        <w:suppressLineNumbers w:val="0"/>
        <w:jc w:val="center"/>
        <w:rPr>
          <w:rFonts w:hint="eastAsia" w:ascii="仿宋" w:hAnsi="仿宋" w:eastAsia="仿宋" w:cs="仿宋"/>
          <w:color w:val="000000"/>
          <w:kern w:val="0"/>
          <w:sz w:val="32"/>
          <w:szCs w:val="32"/>
          <w:lang w:val="en-US" w:eastAsia="zh-CN" w:bidi="ar"/>
        </w:rPr>
      </w:pPr>
    </w:p>
    <w:p>
      <w:pPr>
        <w:keepNext w:val="0"/>
        <w:keepLines w:val="0"/>
        <w:widowControl/>
        <w:suppressLineNumbers w:val="0"/>
        <w:jc w:val="center"/>
        <w:rPr>
          <w:rFonts w:hint="eastAsia" w:ascii="仿宋" w:hAnsi="仿宋" w:eastAsia="仿宋" w:cs="仿宋"/>
          <w:color w:val="000000"/>
          <w:kern w:val="0"/>
          <w:sz w:val="32"/>
          <w:szCs w:val="32"/>
          <w:lang w:val="en-US" w:eastAsia="zh-CN" w:bidi="ar"/>
        </w:rPr>
      </w:pPr>
    </w:p>
    <w:p>
      <w:pPr>
        <w:keepNext w:val="0"/>
        <w:keepLines w:val="0"/>
        <w:widowControl/>
        <w:suppressLineNumbers w:val="0"/>
        <w:ind w:firstLine="3200" w:firstLineChars="1000"/>
        <w:jc w:val="both"/>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2024 年 1 月 30日</w:t>
      </w:r>
    </w:p>
    <w:p>
      <w:pPr>
        <w:keepNext w:val="0"/>
        <w:keepLines w:val="0"/>
        <w:widowControl/>
        <w:suppressLineNumbers w:val="0"/>
        <w:jc w:val="center"/>
        <w:rPr>
          <w:rFonts w:eastAsia="方正小标宋简体"/>
          <w:sz w:val="44"/>
          <w:szCs w:val="44"/>
        </w:rPr>
      </w:pPr>
    </w:p>
    <w:p>
      <w:pPr>
        <w:keepNext w:val="0"/>
        <w:keepLines w:val="0"/>
        <w:widowControl/>
        <w:suppressLineNumbers w:val="0"/>
        <w:jc w:val="center"/>
        <w:rPr>
          <w:rFonts w:eastAsia="方正小标宋简体"/>
          <w:sz w:val="44"/>
          <w:szCs w:val="44"/>
        </w:rPr>
      </w:pPr>
    </w:p>
    <w:p>
      <w:pPr>
        <w:keepNext w:val="0"/>
        <w:keepLines w:val="0"/>
        <w:widowControl/>
        <w:suppressLineNumbers w:val="0"/>
        <w:jc w:val="center"/>
        <w:rPr>
          <w:rFonts w:eastAsia="方正小标宋简体"/>
          <w:sz w:val="44"/>
          <w:szCs w:val="44"/>
        </w:rPr>
      </w:pPr>
    </w:p>
    <w:p>
      <w:pPr>
        <w:keepNext w:val="0"/>
        <w:keepLines w:val="0"/>
        <w:widowControl/>
        <w:suppressLineNumbers w:val="0"/>
        <w:jc w:val="center"/>
        <w:rPr>
          <w:rFonts w:eastAsia="方正小标宋简体"/>
          <w:sz w:val="44"/>
          <w:szCs w:val="44"/>
        </w:rPr>
      </w:pPr>
    </w:p>
    <w:p>
      <w:pPr>
        <w:keepNext w:val="0"/>
        <w:keepLines w:val="0"/>
        <w:widowControl/>
        <w:suppressLineNumbers w:val="0"/>
        <w:jc w:val="center"/>
        <w:rPr>
          <w:rFonts w:eastAsia="方正小标宋简体"/>
          <w:sz w:val="44"/>
          <w:szCs w:val="44"/>
        </w:rPr>
      </w:pPr>
    </w:p>
    <w:p>
      <w:pPr>
        <w:keepNext w:val="0"/>
        <w:keepLines w:val="0"/>
        <w:widowControl/>
        <w:suppressLineNumbers w:val="0"/>
        <w:jc w:val="center"/>
        <w:rPr>
          <w:rFonts w:eastAsia="方正小标宋简体"/>
          <w:sz w:val="44"/>
          <w:szCs w:val="44"/>
        </w:rPr>
      </w:pPr>
    </w:p>
    <w:p>
      <w:pPr>
        <w:keepNext w:val="0"/>
        <w:keepLines w:val="0"/>
        <w:widowControl/>
        <w:suppressLineNumbers w:val="0"/>
        <w:jc w:val="center"/>
        <w:rPr>
          <w:rFonts w:eastAsia="方正小标宋简体"/>
          <w:sz w:val="44"/>
          <w:szCs w:val="44"/>
        </w:rPr>
      </w:pPr>
    </w:p>
    <w:p>
      <w:pPr>
        <w:keepNext w:val="0"/>
        <w:keepLines w:val="0"/>
        <w:widowControl/>
        <w:suppressLineNumbers w:val="0"/>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1</w:t>
      </w:r>
      <w:r>
        <w:rPr>
          <w:rFonts w:ascii="仿宋" w:hAnsi="仿宋" w:eastAsia="仿宋" w:cs="仿宋"/>
          <w:color w:val="000000"/>
          <w:kern w:val="0"/>
          <w:sz w:val="31"/>
          <w:szCs w:val="31"/>
          <w:lang w:val="en-US" w:eastAsia="zh-CN" w:bidi="ar"/>
        </w:rPr>
        <w:t xml:space="preserve">、加强党的建设。落实基层党建工作责任制，坚持和完善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党的全面领导，加强党的组织体系建设，增强党的政治领导力、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思想引领力、群众组织力、社会号召力。统筹抓好辖区内新领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域新业态新群体党建工作，强化党的政治建设、思想建设、组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织建设、作风建设、纪律建设，把制度建设贯穿其中。深入推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进反腐败斗争，加强基层意识形态工作。 </w:t>
      </w:r>
    </w:p>
    <w:p>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2</w:t>
      </w:r>
      <w:r>
        <w:rPr>
          <w:rFonts w:hint="eastAsia" w:ascii="仿宋" w:hAnsi="仿宋" w:eastAsia="仿宋" w:cs="仿宋"/>
          <w:color w:val="000000"/>
          <w:kern w:val="0"/>
          <w:sz w:val="31"/>
          <w:szCs w:val="31"/>
          <w:lang w:val="en-US" w:eastAsia="zh-CN" w:bidi="ar"/>
        </w:rPr>
        <w:t xml:space="preserve">、统筹区域发展。统筹落实辖区发展的重大决策和辖区建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设规划，参与辖区公共服务设施建设规划，推动辖区健康、有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序、可持续发展。合理确定经济发展职能，把经济工作重心转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移到推进产业升级、促进经济结构调整和经济增长方式转变上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来，统筹做好企业服务工作，营造良好营商环境，实施乡村振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兴战略各项政策，规范“三资”管理工作。 </w:t>
      </w:r>
    </w:p>
    <w:p>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3</w:t>
      </w:r>
      <w:r>
        <w:rPr>
          <w:rFonts w:hint="eastAsia" w:ascii="仿宋" w:hAnsi="仿宋" w:eastAsia="仿宋" w:cs="仿宋"/>
          <w:color w:val="000000"/>
          <w:kern w:val="0"/>
          <w:sz w:val="31"/>
          <w:szCs w:val="31"/>
          <w:lang w:val="en-US" w:eastAsia="zh-CN" w:bidi="ar"/>
        </w:rPr>
        <w:t xml:space="preserve">、组织公共服务。推进政府职能由“管理型”向“服务型”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转变，积极推进基本公共服务均等化。推动优质公共服务资源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向村延伸。创新公共服务供给方式，加快建立政府主导、社会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参与、公办民办并举的公共服务供给模式，加大政府购买服务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力度。组织实施与群众生活密切相关的各项公共服务，落实人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力社保、民政、教育、文化、体育、卫生健康等各领域相关政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策。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指导，对辖区内住宅小区开展综合管理。 </w:t>
      </w:r>
    </w:p>
    <w:p>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5</w:t>
      </w:r>
      <w:r>
        <w:rPr>
          <w:rFonts w:hint="eastAsia" w:ascii="仿宋" w:hAnsi="仿宋" w:eastAsia="仿宋" w:cs="仿宋"/>
          <w:color w:val="000000"/>
          <w:kern w:val="0"/>
          <w:sz w:val="31"/>
          <w:szCs w:val="31"/>
          <w:lang w:val="en-US" w:eastAsia="zh-CN" w:bidi="ar"/>
        </w:rPr>
        <w:t xml:space="preserve">、动员社会参与。坚持以基层党建引领基层治理，动员指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导辖区内各类单位、社会组织和村等社会力量参与社会治理，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引导辖区单位履行社会责任，整合辖区内各种社会力量为镇、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村发展服务。做实做强由党建引领的基层共治基本单元，构建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党组织统一领导各类组织积极协同、广大群众广泛参与的基层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治理体系。 </w:t>
      </w:r>
    </w:p>
    <w:p>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6</w:t>
      </w:r>
      <w:r>
        <w:rPr>
          <w:rFonts w:hint="eastAsia" w:ascii="仿宋" w:hAnsi="仿宋" w:eastAsia="仿宋" w:cs="仿宋"/>
          <w:color w:val="000000"/>
          <w:kern w:val="0"/>
          <w:sz w:val="31"/>
          <w:szCs w:val="31"/>
          <w:lang w:val="en-US" w:eastAsia="zh-CN" w:bidi="ar"/>
        </w:rPr>
        <w:t xml:space="preserve">、领导基层自治。发挥村党组织在基层群众自治组织建设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中的领导核心作用，完善党领导下的基层社会治理体系，推进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社会主义基层协商民主建设，做好组织群众、宣传群众、凝聚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群众、服务群众工作，发挥村</w:t>
      </w:r>
      <w:r>
        <w:rPr>
          <w:rFonts w:hint="default" w:ascii="Times New Roman" w:hAnsi="Times New Roman" w:eastAsia="宋体" w:cs="Times New Roman"/>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居</w:t>
      </w:r>
      <w:r>
        <w:rPr>
          <w:rFonts w:hint="default" w:ascii="Times New Roman" w:hAnsi="Times New Roman" w:eastAsia="宋体" w:cs="Times New Roman"/>
          <w:color w:val="000000"/>
          <w:kern w:val="0"/>
          <w:sz w:val="31"/>
          <w:szCs w:val="31"/>
          <w:lang w:val="en-US" w:eastAsia="zh-CN" w:bidi="ar"/>
        </w:rPr>
        <w:t>)</w:t>
      </w:r>
      <w:r>
        <w:rPr>
          <w:rFonts w:hint="eastAsia" w:ascii="仿宋" w:hAnsi="仿宋" w:eastAsia="仿宋" w:cs="仿宋"/>
          <w:color w:val="000000"/>
          <w:kern w:val="0"/>
          <w:sz w:val="31"/>
          <w:szCs w:val="31"/>
          <w:lang w:val="en-US" w:eastAsia="zh-CN" w:bidi="ar"/>
        </w:rPr>
        <w:t xml:space="preserve">民在基层社会治理中的主体作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用，提高基层自治整体水平。 </w:t>
      </w:r>
    </w:p>
    <w:p>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7</w:t>
      </w:r>
      <w:r>
        <w:rPr>
          <w:rFonts w:hint="eastAsia" w:ascii="仿宋" w:hAnsi="仿宋" w:eastAsia="仿宋" w:cs="仿宋"/>
          <w:color w:val="000000"/>
          <w:kern w:val="0"/>
          <w:sz w:val="31"/>
          <w:szCs w:val="31"/>
          <w:lang w:val="en-US" w:eastAsia="zh-CN" w:bidi="ar"/>
        </w:rPr>
        <w:t xml:space="preserve">、维护安全稳定。落实安全稳定工作部署。负责辖区平安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建设、综合治理、安全生产管理等有关工作，处理群众来信来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访，有效化解各类矛盾纠纷等。坚持重心下移、力量下沉、保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障下倾，实现辖区安全监管执法和综合治理网格化、一体化，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提高公共安全体系精细化水平。 </w:t>
      </w:r>
    </w:p>
    <w:p>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8</w:t>
      </w:r>
      <w:r>
        <w:rPr>
          <w:rFonts w:hint="eastAsia" w:ascii="仿宋" w:hAnsi="仿宋" w:eastAsia="仿宋" w:cs="仿宋"/>
          <w:color w:val="000000"/>
          <w:kern w:val="0"/>
          <w:sz w:val="31"/>
          <w:szCs w:val="31"/>
          <w:lang w:val="en-US" w:eastAsia="zh-CN" w:bidi="ar"/>
        </w:rPr>
        <w:t xml:space="preserve">、深化“放管服”改革和“最多跑一次”改革。依托镇便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民服务平台，推进审批服务事项向便民服务中心集中，保障便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民服务中心的审批服务事项到位、权限到位。推进镇便民服务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平台标准化建设，加快实现政务服务马上办、网上办、就近办、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一次办，提升政务服务质量。 </w:t>
      </w:r>
    </w:p>
    <w:p>
      <w:pPr>
        <w:keepNext w:val="0"/>
        <w:keepLines w:val="0"/>
        <w:widowControl/>
        <w:suppressLineNumbers w:val="0"/>
        <w:ind w:firstLine="620" w:firstLineChars="200"/>
        <w:jc w:val="left"/>
      </w:pPr>
      <w:r>
        <w:rPr>
          <w:rFonts w:hint="default" w:ascii="Times New Roman" w:hAnsi="Times New Roman" w:eastAsia="宋体" w:cs="Times New Roman"/>
          <w:color w:val="000000"/>
          <w:kern w:val="0"/>
          <w:sz w:val="31"/>
          <w:szCs w:val="31"/>
          <w:lang w:val="en-US" w:eastAsia="zh-CN" w:bidi="ar"/>
        </w:rPr>
        <w:t>9</w:t>
      </w:r>
      <w:r>
        <w:rPr>
          <w:rFonts w:hint="eastAsia" w:ascii="仿宋" w:hAnsi="仿宋" w:eastAsia="仿宋" w:cs="仿宋"/>
          <w:color w:val="000000"/>
          <w:kern w:val="0"/>
          <w:sz w:val="31"/>
          <w:szCs w:val="31"/>
          <w:lang w:val="en-US" w:eastAsia="zh-CN" w:bidi="ar"/>
        </w:rPr>
        <w:t xml:space="preserve">、完成法律、法规、规章规定的其他事项和县委、县政府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交办的其他任务。 </w:t>
      </w:r>
    </w:p>
    <w:p>
      <w:pPr>
        <w:ind w:firstLine="320" w:firstLineChars="100"/>
      </w:pPr>
      <w:r>
        <w:rPr>
          <w:rFonts w:eastAsia="楷体_GB2312"/>
        </w:rPr>
        <w:t>二、机构设置</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 xml:space="preserve">根据上述职责，通榆县包拉温都乡人民政府内设 8 个科室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及综合服务管理中心 1 处。 </w:t>
      </w:r>
    </w:p>
    <w:p>
      <w:pPr>
        <w:keepNext w:val="0"/>
        <w:keepLines w:val="0"/>
        <w:widowControl/>
        <w:suppressLineNumbers w:val="0"/>
        <w:ind w:firstLine="600" w:firstLineChars="200"/>
        <w:jc w:val="left"/>
      </w:pPr>
      <w:r>
        <w:rPr>
          <w:rFonts w:hint="eastAsia" w:ascii="宋体" w:hAnsi="宋体" w:eastAsia="宋体" w:cs="宋体"/>
          <w:color w:val="000000"/>
          <w:kern w:val="0"/>
          <w:sz w:val="30"/>
          <w:szCs w:val="30"/>
          <w:lang w:val="en-US" w:eastAsia="zh-CN" w:bidi="ar"/>
        </w:rPr>
        <w:t>（</w:t>
      </w:r>
      <w:r>
        <w:rPr>
          <w:rFonts w:hint="eastAsia" w:ascii="仿宋" w:hAnsi="仿宋" w:eastAsia="仿宋" w:cs="仿宋"/>
          <w:color w:val="000000"/>
          <w:kern w:val="0"/>
          <w:sz w:val="31"/>
          <w:szCs w:val="31"/>
          <w:lang w:val="en-US" w:eastAsia="zh-CN" w:bidi="ar"/>
        </w:rPr>
        <w:t xml:space="preserve">一）综合办公室。负责机关日常运转工作，承担机关会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务、文书、信息、保密、档案、机构编制、人事、资产管理、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后勤保障等工作。负责重大事项和工作部署的落实、督办、检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查工作。负责牵头推进“放管服”改革和“最多跑一次”改革，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统筹协调下放审批服务事项的承接工作。承办乡党委、政府交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办的其他事项。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（二）党建工作办公室。负责党的政治建设、组织建设和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宣传、意识形态、统战工作，统筹推进区域化党建、“两新”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组织党建、村级党建工作。承担机关党务、党风廉政建设和反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腐败等工作。统筹推进辖区人才工作。负责指导工会、共青团、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妇联等群团工作。承办乡党委、政府交办的其他事项。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（三）平安建设办公室（应急管理办公室）。负责平安建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设、综合治理、维护稳定、“多网合一”等工作。协调开展邪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教防范、法治宣传、社区戒毒、社区矫正、刑满释放人员安置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帮教工作。指导督促辖区单位和村（居）民落实消防等工作。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受理人民群众来信来访、开展矛盾纠纷调处化解。组织协调有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关部门共同解决辖区内的治安问题。负责安全生产、应急事件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应对预案的制订和执行等工作。承办乡党委、政府交办的其他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事项。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（四）社会事务办公室（退役军人事务办公室）。具体承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担社会事务和公共服务等工作职责。落实人力社保、医保、退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役军人、民政、教育、文化、体育、卫生健康、人口计生、残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联、红十字等领域的有关政策。承办乡党委、政府交办的其他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事项。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（五）农业农村办公室。落实农业农村发展和乡村振兴战略相 关政策。推进农业、林业、水利产业发展和资源开发保护利用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工作。指防汛抗旱、森林防火等技术服务工作。承办乡党委、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政府交办的其他事项。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（六）综合行政执法办公室。负责统筹组织协调指挥辖区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内派驻和基层执法力量实行综合行政执法，牵头建立综合行政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执法平台工作，代表乡政府履行明确赋予或授权的行政执法职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责。承办乡党委、政府交办的其他事项。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（七）财政经济办公室。研究本区域经济发展战略，组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织编制中长期发展规划和年度计划，立足本地资源和区位条件，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优化经济发展环境，培育壮大骨干企业，形成地域产业特色。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贯彻执行有关财政法律、法规和财经制度，负责编制和执行乡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财政预（决）算计划，统管乡财务，指导并监督集体的财务管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理。负责机关及所属单位财务运行、财务管理、惠农（扶贫）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资金补贴发放等工作；承办乡党委、政府交办的其他事项。 </w:t>
      </w:r>
    </w:p>
    <w:p>
      <w:pPr>
        <w:keepNext w:val="0"/>
        <w:keepLines w:val="0"/>
        <w:widowControl/>
        <w:suppressLineNumbers w:val="0"/>
        <w:ind w:firstLine="620" w:firstLineChars="200"/>
        <w:jc w:val="left"/>
      </w:pPr>
      <w:r>
        <w:rPr>
          <w:rFonts w:hint="eastAsia" w:ascii="仿宋" w:hAnsi="仿宋" w:eastAsia="仿宋" w:cs="仿宋"/>
          <w:color w:val="000000"/>
          <w:kern w:val="0"/>
          <w:sz w:val="31"/>
          <w:szCs w:val="31"/>
          <w:lang w:val="en-US" w:eastAsia="zh-CN" w:bidi="ar"/>
        </w:rPr>
        <w:t xml:space="preserve">（八）扶贫工作办公室。负责贯彻执行党和国家及省、市、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县关于扶贫开发工作方针、政策和法律、法规；负责辖区精准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扶贫工作的组织协调、指导、监督管理、统计、动态监测、脱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贫巩固、宣传等工作；与行业部门积极配合，做好扶贫政策落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实、脱贫攻坚项目谋划、实施等工作。承办乡党委、政府交办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的其他事项。</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   </w:t>
      </w:r>
      <w:r>
        <w:rPr>
          <w:rFonts w:ascii="楷体" w:hAnsi="楷体" w:eastAsia="楷体" w:cs="楷体"/>
          <w:color w:val="000000"/>
          <w:kern w:val="0"/>
          <w:sz w:val="31"/>
          <w:szCs w:val="31"/>
          <w:lang w:val="en-US" w:eastAsia="zh-CN" w:bidi="ar"/>
        </w:rPr>
        <w:t xml:space="preserve">三、人员编制情况 </w:t>
      </w:r>
    </w:p>
    <w:p>
      <w:pPr>
        <w:keepNext w:val="0"/>
        <w:keepLines w:val="0"/>
        <w:widowControl/>
        <w:suppressLineNumbers w:val="0"/>
        <w:ind w:firstLine="620" w:firstLineChars="200"/>
        <w:jc w:val="left"/>
      </w:pPr>
      <w:r>
        <w:rPr>
          <w:rFonts w:ascii="仿宋" w:hAnsi="仿宋" w:eastAsia="仿宋" w:cs="仿宋"/>
          <w:color w:val="000000"/>
          <w:kern w:val="0"/>
          <w:sz w:val="31"/>
          <w:szCs w:val="31"/>
          <w:lang w:val="en-US" w:eastAsia="zh-CN" w:bidi="ar"/>
        </w:rPr>
        <w:t>根据职责任务，核定通榆县包拉温都乡人民政府</w:t>
      </w:r>
      <w:r>
        <w:rPr>
          <w:rFonts w:hint="eastAsia" w:ascii="仿宋" w:hAnsi="仿宋" w:eastAsia="仿宋" w:cs="仿宋"/>
          <w:color w:val="000000"/>
          <w:kern w:val="0"/>
          <w:sz w:val="31"/>
          <w:szCs w:val="31"/>
          <w:lang w:val="en-US" w:eastAsia="zh-CN" w:bidi="ar"/>
        </w:rPr>
        <w:t xml:space="preserve">本部门 </w:t>
      </w:r>
    </w:p>
    <w:p>
      <w:pPr>
        <w:keepNext w:val="0"/>
        <w:keepLines w:val="0"/>
        <w:widowControl/>
        <w:suppressLineNumbers w:val="0"/>
        <w:jc w:val="left"/>
        <w:rPr>
          <w:rFonts w:hint="default"/>
          <w:lang w:val="en-US"/>
        </w:rPr>
      </w:pPr>
      <w:r>
        <w:rPr>
          <w:rFonts w:hint="eastAsia" w:ascii="仿宋" w:hAnsi="仿宋" w:eastAsia="仿宋" w:cs="仿宋"/>
          <w:color w:val="000000"/>
          <w:kern w:val="0"/>
          <w:sz w:val="31"/>
          <w:szCs w:val="31"/>
          <w:lang w:val="en-US" w:eastAsia="zh-CN" w:bidi="ar"/>
        </w:rPr>
        <w:t>行政编制 24 人，实有人员 24 人.</w:t>
      </w:r>
    </w:p>
    <w:p>
      <w:pPr>
        <w:keepNext w:val="0"/>
        <w:keepLines w:val="0"/>
        <w:widowControl/>
        <w:suppressLineNumbers w:val="0"/>
        <w:jc w:val="left"/>
        <w:rPr>
          <w:rFonts w:hint="default" w:ascii="仿宋" w:hAnsi="仿宋" w:eastAsia="仿宋" w:cs="仿宋"/>
          <w:color w:val="000000"/>
          <w:kern w:val="0"/>
          <w:sz w:val="31"/>
          <w:szCs w:val="31"/>
          <w:lang w:val="en-US" w:eastAsia="zh-CN" w:bidi="ar"/>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417.08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417.08</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val="en-US" w:eastAsia="zh-CN"/>
              </w:rPr>
            </w:pPr>
            <w:r>
              <w:rPr>
                <w:rFonts w:hint="eastAsia" w:eastAsia="宋体"/>
                <w:color w:val="000000"/>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334.53</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334.53</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r>
              <w:rPr>
                <w:rFonts w:hint="eastAsia" w:eastAsia="宋体"/>
                <w:color w:val="000000"/>
                <w:kern w:val="0"/>
                <w:sz w:val="20"/>
                <w:lang w:val="en-US" w:eastAsia="zh-CN"/>
              </w:rPr>
              <w:t>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417.08</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417.08</w:t>
            </w: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kern w:val="0"/>
                <w:sz w:val="20"/>
                <w:lang w:val="en-US" w:eastAsia="zh-CN"/>
              </w:rPr>
            </w:pPr>
            <w:r>
              <w:rPr>
                <w:rFonts w:hint="eastAsia" w:eastAsia="宋体"/>
                <w:color w:val="000000"/>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42.92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42.92</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r>
              <w:rPr>
                <w:rFonts w:hint="eastAsia" w:eastAsia="宋体"/>
                <w:color w:val="000000"/>
                <w:kern w:val="0"/>
                <w:sz w:val="20"/>
                <w:lang w:val="en-US" w:eastAsia="zh-CN"/>
              </w:rPr>
              <w:t>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24.55</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24.55</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15.08</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15.08</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417.08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417.08</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417.08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417.08</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417.08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417.08</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keepNext w:val="0"/>
              <w:keepLines w:val="0"/>
              <w:widowControl/>
              <w:suppressLineNumbers w:val="0"/>
              <w:jc w:val="left"/>
            </w:pPr>
            <w:r>
              <w:rPr>
                <w:rFonts w:hint="eastAsia" w:ascii="宋体" w:hAnsi="宋体" w:eastAsia="宋体" w:cs="宋体"/>
                <w:color w:val="000000"/>
                <w:kern w:val="0"/>
                <w:sz w:val="19"/>
                <w:szCs w:val="19"/>
                <w:lang w:val="en-US" w:eastAsia="zh-CN" w:bidi="ar"/>
              </w:rPr>
              <w:t xml:space="preserve">通榆县包拉温 </w:t>
            </w:r>
          </w:p>
          <w:p>
            <w:pPr>
              <w:keepNext w:val="0"/>
              <w:keepLines w:val="0"/>
              <w:widowControl/>
              <w:suppressLineNumbers w:val="0"/>
              <w:jc w:val="left"/>
            </w:pPr>
            <w:r>
              <w:rPr>
                <w:rFonts w:hint="eastAsia" w:ascii="宋体" w:hAnsi="宋体" w:eastAsia="宋体" w:cs="宋体"/>
                <w:color w:val="000000"/>
                <w:kern w:val="0"/>
                <w:sz w:val="19"/>
                <w:szCs w:val="19"/>
                <w:lang w:val="en-US" w:eastAsia="zh-CN" w:bidi="ar"/>
              </w:rPr>
              <w:t>都乡人民政府</w:t>
            </w:r>
          </w:p>
          <w:p>
            <w:pPr>
              <w:widowControl/>
              <w:jc w:val="left"/>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417.08</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417.08</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417.08</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417.08</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417.08</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417.08</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661" w:type="dxa"/>
              <w:tblInd w:w="627" w:type="dxa"/>
              <w:tblLayout w:type="fixed"/>
              <w:tblCellMar>
                <w:top w:w="15" w:type="dxa"/>
                <w:left w:w="15" w:type="dxa"/>
                <w:bottom w:w="15" w:type="dxa"/>
                <w:right w:w="15" w:type="dxa"/>
              </w:tblCellMar>
            </w:tblPr>
            <w:tblGrid>
              <w:gridCol w:w="1968"/>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631"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1968"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1968"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334.53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279.73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968"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334.53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279.74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968"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334.53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279.74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968"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二、</w:t>
                  </w:r>
                  <w:r>
                    <w:rPr>
                      <w:rFonts w:hint="eastAsia" w:eastAsia="宋体"/>
                      <w:color w:val="000000"/>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968"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968"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968"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968"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968"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968"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968"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968"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968"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968"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24.55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24.55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1968"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417.08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362.28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pPr w:leftFromText="180" w:rightFromText="180" w:vertAnchor="page" w:horzAnchor="page" w:tblpX="1200" w:tblpY="2449"/>
        <w:tblOverlap w:val="never"/>
        <w:tblW w:w="9880" w:type="dxa"/>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417.08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417.08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334.53</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334.53</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417.08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417.08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42.92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42.92</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color w:val="000000"/>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15.08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15.08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color w:val="000000"/>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24.55</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24.55</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417.08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417.08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417.08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417.08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417.08</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417.08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417.08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417.08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ascii="Times New Roman" w:hAnsi="Times New Roman" w:eastAsia="华文细黑" w:cs="Times New Roman"/>
                      <w:color w:val="000000"/>
                      <w:kern w:val="0"/>
                      <w:sz w:val="20"/>
                      <w:lang w:val="en-US" w:eastAsia="zh-CN" w:bidi="ar-SA"/>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334.53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279.73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235.39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44.34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334.53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279.73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235.39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44.34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334.53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279.73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235.39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44.34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ascii="Times New Roman" w:hAnsi="Times New Roman" w:eastAsia="宋体" w:cs="Times New Roman"/>
                      <w:color w:val="000000"/>
                      <w:kern w:val="0"/>
                      <w:sz w:val="20"/>
                      <w:lang w:val="en-US" w:eastAsia="zh-CN" w:bidi="ar-SA"/>
                    </w:rPr>
                  </w:pPr>
                  <w:r>
                    <w:rPr>
                      <w:rFonts w:eastAsia="宋体"/>
                      <w:color w:val="000000"/>
                      <w:kern w:val="0"/>
                      <w:sz w:val="20"/>
                    </w:rPr>
                    <w:t>二、</w:t>
                  </w:r>
                  <w:r>
                    <w:rPr>
                      <w:rFonts w:hint="eastAsia" w:eastAsia="宋体"/>
                      <w:color w:val="000000"/>
                      <w:kern w:val="0"/>
                      <w:sz w:val="20"/>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42.92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417.08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362.28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317.94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44.34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54.80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dxa"/>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311.90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311.90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96.87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96.87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84.99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84.99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44.78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44.78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34.66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34.66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14.86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0.22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24.55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24.55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2.71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2.71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44.34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44.34</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13.90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13.90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0.30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0.30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取暖费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6.60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6.60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15.54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15.54</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ind w:firstLine="200" w:firstLineChars="10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5.38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5.38</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0.66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0.66</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362.28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317.94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44.34</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6.60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6.60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6.60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6.60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6.60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6.60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0.00</w:t>
            </w: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keepNext w:val="0"/>
              <w:keepLines w:val="0"/>
              <w:widowControl/>
              <w:suppressLineNumbers w:val="0"/>
              <w:jc w:val="left"/>
            </w:pPr>
            <w:r>
              <w:rPr>
                <w:rFonts w:eastAsia="宋体"/>
                <w:color w:val="000000"/>
                <w:kern w:val="0"/>
                <w:sz w:val="28"/>
                <w:szCs w:val="28"/>
              </w:rPr>
              <w:t xml:space="preserve">       1</w:t>
            </w:r>
            <w:r>
              <w:rPr>
                <w:color w:val="000000"/>
                <w:kern w:val="0"/>
                <w:sz w:val="28"/>
                <w:szCs w:val="28"/>
              </w:rPr>
              <w:t>、</w:t>
            </w:r>
            <w:r>
              <w:rPr>
                <w:rFonts w:hint="default" w:ascii="Times New Roman" w:hAnsi="Times New Roman" w:eastAsia="宋体" w:cs="Times New Roman"/>
                <w:color w:val="000000"/>
                <w:kern w:val="0"/>
                <w:sz w:val="28"/>
                <w:szCs w:val="28"/>
                <w:lang w:val="en-US" w:eastAsia="zh-CN" w:bidi="ar"/>
              </w:rPr>
              <w:t>“202</w:t>
            </w:r>
            <w:r>
              <w:rPr>
                <w:rFonts w:hint="eastAsia" w:eastAsia="宋体" w:cs="Times New Roman"/>
                <w:color w:val="000000"/>
                <w:kern w:val="0"/>
                <w:sz w:val="28"/>
                <w:szCs w:val="28"/>
                <w:lang w:val="en-US" w:eastAsia="zh-CN" w:bidi="ar"/>
              </w:rPr>
              <w:t>4</w:t>
            </w:r>
            <w:r>
              <w:rPr>
                <w:rFonts w:hint="default" w:ascii="Times New Roman" w:hAnsi="Times New Roman" w:eastAsia="宋体" w:cs="Times New Roman"/>
                <w:color w:val="000000"/>
                <w:kern w:val="0"/>
                <w:sz w:val="28"/>
                <w:szCs w:val="28"/>
                <w:lang w:val="en-US" w:eastAsia="zh-CN" w:bidi="ar"/>
              </w:rPr>
              <w:t xml:space="preserve"> </w:t>
            </w:r>
            <w:r>
              <w:rPr>
                <w:rFonts w:ascii="仿宋" w:hAnsi="仿宋" w:eastAsia="仿宋" w:cs="仿宋"/>
                <w:color w:val="000000"/>
                <w:kern w:val="0"/>
                <w:sz w:val="28"/>
                <w:szCs w:val="28"/>
                <w:lang w:val="en-US" w:eastAsia="zh-CN" w:bidi="ar"/>
              </w:rPr>
              <w:t>年预算数</w:t>
            </w:r>
            <w:r>
              <w:rPr>
                <w:rFonts w:hint="default" w:ascii="Times New Roman" w:hAnsi="Times New Roman" w:eastAsia="宋体" w:cs="Times New Roman"/>
                <w:color w:val="000000"/>
                <w:kern w:val="0"/>
                <w:sz w:val="28"/>
                <w:szCs w:val="28"/>
                <w:lang w:val="en-US" w:eastAsia="zh-CN" w:bidi="ar"/>
              </w:rPr>
              <w:t>”</w:t>
            </w:r>
            <w:r>
              <w:rPr>
                <w:rFonts w:hint="eastAsia" w:ascii="仿宋" w:hAnsi="仿宋" w:eastAsia="仿宋" w:cs="仿宋"/>
                <w:color w:val="000000"/>
                <w:kern w:val="0"/>
                <w:sz w:val="28"/>
                <w:szCs w:val="28"/>
                <w:lang w:val="en-US" w:eastAsia="zh-CN" w:bidi="ar"/>
              </w:rPr>
              <w:t>的单位范围为部门本级。</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24</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24</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tbl>
      <w:tblPr>
        <w:tblStyle w:val="9"/>
        <w:tblpPr w:leftFromText="180" w:rightFromText="180" w:vertAnchor="page" w:horzAnchor="page" w:tblpX="1244" w:tblpY="1777"/>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r>
        <w:rPr>
          <w:rFonts w:eastAsia="楷体_GB2312"/>
          <w:kern w:val="0"/>
          <w:szCs w:val="32"/>
        </w:rPr>
        <w:t xml:space="preserve">   </w:t>
      </w: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641"/>
        <w:gridCol w:w="648"/>
        <w:gridCol w:w="665"/>
        <w:gridCol w:w="337"/>
        <w:gridCol w:w="399"/>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41"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50"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397"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641"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5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529"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二</w:t>
            </w:r>
            <w:r>
              <w:rPr>
                <w:rFonts w:hint="eastAsia" w:ascii="宋体" w:hAnsi="宋体" w:eastAsia="宋体" w:cs="宋体"/>
                <w:color w:val="000000"/>
                <w:sz w:val="20"/>
                <w:szCs w:val="22"/>
              </w:rPr>
              <w:t>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641" w:type="dxa"/>
            <w:vMerge w:val="continue"/>
            <w:noWrap w:val="0"/>
            <w:vAlign w:val="center"/>
          </w:tcPr>
          <w:p>
            <w:pPr>
              <w:autoSpaceDN w:val="0"/>
              <w:jc w:val="center"/>
              <w:textAlignment w:val="center"/>
              <w:rPr>
                <w:rFonts w:ascii="Calibri" w:hAnsi="Calibri" w:eastAsia="华文细黑"/>
                <w:color w:val="000000"/>
                <w:sz w:val="20"/>
                <w:szCs w:val="22"/>
              </w:rPr>
            </w:pPr>
          </w:p>
        </w:tc>
        <w:tc>
          <w:tcPr>
            <w:tcW w:w="648"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66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37"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399"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exact"/>
          <w:jc w:val="center"/>
        </w:trPr>
        <w:tc>
          <w:tcPr>
            <w:tcW w:w="759" w:type="dxa"/>
            <w:noWrap w:val="0"/>
            <w:vAlign w:val="center"/>
          </w:tcPr>
          <w:p>
            <w:pPr>
              <w:spacing w:line="240" w:lineRule="auto"/>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行政运行</w:t>
            </w:r>
          </w:p>
        </w:tc>
        <w:tc>
          <w:tcPr>
            <w:tcW w:w="1063"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包拉温都乡2024年乡镇转移支付1.3（144018元）</w:t>
            </w:r>
          </w:p>
        </w:tc>
        <w:tc>
          <w:tcPr>
            <w:tcW w:w="1107"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包拉温都乡2024年乡镇转移支付1.3（144018元）</w:t>
            </w:r>
          </w:p>
        </w:tc>
        <w:tc>
          <w:tcPr>
            <w:tcW w:w="86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通榆县包拉温都乡人民政府</w:t>
            </w:r>
          </w:p>
        </w:tc>
        <w:tc>
          <w:tcPr>
            <w:tcW w:w="641"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14.40</w:t>
            </w:r>
          </w:p>
        </w:tc>
        <w:tc>
          <w:tcPr>
            <w:tcW w:w="648"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14.40</w:t>
            </w:r>
          </w:p>
        </w:tc>
        <w:tc>
          <w:tcPr>
            <w:tcW w:w="665"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14.40</w:t>
            </w:r>
          </w:p>
        </w:tc>
        <w:tc>
          <w:tcPr>
            <w:tcW w:w="337" w:type="dxa"/>
            <w:noWrap w:val="0"/>
            <w:vAlign w:val="center"/>
          </w:tcPr>
          <w:p>
            <w:pPr>
              <w:spacing w:line="700" w:lineRule="exact"/>
              <w:jc w:val="center"/>
              <w:rPr>
                <w:rFonts w:ascii="Calibri" w:hAnsi="Calibri" w:eastAsia="楷体"/>
                <w:kern w:val="0"/>
                <w:szCs w:val="32"/>
              </w:rPr>
            </w:pPr>
          </w:p>
        </w:tc>
        <w:tc>
          <w:tcPr>
            <w:tcW w:w="399"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exact"/>
          <w:jc w:val="center"/>
        </w:trPr>
        <w:tc>
          <w:tcPr>
            <w:tcW w:w="759" w:type="dxa"/>
            <w:noWrap w:val="0"/>
            <w:vAlign w:val="center"/>
          </w:tcPr>
          <w:p>
            <w:pPr>
              <w:spacing w:line="240" w:lineRule="auto"/>
              <w:jc w:val="center"/>
              <w:rPr>
                <w:rFonts w:hint="default" w:ascii="Calibri" w:hAnsi="Calibri" w:eastAsia="楷体" w:cs="Times New Roman"/>
                <w:kern w:val="0"/>
                <w:sz w:val="20"/>
                <w:szCs w:val="20"/>
                <w:lang w:val="en-US" w:eastAsia="zh-CN" w:bidi="ar-SA"/>
              </w:rPr>
            </w:pPr>
            <w:r>
              <w:rPr>
                <w:rFonts w:hint="eastAsia" w:ascii="Calibri" w:hAnsi="Calibri" w:eastAsia="楷体"/>
                <w:kern w:val="0"/>
                <w:sz w:val="20"/>
                <w:szCs w:val="20"/>
                <w:lang w:val="en-US" w:eastAsia="zh-CN"/>
              </w:rPr>
              <w:t>行政运行</w:t>
            </w:r>
          </w:p>
        </w:tc>
        <w:tc>
          <w:tcPr>
            <w:tcW w:w="1063"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包拉温都乡2024年辅助岗位人员工资1.5（190362元）</w:t>
            </w:r>
          </w:p>
        </w:tc>
        <w:tc>
          <w:tcPr>
            <w:tcW w:w="1107"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包拉温都乡2024年辅助岗位人员工资1.5（190362元）</w:t>
            </w:r>
          </w:p>
        </w:tc>
        <w:tc>
          <w:tcPr>
            <w:tcW w:w="86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通榆县包拉温都乡人民政府</w:t>
            </w:r>
          </w:p>
        </w:tc>
        <w:tc>
          <w:tcPr>
            <w:tcW w:w="641"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19.04</w:t>
            </w:r>
          </w:p>
        </w:tc>
        <w:tc>
          <w:tcPr>
            <w:tcW w:w="648"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19.04</w:t>
            </w:r>
          </w:p>
        </w:tc>
        <w:tc>
          <w:tcPr>
            <w:tcW w:w="665"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19.04</w:t>
            </w:r>
          </w:p>
        </w:tc>
        <w:tc>
          <w:tcPr>
            <w:tcW w:w="337" w:type="dxa"/>
            <w:noWrap w:val="0"/>
            <w:vAlign w:val="center"/>
          </w:tcPr>
          <w:p>
            <w:pPr>
              <w:spacing w:line="700" w:lineRule="exact"/>
              <w:jc w:val="center"/>
              <w:rPr>
                <w:rFonts w:ascii="Calibri" w:hAnsi="Calibri" w:eastAsia="楷体"/>
                <w:kern w:val="0"/>
                <w:szCs w:val="32"/>
              </w:rPr>
            </w:pPr>
          </w:p>
        </w:tc>
        <w:tc>
          <w:tcPr>
            <w:tcW w:w="399"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exact"/>
          <w:jc w:val="center"/>
        </w:trPr>
        <w:tc>
          <w:tcPr>
            <w:tcW w:w="759" w:type="dxa"/>
            <w:noWrap w:val="0"/>
            <w:vAlign w:val="center"/>
          </w:tcPr>
          <w:p>
            <w:pPr>
              <w:spacing w:line="240" w:lineRule="auto"/>
              <w:jc w:val="center"/>
              <w:rPr>
                <w:rFonts w:hint="default" w:ascii="Calibri" w:hAnsi="Calibri" w:eastAsia="楷体" w:cs="Times New Roman"/>
                <w:kern w:val="0"/>
                <w:sz w:val="20"/>
                <w:szCs w:val="20"/>
                <w:lang w:val="en-US" w:eastAsia="zh-CN" w:bidi="ar-SA"/>
              </w:rPr>
            </w:pPr>
            <w:r>
              <w:rPr>
                <w:rFonts w:hint="eastAsia" w:ascii="Calibri" w:hAnsi="Calibri" w:eastAsia="楷体"/>
                <w:kern w:val="0"/>
                <w:sz w:val="20"/>
                <w:szCs w:val="20"/>
                <w:lang w:val="en-US" w:eastAsia="zh-CN"/>
              </w:rPr>
              <w:t>行政运行</w:t>
            </w:r>
          </w:p>
        </w:tc>
        <w:tc>
          <w:tcPr>
            <w:tcW w:w="1063"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包拉温都乡人民政府2024年大学生村官工资1.3（141578元）</w:t>
            </w:r>
          </w:p>
        </w:tc>
        <w:tc>
          <w:tcPr>
            <w:tcW w:w="1107"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包拉温都乡人民政府2024年大学生村官工资1.3（141578元）</w:t>
            </w:r>
          </w:p>
        </w:tc>
        <w:tc>
          <w:tcPr>
            <w:tcW w:w="86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通榆县包拉温都乡人民政府</w:t>
            </w:r>
          </w:p>
        </w:tc>
        <w:tc>
          <w:tcPr>
            <w:tcW w:w="641"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14.16</w:t>
            </w:r>
          </w:p>
        </w:tc>
        <w:tc>
          <w:tcPr>
            <w:tcW w:w="648"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14.16</w:t>
            </w:r>
          </w:p>
        </w:tc>
        <w:tc>
          <w:tcPr>
            <w:tcW w:w="665"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14.16</w:t>
            </w:r>
          </w:p>
        </w:tc>
        <w:tc>
          <w:tcPr>
            <w:tcW w:w="337" w:type="dxa"/>
            <w:noWrap w:val="0"/>
            <w:vAlign w:val="center"/>
          </w:tcPr>
          <w:p>
            <w:pPr>
              <w:spacing w:line="700" w:lineRule="exact"/>
              <w:jc w:val="center"/>
              <w:rPr>
                <w:rFonts w:ascii="Calibri" w:hAnsi="Calibri" w:eastAsia="楷体"/>
                <w:kern w:val="0"/>
                <w:szCs w:val="32"/>
              </w:rPr>
            </w:pPr>
          </w:p>
        </w:tc>
        <w:tc>
          <w:tcPr>
            <w:tcW w:w="399"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jc w:val="center"/>
        </w:trPr>
        <w:tc>
          <w:tcPr>
            <w:tcW w:w="759" w:type="dxa"/>
            <w:noWrap w:val="0"/>
            <w:vAlign w:val="center"/>
          </w:tcPr>
          <w:p>
            <w:pPr>
              <w:spacing w:line="240" w:lineRule="auto"/>
              <w:jc w:val="center"/>
              <w:rPr>
                <w:rFonts w:hint="default" w:ascii="Calibri" w:hAnsi="Calibri" w:eastAsia="楷体" w:cs="Times New Roman"/>
                <w:kern w:val="0"/>
                <w:sz w:val="20"/>
                <w:szCs w:val="20"/>
                <w:lang w:val="en-US" w:eastAsia="zh-CN" w:bidi="ar-SA"/>
              </w:rPr>
            </w:pPr>
            <w:r>
              <w:rPr>
                <w:rFonts w:hint="eastAsia" w:ascii="Calibri" w:hAnsi="Calibri" w:eastAsia="楷体"/>
                <w:kern w:val="0"/>
                <w:sz w:val="20"/>
                <w:szCs w:val="20"/>
                <w:lang w:val="en-US" w:eastAsia="zh-CN"/>
              </w:rPr>
              <w:t>行政运行</w:t>
            </w:r>
          </w:p>
        </w:tc>
        <w:tc>
          <w:tcPr>
            <w:tcW w:w="1063"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包拉温都乡人民政府2024年驻村生活补贴1.3（72000元）</w:t>
            </w:r>
          </w:p>
        </w:tc>
        <w:tc>
          <w:tcPr>
            <w:tcW w:w="1107"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包拉温都乡人民政府2024年驻村生活补贴1.3（72000元）</w:t>
            </w:r>
          </w:p>
        </w:tc>
        <w:tc>
          <w:tcPr>
            <w:tcW w:w="864"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16"/>
                <w:szCs w:val="16"/>
                <w:u w:val="none"/>
                <w:lang w:val="en-US" w:eastAsia="zh-CN" w:bidi="ar-SA"/>
              </w:rPr>
            </w:pPr>
            <w:r>
              <w:rPr>
                <w:rFonts w:hint="default" w:ascii="Arial" w:hAnsi="Arial" w:eastAsia="宋体" w:cs="Arial"/>
                <w:i w:val="0"/>
                <w:iCs w:val="0"/>
                <w:color w:val="000000"/>
                <w:kern w:val="0"/>
                <w:sz w:val="16"/>
                <w:szCs w:val="16"/>
                <w:u w:val="none"/>
                <w:lang w:val="en-US" w:eastAsia="zh-CN" w:bidi="ar"/>
              </w:rPr>
              <w:t>通榆县包拉温都乡人民政府</w:t>
            </w:r>
          </w:p>
        </w:tc>
        <w:tc>
          <w:tcPr>
            <w:tcW w:w="641"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7.20</w:t>
            </w:r>
          </w:p>
        </w:tc>
        <w:tc>
          <w:tcPr>
            <w:tcW w:w="648"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7.20</w:t>
            </w:r>
          </w:p>
        </w:tc>
        <w:tc>
          <w:tcPr>
            <w:tcW w:w="665"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7.20</w:t>
            </w:r>
          </w:p>
        </w:tc>
        <w:tc>
          <w:tcPr>
            <w:tcW w:w="337" w:type="dxa"/>
            <w:noWrap w:val="0"/>
            <w:vAlign w:val="center"/>
          </w:tcPr>
          <w:p>
            <w:pPr>
              <w:spacing w:line="700" w:lineRule="exact"/>
              <w:jc w:val="center"/>
              <w:rPr>
                <w:rFonts w:ascii="Calibri" w:hAnsi="Calibri" w:eastAsia="楷体"/>
                <w:kern w:val="0"/>
                <w:szCs w:val="32"/>
              </w:rPr>
            </w:pPr>
          </w:p>
        </w:tc>
        <w:tc>
          <w:tcPr>
            <w:tcW w:w="399"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641" w:type="dxa"/>
            <w:noWrap w:val="0"/>
            <w:vAlign w:val="center"/>
          </w:tcPr>
          <w:p>
            <w:pPr>
              <w:spacing w:line="240" w:lineRule="auto"/>
              <w:jc w:val="center"/>
              <w:rPr>
                <w:rFonts w:hint="default" w:ascii="Calibri" w:hAnsi="Calibri" w:eastAsia="楷体"/>
                <w:kern w:val="0"/>
                <w:sz w:val="18"/>
                <w:szCs w:val="18"/>
                <w:lang w:val="en-US" w:eastAsia="zh-CN"/>
              </w:rPr>
            </w:pPr>
            <w:r>
              <w:rPr>
                <w:rFonts w:hint="eastAsia" w:ascii="Calibri" w:hAnsi="Calibri" w:eastAsia="楷体"/>
                <w:kern w:val="0"/>
                <w:sz w:val="18"/>
                <w:szCs w:val="18"/>
                <w:lang w:val="en-US" w:eastAsia="zh-CN"/>
              </w:rPr>
              <w:t>54.80</w:t>
            </w:r>
          </w:p>
        </w:tc>
        <w:tc>
          <w:tcPr>
            <w:tcW w:w="648" w:type="dxa"/>
            <w:noWrap w:val="0"/>
            <w:vAlign w:val="center"/>
          </w:tcPr>
          <w:p>
            <w:pPr>
              <w:spacing w:line="240" w:lineRule="auto"/>
              <w:jc w:val="center"/>
              <w:rPr>
                <w:rFonts w:hint="default" w:ascii="Calibri" w:hAnsi="Calibri" w:eastAsia="楷体" w:cs="Times New Roman"/>
                <w:kern w:val="0"/>
                <w:sz w:val="18"/>
                <w:szCs w:val="18"/>
                <w:lang w:val="en-US" w:eastAsia="zh-CN" w:bidi="ar-SA"/>
              </w:rPr>
            </w:pPr>
            <w:r>
              <w:rPr>
                <w:rFonts w:hint="eastAsia" w:ascii="Calibri" w:hAnsi="Calibri" w:eastAsia="楷体"/>
                <w:kern w:val="0"/>
                <w:sz w:val="18"/>
                <w:szCs w:val="18"/>
                <w:lang w:val="en-US" w:eastAsia="zh-CN"/>
              </w:rPr>
              <w:t>54.80</w:t>
            </w:r>
          </w:p>
        </w:tc>
        <w:tc>
          <w:tcPr>
            <w:tcW w:w="665" w:type="dxa"/>
            <w:noWrap w:val="0"/>
            <w:vAlign w:val="center"/>
          </w:tcPr>
          <w:p>
            <w:pPr>
              <w:spacing w:line="240" w:lineRule="auto"/>
              <w:jc w:val="center"/>
              <w:rPr>
                <w:rFonts w:hint="default" w:ascii="Calibri" w:hAnsi="Calibri" w:eastAsia="楷体" w:cs="Times New Roman"/>
                <w:kern w:val="0"/>
                <w:sz w:val="18"/>
                <w:szCs w:val="18"/>
                <w:lang w:val="en-US" w:eastAsia="zh-CN" w:bidi="ar-SA"/>
              </w:rPr>
            </w:pPr>
            <w:r>
              <w:rPr>
                <w:rFonts w:hint="eastAsia" w:ascii="Calibri" w:hAnsi="Calibri" w:eastAsia="楷体"/>
                <w:kern w:val="0"/>
                <w:sz w:val="18"/>
                <w:szCs w:val="18"/>
                <w:lang w:val="en-US" w:eastAsia="zh-CN"/>
              </w:rPr>
              <w:t>54.80</w:t>
            </w:r>
          </w:p>
        </w:tc>
        <w:tc>
          <w:tcPr>
            <w:tcW w:w="337" w:type="dxa"/>
            <w:noWrap w:val="0"/>
            <w:vAlign w:val="center"/>
          </w:tcPr>
          <w:p>
            <w:pPr>
              <w:spacing w:line="700" w:lineRule="exact"/>
              <w:jc w:val="center"/>
              <w:rPr>
                <w:rFonts w:ascii="Calibri" w:hAnsi="Calibri" w:eastAsia="楷体"/>
                <w:kern w:val="0"/>
                <w:szCs w:val="32"/>
              </w:rPr>
            </w:pPr>
          </w:p>
        </w:tc>
        <w:tc>
          <w:tcPr>
            <w:tcW w:w="399"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Spec="center" w:tblpY="-9669"/>
        <w:tblOverlap w:val="never"/>
        <w:tblW w:w="9582" w:type="dxa"/>
        <w:jc w:val="center"/>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2318" w:hRule="atLeast"/>
          <w:jc w:val="center"/>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r>
              <w:rPr>
                <w:rFonts w:hint="eastAsia" w:eastAsia="方正小标宋简体"/>
                <w:kern w:val="0"/>
                <w:sz w:val="36"/>
                <w:szCs w:val="36"/>
              </w:rPr>
              <w:t>项目支出绩效目标表</w:t>
            </w:r>
          </w:p>
          <w:p>
            <w:pPr>
              <w:widowControl/>
              <w:jc w:val="center"/>
              <w:textAlignment w:val="center"/>
              <w:rPr>
                <w:rFonts w:hint="eastAsia" w:eastAsia="方正小标宋简体"/>
                <w:kern w:val="0"/>
                <w:sz w:val="36"/>
                <w:szCs w:val="36"/>
              </w:rPr>
            </w:pPr>
          </w:p>
        </w:tc>
      </w:tr>
      <w:tr>
        <w:tblPrEx>
          <w:tblCellMar>
            <w:top w:w="15" w:type="dxa"/>
            <w:left w:w="15" w:type="dxa"/>
            <w:bottom w:w="15" w:type="dxa"/>
            <w:right w:w="15" w:type="dxa"/>
          </w:tblCellMar>
        </w:tblPrEx>
        <w:trPr>
          <w:trHeight w:val="592" w:hRule="atLeast"/>
          <w:jc w:val="center"/>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包拉温都乡政府辅助岗人员工资</w:t>
            </w:r>
          </w:p>
        </w:tc>
      </w:tr>
      <w:tr>
        <w:tblPrEx>
          <w:tblCellMar>
            <w:top w:w="15" w:type="dxa"/>
            <w:left w:w="15" w:type="dxa"/>
            <w:bottom w:w="15" w:type="dxa"/>
            <w:right w:w="15" w:type="dxa"/>
          </w:tblCellMar>
        </w:tblPrEx>
        <w:trPr>
          <w:trHeight w:val="390" w:hRule="atLeast"/>
          <w:jc w:val="center"/>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jc w:val="center"/>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19.04</w:t>
            </w:r>
          </w:p>
        </w:tc>
      </w:tr>
      <w:tr>
        <w:tblPrEx>
          <w:tblCellMar>
            <w:top w:w="15" w:type="dxa"/>
            <w:left w:w="15" w:type="dxa"/>
            <w:bottom w:w="15" w:type="dxa"/>
            <w:right w:w="15" w:type="dxa"/>
          </w:tblCellMar>
        </w:tblPrEx>
        <w:trPr>
          <w:trHeight w:val="390" w:hRule="atLeast"/>
          <w:jc w:val="center"/>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19.04</w:t>
            </w:r>
          </w:p>
        </w:tc>
      </w:tr>
      <w:tr>
        <w:tblPrEx>
          <w:tblCellMar>
            <w:top w:w="15" w:type="dxa"/>
            <w:left w:w="15" w:type="dxa"/>
            <w:bottom w:w="15" w:type="dxa"/>
            <w:right w:w="15" w:type="dxa"/>
          </w:tblCellMar>
        </w:tblPrEx>
        <w:trPr>
          <w:trHeight w:val="390" w:hRule="atLeast"/>
          <w:jc w:val="center"/>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jc w:val="center"/>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包拉温都乡政府辅助岗人员共计5人，该笔项目资金用于发放辅助岗基本工资、公积金、养老保险及失业保险等费用，本年内实施。</w:t>
            </w:r>
          </w:p>
        </w:tc>
      </w:tr>
      <w:tr>
        <w:tblPrEx>
          <w:tblCellMar>
            <w:top w:w="15" w:type="dxa"/>
            <w:left w:w="15" w:type="dxa"/>
            <w:bottom w:w="15" w:type="dxa"/>
            <w:right w:w="15" w:type="dxa"/>
          </w:tblCellMar>
        </w:tblPrEx>
        <w:trPr>
          <w:trHeight w:val="390" w:hRule="atLeast"/>
          <w:jc w:val="center"/>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jc w:val="center"/>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在职辅助岗人数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=5人</w:t>
            </w:r>
          </w:p>
        </w:tc>
      </w:tr>
      <w:tr>
        <w:tblPrEx>
          <w:tblCellMar>
            <w:top w:w="15" w:type="dxa"/>
            <w:left w:w="15" w:type="dxa"/>
            <w:bottom w:w="15" w:type="dxa"/>
            <w:right w:w="15" w:type="dxa"/>
          </w:tblCellMar>
        </w:tblPrEx>
        <w:trPr>
          <w:trHeight w:val="390" w:hRule="atLeast"/>
          <w:jc w:val="center"/>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工资发放对辅助岗生活质量影响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rPr>
              <w:t>≥</w:t>
            </w: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jc w:val="center"/>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在职辅助岗月平均收入</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default" w:ascii="Arial" w:hAnsi="Arial" w:eastAsia="宋体" w:cs="Arial"/>
                <w:color w:val="000000"/>
                <w:sz w:val="20"/>
                <w:lang w:val="en-US" w:eastAsia="zh-CN"/>
              </w:rPr>
              <w:t>≤</w:t>
            </w:r>
            <w:r>
              <w:rPr>
                <w:rFonts w:hint="eastAsia" w:ascii="Arial" w:hAnsi="Arial" w:eastAsia="宋体" w:cs="Arial"/>
                <w:color w:val="000000"/>
                <w:sz w:val="20"/>
                <w:lang w:val="en-US" w:eastAsia="zh-CN"/>
              </w:rPr>
              <w:t>3172.7</w:t>
            </w:r>
            <w:r>
              <w:rPr>
                <w:rFonts w:hint="eastAsia" w:ascii="宋体" w:hAnsi="宋体" w:eastAsia="宋体" w:cs="宋体"/>
                <w:color w:val="000000"/>
                <w:sz w:val="20"/>
                <w:lang w:val="en-US" w:eastAsia="zh-CN"/>
              </w:rPr>
              <w:t>元/人/月</w:t>
            </w:r>
          </w:p>
        </w:tc>
      </w:tr>
      <w:tr>
        <w:tblPrEx>
          <w:tblCellMar>
            <w:top w:w="15" w:type="dxa"/>
            <w:left w:w="15" w:type="dxa"/>
            <w:bottom w:w="15" w:type="dxa"/>
            <w:right w:w="15" w:type="dxa"/>
          </w:tblCellMar>
        </w:tblPrEx>
        <w:trPr>
          <w:trHeight w:val="390" w:hRule="atLeast"/>
          <w:jc w:val="center"/>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辅助岗工资及五险发放及时率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rPr>
              <w:t>≥</w:t>
            </w: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jc w:val="center"/>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jc w:val="center"/>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在职辅助岗对工作完成及时率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rPr>
              <w:t>≥</w:t>
            </w: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jc w:val="center"/>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jc w:val="center"/>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jc w:val="center"/>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在职辅助岗对工资的满意度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rPr>
              <w:t>≥</w:t>
            </w:r>
            <w:r>
              <w:rPr>
                <w:rFonts w:hint="eastAsia" w:ascii="宋体" w:hAnsi="宋体" w:eastAsia="宋体" w:cs="宋体"/>
                <w:color w:val="000000"/>
                <w:sz w:val="20"/>
                <w:lang w:val="en-US" w:eastAsia="zh-CN"/>
              </w:rPr>
              <w:t>99%</w:t>
            </w: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569" w:tblpY="-7436"/>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1253"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823"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包拉温都乡政府乡镇转移支付资金1.3（310596元）</w:t>
            </w:r>
          </w:p>
        </w:tc>
      </w:tr>
      <w:tr>
        <w:tblPrEx>
          <w:tblCellMar>
            <w:top w:w="15" w:type="dxa"/>
            <w:left w:w="15" w:type="dxa"/>
            <w:bottom w:w="15" w:type="dxa"/>
            <w:right w:w="15" w:type="dxa"/>
          </w:tblCellMar>
        </w:tblPrEx>
        <w:trPr>
          <w:trHeight w:val="648"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14.40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14.40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为保障乡镇工作的正常运转，各级财政部门安排转移支付补助资金，确保乡镇办公经费等事项的需要，乡镇转移支付资金对于保障乡镇政府发展有着十分重要的作用，计划本年内实施。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该笔资金用于乡镇政府数量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乡政府所用资金</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default" w:ascii="Arial" w:hAnsi="Arial" w:eastAsia="宋体" w:cs="Arial"/>
                <w:color w:val="000000"/>
                <w:sz w:val="20"/>
                <w:lang w:val="en-US" w:eastAsia="zh-CN"/>
              </w:rPr>
              <w:t>≤</w:t>
            </w:r>
            <w:r>
              <w:rPr>
                <w:rFonts w:hint="eastAsia" w:ascii="Arial" w:hAnsi="Arial" w:eastAsia="宋体" w:cs="Arial"/>
                <w:color w:val="000000"/>
                <w:sz w:val="20"/>
                <w:lang w:val="en-US" w:eastAsia="zh-CN"/>
              </w:rPr>
              <w:t>144018</w:t>
            </w:r>
            <w:r>
              <w:rPr>
                <w:rFonts w:hint="eastAsia" w:ascii="宋体" w:hAnsi="宋体" w:eastAsia="宋体" w:cs="宋体"/>
                <w:color w:val="000000"/>
                <w:sz w:val="20"/>
                <w:lang w:val="en-US" w:eastAsia="zh-CN"/>
              </w:rPr>
              <w:t>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补充各种办公耗材及时率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保障工作正常运转率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在职职工满意度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bl>
    <w:p>
      <w:pPr>
        <w:spacing w:line="700" w:lineRule="exact"/>
        <w:ind w:firstLine="640" w:firstLineChars="200"/>
        <w:rPr>
          <w:rFonts w:eastAsia="楷体"/>
          <w:kern w:val="0"/>
          <w:szCs w:val="32"/>
        </w:rPr>
      </w:pPr>
    </w:p>
    <w:tbl>
      <w:tblPr>
        <w:tblStyle w:val="9"/>
        <w:tblpPr w:leftFromText="180" w:rightFromText="180" w:vertAnchor="text" w:horzAnchor="page" w:tblpX="1219" w:tblpY="-8781"/>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2725"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包拉温都乡政府大学生村官工资1.3（94385元）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14.16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14.16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包拉温都乡政府大学生村官共计3人，该笔项目资金用于发放村官基本工资、公积金、养老保险及失业保险等费用，本年内实施。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在职村官人数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Arial" w:hAnsi="Arial" w:eastAsia="宋体" w:cs="Arial"/>
                <w:color w:val="000000"/>
                <w:sz w:val="20"/>
                <w:lang w:val="en-US" w:eastAsia="zh-CN"/>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工资发放对村官生活质量影响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在职村官月平均收入</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3932.71元/月/人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在职村官对工作完成及时率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在职村官对工资满意度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bl>
    <w:tbl>
      <w:tblPr>
        <w:tblStyle w:val="9"/>
        <w:tblpPr w:leftFromText="180" w:rightFromText="180" w:vertAnchor="text" w:horzAnchor="page" w:tblpX="1344" w:tblpY="127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包拉温都政府驻村工作队生活补贴1.3（72000元）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7.2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包拉温都派驻村第一书记1人驻村工作人员1，共计2人，按照补贴标准100元/天计算，全年共计72000元。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一</w:t>
            </w:r>
            <w:r>
              <w:rPr>
                <w:rFonts w:hint="eastAsia" w:ascii="宋体" w:hAnsi="宋体" w:eastAsia="宋体" w:cs="宋体"/>
                <w:color w:val="000000"/>
                <w:sz w:val="20"/>
              </w:rPr>
              <w:t>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享受驻村补助人数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720天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保证工作质量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生活补助标准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kern w:val="2"/>
                <w:sz w:val="20"/>
                <w:lang w:val="en-US" w:eastAsia="zh-CN" w:bidi="ar-SA"/>
              </w:rPr>
            </w:pPr>
            <w:r>
              <w:rPr>
                <w:rFonts w:hint="eastAsia" w:ascii="宋体" w:hAnsi="宋体" w:eastAsia="宋体" w:cs="宋体"/>
                <w:color w:val="000000"/>
                <w:kern w:val="2"/>
                <w:sz w:val="20"/>
                <w:lang w:val="en-US" w:eastAsia="zh-CN" w:bidi="ar-SA"/>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驻村生活补助资金下放的及时率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经费对第一书记帮助率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驻村第一书记对驻村经费满意度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color w:val="000000"/>
                <w:sz w:val="20"/>
                <w:lang w:val="en-US" w:eastAsia="zh-CN"/>
              </w:rPr>
              <w:t>≥</w:t>
            </w:r>
            <w:r>
              <w:rPr>
                <w:rFonts w:hint="eastAsia" w:ascii="宋体" w:hAnsi="宋体" w:eastAsia="宋体" w:cs="宋体"/>
                <w:color w:val="000000"/>
                <w:sz w:val="20"/>
                <w:lang w:val="en-US" w:eastAsia="zh-CN"/>
              </w:rPr>
              <w:t>99%</w:t>
            </w: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417.08</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417.08</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w:t>
      </w:r>
      <w:r>
        <w:rPr>
          <w:rFonts w:hint="eastAsia" w:ascii="仿宋_GB2312" w:hAnsi="仿宋_GB2312" w:cs="仿宋_GB2312"/>
          <w:szCs w:val="32"/>
          <w:u w:val="single"/>
          <w:lang w:val="en-US" w:eastAsia="zh-CN"/>
        </w:rPr>
        <w:t>37.30</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2</w:t>
      </w:r>
      <w:r>
        <w:rPr>
          <w:rFonts w:hint="eastAsia" w:ascii="仿宋_GB2312" w:hAnsi="仿宋_GB2312" w:cs="仿宋_GB2312"/>
          <w:szCs w:val="32"/>
          <w:u w:val="none"/>
          <w:lang w:val="en-US" w:eastAsia="zh-CN"/>
        </w:rPr>
        <w:t>024年增加了项目支出</w:t>
      </w:r>
      <w:r>
        <w:rPr>
          <w:rFonts w:hint="eastAsia" w:ascii="仿宋_GB2312" w:hAnsi="仿宋_GB2312" w:eastAsia="仿宋_GB2312" w:cs="仿宋_GB2312"/>
          <w:szCs w:val="32"/>
        </w:rPr>
        <w:t>。</w:t>
      </w:r>
    </w:p>
    <w:p>
      <w:pPr>
        <w:ind w:firstLine="600" w:firstLineChars="200"/>
        <w:rPr>
          <w:sz w:val="30"/>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楷体"/>
          <w:szCs w:val="30"/>
        </w:rPr>
      </w:pP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417.08</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417.08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417.08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u w:val="single"/>
        </w:rPr>
        <w:t>%</w:t>
      </w:r>
      <w:r>
        <w:rPr>
          <w:rFonts w:hint="eastAsia" w:ascii="仿宋_GB2312" w:hAnsi="仿宋_GB2312" w:cs="仿宋_GB2312"/>
          <w:szCs w:val="32"/>
          <w:u w:val="single"/>
          <w:lang w:eastAsia="zh-CN"/>
        </w:rPr>
        <w:t>。</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 xml:space="preserve"> 0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hint="eastAsia" w:ascii="仿宋_GB2312" w:hAnsi="仿宋_GB2312" w:eastAsia="仿宋_GB2312" w:cs="仿宋_GB2312"/>
          <w:szCs w:val="32"/>
          <w:lang w:eastAsia="zh-CN"/>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320" w:firstLineChars="100"/>
        <w:rPr>
          <w:rFonts w:hint="eastAsia" w:ascii="黑体" w:hAnsi="黑体" w:eastAsia="黑体" w:cs="黑体"/>
          <w:szCs w:val="32"/>
        </w:rPr>
      </w:pPr>
    </w:p>
    <w:p>
      <w:pPr>
        <w:ind w:firstLine="320" w:firstLineChars="1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417.08</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362.28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86.86</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54.80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13.14</w:t>
      </w:r>
      <w:r>
        <w:rPr>
          <w:rFonts w:hint="eastAsia" w:ascii="仿宋_GB2312" w:hAnsi="仿宋_GB2312" w:eastAsia="仿宋_GB2312" w:cs="仿宋_GB2312"/>
          <w:szCs w:val="32"/>
          <w:u w:val="single"/>
        </w:rPr>
        <w:t>%；</w:t>
      </w:r>
    </w:p>
    <w:p>
      <w:pPr>
        <w:ind w:firstLine="600"/>
        <w:rPr>
          <w:szCs w:val="32"/>
        </w:rPr>
      </w:pPr>
    </w:p>
    <w:p>
      <w:pPr>
        <w:ind w:firstLine="640" w:firstLineChars="2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40" w:firstLineChars="200"/>
        <w:rPr>
          <w:rFonts w:eastAsia="楷体"/>
          <w:szCs w:val="32"/>
        </w:rPr>
      </w:pPr>
    </w:p>
    <w:p>
      <w:pPr>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417.08</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417.08</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334.53</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42.92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15.08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124.98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w:t>
      </w:r>
      <w:r>
        <w:rPr>
          <w:rFonts w:hint="eastAsia" w:ascii="仿宋_GB2312" w:hAnsi="仿宋_GB2312" w:cs="仿宋_GB2312"/>
          <w:szCs w:val="32"/>
          <w:u w:val="single"/>
          <w:lang w:val="en-US" w:eastAsia="zh-CN"/>
        </w:rPr>
        <w:t>24.55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rFonts w:hint="eastAsia" w:ascii="仿宋_GB2312" w:hAnsi="仿宋_GB2312" w:eastAsia="仿宋_GB2312" w:cs="仿宋_GB2312"/>
          <w:szCs w:val="32"/>
        </w:rPr>
      </w:pPr>
    </w:p>
    <w:p>
      <w:pPr>
        <w:ind w:firstLine="640" w:firstLineChars="200"/>
        <w:rPr>
          <w:rFonts w:hint="eastAsia" w:eastAsia="楷体"/>
          <w:szCs w:val="30"/>
          <w:lang w:val="en-US" w:eastAsia="zh-CN"/>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40" w:firstLineChars="200"/>
        <w:rPr>
          <w:rFonts w:hint="eastAsia" w:eastAsia="楷体"/>
          <w:szCs w:val="30"/>
          <w:lang w:val="en-US" w:eastAsia="zh-CN"/>
        </w:rPr>
      </w:pP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417.08</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362.28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86.86</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54.80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13.14</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317.94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87.76</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44.34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12.24</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w:t>
      </w:r>
    </w:p>
    <w:p>
      <w:pPr>
        <w:keepNext w:val="0"/>
        <w:keepLines w:val="0"/>
        <w:widowControl/>
        <w:suppressLineNumbers w:val="0"/>
        <w:ind w:firstLine="640" w:firstLineChars="200"/>
        <w:jc w:val="left"/>
        <w:rPr>
          <w:rFonts w:hint="eastAsia" w:ascii="仿宋" w:hAnsi="仿宋" w:eastAsia="仿宋" w:cs="仿宋"/>
          <w:color w:val="000000"/>
          <w:kern w:val="0"/>
          <w:sz w:val="31"/>
          <w:szCs w:val="31"/>
          <w:u w:val="none"/>
          <w:lang w:val="en-US" w:eastAsia="zh-CN" w:bidi="ar"/>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334.53</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80.21</w:t>
      </w:r>
      <w:r>
        <w:rPr>
          <w:rFonts w:hint="eastAsia" w:ascii="仿宋_GB2312" w:hAnsi="仿宋_GB2312" w:eastAsia="仿宋_GB2312" w:cs="仿宋_GB2312"/>
          <w:szCs w:val="32"/>
        </w:rPr>
        <w:t>%，主要用于</w:t>
      </w:r>
      <w:r>
        <w:rPr>
          <w:rFonts w:ascii="仿宋" w:hAnsi="仿宋" w:eastAsia="仿宋" w:cs="仿宋"/>
          <w:color w:val="000000"/>
          <w:kern w:val="0"/>
          <w:sz w:val="31"/>
          <w:szCs w:val="31"/>
          <w:u w:val="none"/>
          <w:lang w:val="en-US" w:eastAsia="zh-CN" w:bidi="ar"/>
        </w:rPr>
        <w:t>部分人员经费和日常公用经费支出</w:t>
      </w:r>
      <w:r>
        <w:rPr>
          <w:rFonts w:hint="eastAsia" w:ascii="仿宋" w:hAnsi="仿宋" w:eastAsia="仿宋" w:cs="仿宋"/>
          <w:color w:val="000000"/>
          <w:kern w:val="0"/>
          <w:sz w:val="31"/>
          <w:szCs w:val="31"/>
          <w:u w:val="none"/>
          <w:lang w:val="en-US" w:eastAsia="zh-CN" w:bidi="ar"/>
        </w:rPr>
        <w:t>。</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国防（类）支出</w:t>
      </w:r>
      <w:r>
        <w:rPr>
          <w:rFonts w:hint="eastAsia" w:ascii="仿宋" w:hAnsi="仿宋" w:eastAsia="仿宋" w:cs="仿宋"/>
          <w:color w:val="000000"/>
          <w:kern w:val="0"/>
          <w:sz w:val="31"/>
          <w:szCs w:val="31"/>
          <w:u w:val="single"/>
          <w:lang w:val="en-US" w:eastAsia="zh-CN" w:bidi="ar"/>
        </w:rPr>
        <w:t xml:space="preserve"> 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教育（类）支出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jc w:val="left"/>
      </w:pPr>
      <w:r>
        <w:rPr>
          <w:rFonts w:hint="eastAsia" w:ascii="仿宋" w:hAnsi="仿宋" w:eastAsia="仿宋" w:cs="仿宋"/>
          <w:color w:val="000000"/>
          <w:kern w:val="0"/>
          <w:sz w:val="31"/>
          <w:szCs w:val="31"/>
          <w:lang w:val="en-US" w:eastAsia="zh-CN" w:bidi="ar"/>
        </w:rPr>
        <w:t xml:space="preserve">科学技术（类）支出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w:t>
      </w:r>
    </w:p>
    <w:p>
      <w:pPr>
        <w:keepNext w:val="0"/>
        <w:keepLines w:val="0"/>
        <w:widowControl/>
        <w:suppressLineNumbers w:val="0"/>
        <w:jc w:val="left"/>
        <w:rPr>
          <w:rFonts w:hint="eastAsia" w:ascii="仿宋" w:hAnsi="仿宋" w:eastAsia="仿宋" w:cs="仿宋"/>
          <w:color w:val="000000"/>
          <w:kern w:val="0"/>
          <w:sz w:val="31"/>
          <w:szCs w:val="31"/>
          <w:u w:val="none"/>
          <w:lang w:val="en-US" w:eastAsia="zh-CN" w:bidi="ar"/>
        </w:rPr>
      </w:pPr>
      <w:r>
        <w:rPr>
          <w:rFonts w:hint="eastAsia" w:ascii="仿宋" w:hAnsi="仿宋" w:eastAsia="仿宋" w:cs="仿宋"/>
          <w:color w:val="000000"/>
          <w:kern w:val="0"/>
          <w:sz w:val="31"/>
          <w:szCs w:val="31"/>
          <w:lang w:val="en-US" w:eastAsia="zh-CN" w:bidi="ar"/>
        </w:rPr>
        <w:t xml:space="preserve">文化旅游体育与传媒（类）支出 </w:t>
      </w:r>
      <w:r>
        <w:rPr>
          <w:rFonts w:hint="eastAsia" w:ascii="仿宋" w:hAnsi="仿宋" w:eastAsia="仿宋" w:cs="仿宋"/>
          <w:color w:val="000000"/>
          <w:kern w:val="0"/>
          <w:sz w:val="31"/>
          <w:szCs w:val="31"/>
          <w:u w:val="single"/>
          <w:lang w:val="en-US" w:eastAsia="zh-CN" w:bidi="ar"/>
        </w:rPr>
        <w:t>0</w:t>
      </w:r>
      <w:r>
        <w:rPr>
          <w:rFonts w:hint="eastAsia" w:ascii="仿宋" w:hAnsi="仿宋" w:eastAsia="仿宋" w:cs="仿宋"/>
          <w:color w:val="000000"/>
          <w:kern w:val="0"/>
          <w:sz w:val="31"/>
          <w:szCs w:val="31"/>
          <w:lang w:val="en-US" w:eastAsia="zh-CN" w:bidi="ar"/>
        </w:rPr>
        <w:t xml:space="preserve"> 万元，占 </w:t>
      </w:r>
      <w:r>
        <w:rPr>
          <w:rFonts w:hint="eastAsia" w:ascii="仿宋" w:hAnsi="仿宋" w:eastAsia="仿宋" w:cs="仿宋"/>
          <w:color w:val="000000"/>
          <w:kern w:val="0"/>
          <w:sz w:val="31"/>
          <w:szCs w:val="31"/>
          <w:u w:val="single"/>
          <w:lang w:val="en-US" w:eastAsia="zh-CN" w:bidi="ar"/>
        </w:rPr>
        <w:t>0%</w:t>
      </w:r>
    </w:p>
    <w:p>
      <w:pPr>
        <w:keepNext w:val="0"/>
        <w:keepLines w:val="0"/>
        <w:widowControl/>
        <w:suppressLineNumbers w:val="0"/>
        <w:jc w:val="left"/>
        <w:rPr>
          <w:rFonts w:hint="eastAsia" w:ascii="仿宋" w:hAnsi="仿宋" w:eastAsia="仿宋" w:cs="仿宋"/>
          <w:color w:val="000000"/>
          <w:kern w:val="0"/>
          <w:sz w:val="31"/>
          <w:szCs w:val="31"/>
          <w:u w:val="single"/>
          <w:lang w:val="en-US" w:eastAsia="zh-CN" w:bidi="ar"/>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42.92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10.29</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ascii="仿宋" w:hAnsi="仿宋" w:eastAsia="仿宋" w:cs="仿宋"/>
          <w:color w:val="000000"/>
          <w:kern w:val="0"/>
          <w:sz w:val="31"/>
          <w:szCs w:val="31"/>
          <w:u w:val="none"/>
          <w:lang w:val="en-US" w:eastAsia="zh-CN" w:bidi="ar"/>
        </w:rPr>
        <w:t>职工养老保险和职业年金缴费支出</w:t>
      </w:r>
      <w:r>
        <w:rPr>
          <w:rFonts w:hint="eastAsia" w:ascii="仿宋" w:hAnsi="仿宋" w:eastAsia="仿宋" w:cs="仿宋"/>
          <w:color w:val="000000"/>
          <w:kern w:val="0"/>
          <w:sz w:val="31"/>
          <w:szCs w:val="31"/>
          <w:u w:val="none"/>
          <w:lang w:val="en-US" w:eastAsia="zh-CN" w:bidi="ar"/>
        </w:rPr>
        <w:t>。</w:t>
      </w:r>
    </w:p>
    <w:p>
      <w:pPr>
        <w:spacing w:line="520" w:lineRule="exact"/>
        <w:rPr>
          <w:rFonts w:hint="eastAsia" w:ascii="仿宋_GB2312" w:hAnsi="仿宋_GB2312" w:cs="仿宋_GB2312"/>
          <w:szCs w:val="32"/>
          <w:lang w:val="en-US" w:eastAsia="zh-CN"/>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val="en-US" w:eastAsia="zh-CN"/>
        </w:rPr>
        <w:t>.</w:t>
      </w:r>
    </w:p>
    <w:p>
      <w:pPr>
        <w:spacing w:line="520" w:lineRule="exact"/>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24.55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5.88</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，主要用于</w:t>
      </w:r>
      <w:r>
        <w:rPr>
          <w:rFonts w:hint="eastAsia" w:ascii="仿宋_GB2312" w:hAnsi="仿宋_GB2312" w:cs="仿宋_GB2312"/>
          <w:szCs w:val="32"/>
          <w:u w:val="none"/>
          <w:lang w:val="en-US" w:eastAsia="zh-CN"/>
        </w:rPr>
        <w:t>住房公积金缴费支出</w:t>
      </w:r>
      <w:r>
        <w:rPr>
          <w:rFonts w:hint="eastAsia" w:ascii="仿宋_GB2312" w:hAnsi="仿宋_GB2312" w:eastAsia="仿宋_GB2312" w:cs="仿宋_GB2312"/>
          <w:szCs w:val="32"/>
        </w:rPr>
        <w:t>。</w:t>
      </w:r>
    </w:p>
    <w:p>
      <w:pPr>
        <w:keepNext w:val="0"/>
        <w:keepLines w:val="0"/>
        <w:widowControl/>
        <w:suppressLineNumbers w:val="0"/>
        <w:jc w:val="left"/>
      </w:pPr>
      <w:r>
        <w:rPr>
          <w:rFonts w:ascii="仿宋" w:hAnsi="仿宋" w:eastAsia="仿宋" w:cs="仿宋"/>
          <w:color w:val="000000"/>
          <w:kern w:val="0"/>
          <w:sz w:val="31"/>
          <w:szCs w:val="31"/>
          <w:lang w:val="en-US" w:eastAsia="zh-CN" w:bidi="ar"/>
        </w:rPr>
        <w:t>卫生健康（类）支出</w:t>
      </w:r>
      <w:r>
        <w:rPr>
          <w:rFonts w:ascii="仿宋" w:hAnsi="仿宋" w:eastAsia="仿宋" w:cs="仿宋"/>
          <w:color w:val="000000"/>
          <w:kern w:val="0"/>
          <w:sz w:val="31"/>
          <w:szCs w:val="31"/>
          <w:u w:val="single"/>
          <w:lang w:val="en-US" w:eastAsia="zh-CN" w:bidi="ar"/>
        </w:rPr>
        <w:t xml:space="preserve"> </w:t>
      </w:r>
      <w:r>
        <w:rPr>
          <w:rFonts w:hint="eastAsia" w:ascii="仿宋" w:hAnsi="仿宋" w:eastAsia="仿宋" w:cs="仿宋"/>
          <w:color w:val="000000"/>
          <w:kern w:val="0"/>
          <w:sz w:val="31"/>
          <w:szCs w:val="31"/>
          <w:u w:val="single"/>
          <w:lang w:val="en-US" w:eastAsia="zh-CN" w:bidi="ar"/>
        </w:rPr>
        <w:t>15.08</w:t>
      </w:r>
      <w:r>
        <w:rPr>
          <w:rFonts w:ascii="仿宋" w:hAnsi="仿宋" w:eastAsia="仿宋" w:cs="仿宋"/>
          <w:color w:val="000000"/>
          <w:kern w:val="0"/>
          <w:sz w:val="31"/>
          <w:szCs w:val="31"/>
          <w:lang w:val="en-US" w:eastAsia="zh-CN" w:bidi="ar"/>
        </w:rPr>
        <w:t>万元，占</w:t>
      </w:r>
      <w:r>
        <w:rPr>
          <w:rFonts w:hint="eastAsia" w:ascii="仿宋" w:hAnsi="仿宋" w:eastAsia="仿宋" w:cs="仿宋"/>
          <w:color w:val="000000"/>
          <w:kern w:val="0"/>
          <w:sz w:val="31"/>
          <w:szCs w:val="31"/>
          <w:u w:val="single"/>
          <w:lang w:val="en-US" w:eastAsia="zh-CN" w:bidi="ar"/>
        </w:rPr>
        <w:t>3.62</w:t>
      </w:r>
      <w:r>
        <w:rPr>
          <w:rFonts w:ascii="仿宋" w:hAnsi="仿宋" w:eastAsia="仿宋" w:cs="仿宋"/>
          <w:color w:val="000000"/>
          <w:kern w:val="0"/>
          <w:sz w:val="31"/>
          <w:szCs w:val="31"/>
          <w:lang w:val="en-US" w:eastAsia="zh-CN" w:bidi="ar"/>
        </w:rPr>
        <w:t xml:space="preserve">%，主要用于 </w:t>
      </w:r>
    </w:p>
    <w:p>
      <w:pPr>
        <w:keepNext w:val="0"/>
        <w:keepLines w:val="0"/>
        <w:widowControl/>
        <w:suppressLineNumbers w:val="0"/>
        <w:jc w:val="left"/>
        <w:rPr>
          <w:rFonts w:hint="default"/>
          <w:u w:val="none"/>
          <w:lang w:val="en-US"/>
        </w:rPr>
      </w:pPr>
      <w:r>
        <w:rPr>
          <w:rFonts w:hint="eastAsia" w:ascii="仿宋" w:hAnsi="仿宋" w:eastAsia="仿宋" w:cs="仿宋"/>
          <w:color w:val="000000"/>
          <w:kern w:val="0"/>
          <w:sz w:val="31"/>
          <w:szCs w:val="31"/>
          <w:u w:val="none"/>
          <w:lang w:val="en-US" w:eastAsia="zh-CN" w:bidi="ar"/>
        </w:rPr>
        <w:t>职工医疗保险支出。</w:t>
      </w:r>
    </w:p>
    <w:p>
      <w:pPr>
        <w:spacing w:line="520" w:lineRule="exact"/>
        <w:ind w:firstLine="200"/>
        <w:rPr>
          <w:rFonts w:hint="eastAsia" w:ascii="仿宋_GB2312" w:hAnsi="仿宋_GB2312" w:eastAsia="仿宋_GB2312" w:cs="仿宋_GB2312"/>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362.28</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317.94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44.34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楷体"/>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6.60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6.60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6.60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szCs w:val="32"/>
          <w:u w:val="none"/>
          <w:lang w:eastAsia="zh-CN"/>
        </w:rPr>
        <w:t>本部门无因公出国（境）任务</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2023年</w:t>
      </w:r>
      <w:r>
        <w:rPr>
          <w:rFonts w:hint="eastAsia" w:ascii="仿宋_GB2312" w:hAnsi="仿宋_GB2312" w:eastAsia="仿宋_GB2312" w:cs="仿宋_GB2312"/>
          <w:szCs w:val="32"/>
        </w:rPr>
        <w:t>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szCs w:val="32"/>
          <w:u w:val="none"/>
          <w:lang w:eastAsia="zh-CN"/>
        </w:rPr>
        <w:t>本部门无公务接待</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val="en-US" w:eastAsia="zh-CN"/>
        </w:rPr>
        <w:t>3</w:t>
      </w:r>
      <w:r>
        <w:rPr>
          <w:rFonts w:hint="eastAsia" w:ascii="仿宋_GB2312" w:hAnsi="仿宋_GB2312" w:cs="仿宋_GB2312"/>
          <w:szCs w:val="32"/>
          <w:lang w:eastAsia="zh-CN"/>
        </w:rPr>
        <w:t>.</w:t>
      </w:r>
      <w:r>
        <w:rPr>
          <w:rFonts w:hint="eastAsia" w:ascii="仿宋_GB2312" w:hAnsi="仿宋_GB2312" w:eastAsia="仿宋_GB2312" w:cs="仿宋_GB2312"/>
          <w:szCs w:val="32"/>
        </w:rPr>
        <w:t>公务用车购置及运行费</w:t>
      </w:r>
      <w:r>
        <w:rPr>
          <w:rFonts w:hint="eastAsia" w:ascii="仿宋_GB2312" w:hAnsi="仿宋_GB2312" w:cs="仿宋_GB2312"/>
          <w:szCs w:val="32"/>
          <w:u w:val="single"/>
          <w:lang w:val="en-US" w:eastAsia="zh-CN"/>
        </w:rPr>
        <w:t>6.60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6.60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6.60</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6.60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6.60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u w:val="single"/>
          <w:lang w:val="en-US" w:eastAsia="zh-CN"/>
        </w:rPr>
        <w:t>6.60</w:t>
      </w:r>
      <w:r>
        <w:rPr>
          <w:rFonts w:hint="eastAsia" w:ascii="仿宋_GB2312" w:hAnsi="仿宋_GB2312" w:eastAsia="仿宋_GB2312" w:cs="仿宋_GB2312"/>
          <w:szCs w:val="32"/>
        </w:rPr>
        <w:t>万元，主要原因是</w:t>
      </w:r>
      <w:r>
        <w:rPr>
          <w:rFonts w:hint="eastAsia" w:ascii="仿宋_GB2312" w:hAnsi="仿宋_GB2312" w:cs="仿宋_GB2312"/>
          <w:szCs w:val="32"/>
          <w:u w:val="none"/>
          <w:lang w:val="en-US" w:eastAsia="zh-CN"/>
        </w:rPr>
        <w:t>公务用车量增加</w:t>
      </w:r>
      <w:r>
        <w:rPr>
          <w:rFonts w:hint="eastAsia" w:ascii="仿宋_GB2312" w:hAnsi="仿宋_GB2312" w:eastAsia="仿宋_GB2312" w:cs="仿宋_GB2312"/>
          <w:szCs w:val="32"/>
        </w:rPr>
        <w:t>。</w:t>
      </w:r>
    </w:p>
    <w:p>
      <w:pPr>
        <w:ind w:firstLine="640" w:firstLineChars="200"/>
        <w:rPr>
          <w:rFonts w:eastAsia="楷体"/>
          <w:szCs w:val="32"/>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keepNext w:val="0"/>
        <w:keepLines w:val="0"/>
        <w:widowControl/>
        <w:suppressLineNumbers w:val="0"/>
        <w:ind w:firstLine="1240" w:firstLineChars="400"/>
        <w:jc w:val="left"/>
      </w:pPr>
      <w:r>
        <w:rPr>
          <w:rFonts w:ascii="仿宋" w:hAnsi="仿宋" w:eastAsia="仿宋" w:cs="仿宋"/>
          <w:color w:val="000000"/>
          <w:kern w:val="0"/>
          <w:sz w:val="31"/>
          <w:szCs w:val="31"/>
          <w:lang w:val="en-US" w:eastAsia="zh-CN" w:bidi="ar"/>
        </w:rPr>
        <w:t>本部门无政府性基金预算拨款</w:t>
      </w:r>
      <w:r>
        <w:rPr>
          <w:rFonts w:hint="eastAsia" w:ascii="仿宋" w:hAnsi="仿宋" w:eastAsia="仿宋" w:cs="仿宋"/>
          <w:color w:val="000000"/>
          <w:kern w:val="0"/>
          <w:sz w:val="31"/>
          <w:szCs w:val="31"/>
          <w:lang w:val="en-US" w:eastAsia="zh-CN" w:bidi="ar"/>
        </w:rPr>
        <w:t>。</w:t>
      </w:r>
    </w:p>
    <w:p>
      <w:pPr>
        <w:ind w:firstLine="640" w:firstLineChars="200"/>
        <w:rPr>
          <w:rFonts w:hint="eastAsia" w:ascii="黑体" w:hAnsi="黑体" w:eastAsia="黑体" w:cs="黑体"/>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keepNext w:val="0"/>
        <w:keepLines w:val="0"/>
        <w:widowControl/>
        <w:suppressLineNumbers w:val="0"/>
        <w:ind w:firstLine="1240" w:firstLineChars="400"/>
        <w:jc w:val="left"/>
      </w:pPr>
      <w:r>
        <w:rPr>
          <w:rFonts w:ascii="仿宋" w:hAnsi="仿宋" w:eastAsia="仿宋" w:cs="仿宋"/>
          <w:color w:val="000000"/>
          <w:kern w:val="0"/>
          <w:sz w:val="31"/>
          <w:szCs w:val="31"/>
          <w:lang w:val="en-US" w:eastAsia="zh-CN" w:bidi="ar"/>
        </w:rPr>
        <w:t>本部门无国有资本经营预算拨款</w:t>
      </w:r>
      <w:r>
        <w:rPr>
          <w:rFonts w:hint="eastAsia" w:ascii="仿宋" w:hAnsi="仿宋" w:eastAsia="仿宋" w:cs="仿宋"/>
          <w:color w:val="000000"/>
          <w:kern w:val="0"/>
          <w:sz w:val="31"/>
          <w:szCs w:val="31"/>
          <w:lang w:val="en-US" w:eastAsia="zh-CN" w:bidi="ar"/>
        </w:rPr>
        <w:t>。</w:t>
      </w:r>
    </w:p>
    <w:p>
      <w:pPr>
        <w:ind w:firstLine="640" w:firstLineChars="200"/>
        <w:rPr>
          <w:rFonts w:hint="eastAsia" w:ascii="黑体" w:hAnsi="黑体" w:eastAsia="黑体" w:cs="黑体"/>
          <w:szCs w:val="32"/>
          <w:highlight w:val="none"/>
        </w:rPr>
      </w:pPr>
    </w:p>
    <w:p>
      <w:pPr>
        <w:ind w:firstLine="640" w:firstLineChars="20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keepNext w:val="0"/>
        <w:keepLines w:val="0"/>
        <w:widowControl/>
        <w:suppressLineNumbers w:val="0"/>
        <w:ind w:firstLine="640" w:firstLineChars="200"/>
        <w:jc w:val="left"/>
        <w:rPr>
          <w:rFonts w:hint="default"/>
          <w:u w:val="none"/>
          <w:lang w:val="en-US"/>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u w:val="single"/>
          <w:lang w:val="en-US" w:eastAsia="zh-CN"/>
        </w:rPr>
        <w:t>1</w:t>
      </w:r>
      <w:r>
        <w:rPr>
          <w:rFonts w:hint="eastAsia" w:ascii="仿宋_GB2312" w:hAnsi="仿宋_GB2312" w:eastAsia="仿宋_GB2312" w:cs="仿宋_GB2312"/>
          <w:szCs w:val="32"/>
        </w:rPr>
        <w:t>家行政单位以及</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u w:val="single"/>
          <w:lang w:val="en-US" w:eastAsia="zh-CN"/>
        </w:rPr>
        <w:t>44.34</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17.94</w:t>
      </w:r>
      <w:r>
        <w:rPr>
          <w:rFonts w:hint="eastAsia" w:ascii="仿宋_GB2312" w:hAnsi="仿宋_GB2312" w:eastAsia="仿宋_GB2312" w:cs="仿宋_GB2312"/>
          <w:szCs w:val="32"/>
        </w:rPr>
        <w:t>万元，增长</w:t>
      </w:r>
      <w:r>
        <w:rPr>
          <w:rFonts w:hint="eastAsia" w:ascii="仿宋_GB2312" w:hAnsi="仿宋_GB2312" w:cs="仿宋_GB2312"/>
          <w:szCs w:val="32"/>
          <w:u w:val="single"/>
          <w:lang w:val="en-US" w:eastAsia="zh-CN"/>
        </w:rPr>
        <w:t>67.95</w:t>
      </w:r>
      <w:r>
        <w:rPr>
          <w:rFonts w:hint="eastAsia" w:ascii="仿宋_GB2312" w:hAnsi="仿宋_GB2312" w:eastAsia="仿宋_GB2312" w:cs="仿宋_GB2312"/>
          <w:szCs w:val="32"/>
          <w:u w:val="single"/>
        </w:rPr>
        <w:t>%</w:t>
      </w:r>
      <w:r>
        <w:rPr>
          <w:rFonts w:hint="eastAsia" w:ascii="仿宋_GB2312" w:hAnsi="仿宋_GB2312" w:eastAsia="仿宋_GB2312" w:cs="仿宋_GB2312"/>
          <w:szCs w:val="32"/>
        </w:rPr>
        <w:t>，主要原因是</w:t>
      </w:r>
      <w:bookmarkStart w:id="0" w:name="_GoBack"/>
      <w:bookmarkEnd w:id="0"/>
      <w:r>
        <w:rPr>
          <w:rFonts w:ascii="仿宋" w:hAnsi="仿宋" w:eastAsia="仿宋" w:cs="仿宋"/>
          <w:color w:val="000000"/>
          <w:kern w:val="0"/>
          <w:sz w:val="31"/>
          <w:szCs w:val="31"/>
          <w:u w:val="none"/>
          <w:lang w:val="en-US" w:eastAsia="zh-CN" w:bidi="ar"/>
        </w:rPr>
        <w:t>人员工资待遇调整</w:t>
      </w:r>
      <w:r>
        <w:rPr>
          <w:rFonts w:hint="eastAsia" w:ascii="仿宋" w:hAnsi="仿宋" w:eastAsia="仿宋" w:cs="仿宋"/>
          <w:color w:val="000000"/>
          <w:kern w:val="0"/>
          <w:sz w:val="31"/>
          <w:szCs w:val="31"/>
          <w:u w:val="none"/>
          <w:lang w:val="en-US" w:eastAsia="zh-CN" w:bidi="ar"/>
        </w:rPr>
        <w:t>和商品服务增加。</w:t>
      </w:r>
    </w:p>
    <w:p>
      <w:pPr>
        <w:numPr>
          <w:ilvl w:val="0"/>
          <w:numId w:val="1"/>
        </w:num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政府采购情况</w:t>
      </w:r>
    </w:p>
    <w:p>
      <w:pPr>
        <w:keepNext w:val="0"/>
        <w:keepLines w:val="0"/>
        <w:widowControl/>
        <w:suppressLineNumbers w:val="0"/>
        <w:ind w:firstLine="930" w:firstLineChars="300"/>
        <w:jc w:val="left"/>
        <w:rPr>
          <w:rFonts w:hint="default" w:ascii="仿宋_GB2312" w:hAnsi="仿宋_GB2312" w:eastAsia="仿宋_GB2312" w:cs="仿宋_GB2312"/>
          <w:szCs w:val="32"/>
          <w:lang w:val="en-US"/>
        </w:rPr>
      </w:pPr>
      <w:r>
        <w:rPr>
          <w:rFonts w:ascii="仿宋" w:hAnsi="仿宋" w:eastAsia="仿宋" w:cs="仿宋"/>
          <w:color w:val="000000"/>
          <w:kern w:val="0"/>
          <w:sz w:val="31"/>
          <w:szCs w:val="31"/>
          <w:lang w:val="en-US" w:eastAsia="zh-CN" w:bidi="ar"/>
        </w:rPr>
        <w:t>本部门 202</w:t>
      </w:r>
      <w:r>
        <w:rPr>
          <w:rFonts w:hint="eastAsia" w:ascii="仿宋" w:hAnsi="仿宋" w:eastAsia="仿宋" w:cs="仿宋"/>
          <w:color w:val="000000"/>
          <w:kern w:val="0"/>
          <w:sz w:val="31"/>
          <w:szCs w:val="31"/>
          <w:lang w:val="en-US" w:eastAsia="zh-CN" w:bidi="ar"/>
        </w:rPr>
        <w:t>4</w:t>
      </w:r>
      <w:r>
        <w:rPr>
          <w:rFonts w:ascii="仿宋" w:hAnsi="仿宋" w:eastAsia="仿宋" w:cs="仿宋"/>
          <w:color w:val="000000"/>
          <w:kern w:val="0"/>
          <w:sz w:val="31"/>
          <w:szCs w:val="31"/>
          <w:lang w:val="en-US" w:eastAsia="zh-CN" w:bidi="ar"/>
        </w:rPr>
        <w:t xml:space="preserve"> 年无政府采购</w:t>
      </w:r>
      <w:r>
        <w:rPr>
          <w:rFonts w:hint="eastAsia" w:ascii="仿宋" w:hAnsi="仿宋" w:eastAsia="仿宋" w:cs="仿宋"/>
          <w:color w:val="000000"/>
          <w:kern w:val="0"/>
          <w:sz w:val="31"/>
          <w:szCs w:val="31"/>
          <w:lang w:val="en-US" w:eastAsia="zh-CN" w:bidi="ar"/>
        </w:rPr>
        <w:t>预算。</w:t>
      </w:r>
    </w:p>
    <w:p>
      <w:pPr>
        <w:numPr>
          <w:ilvl w:val="0"/>
          <w:numId w:val="1"/>
        </w:numPr>
        <w:spacing w:line="540" w:lineRule="exact"/>
        <w:ind w:left="0" w:leftChars="0" w:firstLine="640" w:firstLineChars="200"/>
        <w:rPr>
          <w:rFonts w:eastAsia="楷体"/>
          <w:szCs w:val="32"/>
        </w:rPr>
      </w:pPr>
      <w:r>
        <w:rPr>
          <w:rFonts w:eastAsia="楷体"/>
          <w:szCs w:val="32"/>
        </w:rPr>
        <w:t>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2</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300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54.80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4</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54.80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4</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u w:val="single"/>
          <w:lang w:val="en-US" w:eastAsia="zh-CN"/>
        </w:rPr>
        <w:t>54.80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FZXiaoBiaoSong-B05S">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26504"/>
    <w:multiLevelType w:val="singleLevel"/>
    <w:tmpl w:val="A1A26504"/>
    <w:lvl w:ilvl="0" w:tentative="0">
      <w:start w:val="2"/>
      <w:numFmt w:val="chineseCounting"/>
      <w:suff w:val="nothing"/>
      <w:lvlText w:val="（%1）"/>
      <w:lvlJc w:val="left"/>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1MzBkNDIxMzIxNzZjNjI3ZDUwYTJhNWIzZGNjND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3223220"/>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1E03AD"/>
    <w:rsid w:val="15593E10"/>
    <w:rsid w:val="159F7E25"/>
    <w:rsid w:val="15F848D0"/>
    <w:rsid w:val="160E1FA5"/>
    <w:rsid w:val="160F2600"/>
    <w:rsid w:val="17765BCA"/>
    <w:rsid w:val="17A027D8"/>
    <w:rsid w:val="185E1C05"/>
    <w:rsid w:val="18631A1E"/>
    <w:rsid w:val="1A817DF8"/>
    <w:rsid w:val="1ADC594E"/>
    <w:rsid w:val="1AEB5252"/>
    <w:rsid w:val="1C3658A2"/>
    <w:rsid w:val="1C852172"/>
    <w:rsid w:val="1CA40C0C"/>
    <w:rsid w:val="1CFF4A32"/>
    <w:rsid w:val="1D833200"/>
    <w:rsid w:val="1E2D59A2"/>
    <w:rsid w:val="1E3A3FD0"/>
    <w:rsid w:val="1EB55C07"/>
    <w:rsid w:val="1F351A10"/>
    <w:rsid w:val="1FED47E9"/>
    <w:rsid w:val="206816AC"/>
    <w:rsid w:val="2288144A"/>
    <w:rsid w:val="22A4003E"/>
    <w:rsid w:val="23984063"/>
    <w:rsid w:val="23CE11F0"/>
    <w:rsid w:val="23EC61F6"/>
    <w:rsid w:val="244C543C"/>
    <w:rsid w:val="24624768"/>
    <w:rsid w:val="2539376C"/>
    <w:rsid w:val="254C6FAD"/>
    <w:rsid w:val="259B5BC5"/>
    <w:rsid w:val="25C7462E"/>
    <w:rsid w:val="25F62C4E"/>
    <w:rsid w:val="265718D7"/>
    <w:rsid w:val="26643D6C"/>
    <w:rsid w:val="26A30B9B"/>
    <w:rsid w:val="26FE109D"/>
    <w:rsid w:val="27073E1E"/>
    <w:rsid w:val="27B04AB3"/>
    <w:rsid w:val="28A63332"/>
    <w:rsid w:val="29C45F24"/>
    <w:rsid w:val="2D032ED5"/>
    <w:rsid w:val="2DF8796C"/>
    <w:rsid w:val="2EB22F18"/>
    <w:rsid w:val="2EE12108"/>
    <w:rsid w:val="2EED35E3"/>
    <w:rsid w:val="2F250383"/>
    <w:rsid w:val="2F63610B"/>
    <w:rsid w:val="300965A3"/>
    <w:rsid w:val="30730D6E"/>
    <w:rsid w:val="30B91A70"/>
    <w:rsid w:val="30DF36A6"/>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0DA418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26817C9"/>
    <w:rsid w:val="53220A8C"/>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5F644535"/>
    <w:rsid w:val="611002E0"/>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6D383C0C"/>
    <w:rsid w:val="714213DD"/>
    <w:rsid w:val="717F272E"/>
    <w:rsid w:val="728027C6"/>
    <w:rsid w:val="72D54D7C"/>
    <w:rsid w:val="737664E0"/>
    <w:rsid w:val="73FE7ACC"/>
    <w:rsid w:val="74053F35"/>
    <w:rsid w:val="74556746"/>
    <w:rsid w:val="74AB7A24"/>
    <w:rsid w:val="75507461"/>
    <w:rsid w:val="76BB79B1"/>
    <w:rsid w:val="76C17E06"/>
    <w:rsid w:val="76CA67BD"/>
    <w:rsid w:val="774E6400"/>
    <w:rsid w:val="775B0046"/>
    <w:rsid w:val="78796248"/>
    <w:rsid w:val="79700BEF"/>
    <w:rsid w:val="79F85634"/>
    <w:rsid w:val="7A090695"/>
    <w:rsid w:val="7A8A7157"/>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5</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2024-01-30T01:24:00Z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