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keepNext w:val="0"/>
        <w:keepLines w:val="0"/>
        <w:widowControl/>
        <w:suppressLineNumbers w:val="0"/>
        <w:jc w:val="center"/>
        <w:rPr>
          <w:rFonts w:hint="eastAsia" w:ascii="宋体" w:hAnsi="宋体" w:eastAsia="宋体" w:cs="宋体"/>
          <w:color w:val="000000"/>
          <w:kern w:val="0"/>
          <w:sz w:val="43"/>
          <w:szCs w:val="43"/>
          <w:lang w:val="en-US" w:eastAsia="zh-CN" w:bidi="ar"/>
        </w:rPr>
      </w:pPr>
      <w:r>
        <w:rPr>
          <w:rFonts w:hint="eastAsia" w:ascii="方正小标宋_GBK" w:hAnsi="方正小标宋_GBK" w:eastAsia="方正小标宋_GBK" w:cs="方正小标宋_GBK"/>
          <w:color w:val="000000"/>
          <w:kern w:val="0"/>
          <w:sz w:val="43"/>
          <w:szCs w:val="43"/>
          <w:lang w:val="en-US" w:eastAsia="zh-CN" w:bidi="ar"/>
        </w:rPr>
        <w:t>通榆县八面乡综合服务中心</w:t>
      </w:r>
    </w:p>
    <w:p>
      <w:pPr>
        <w:keepNext w:val="0"/>
        <w:keepLines w:val="0"/>
        <w:widowControl/>
        <w:suppressLineNumbers w:val="0"/>
        <w:jc w:val="center"/>
      </w:pPr>
      <w:r>
        <w:rPr>
          <w:rFonts w:hint="eastAsia" w:ascii="仿宋" w:hAnsi="仿宋" w:eastAsia="仿宋" w:cs="仿宋"/>
          <w:color w:val="000000"/>
          <w:kern w:val="0"/>
          <w:sz w:val="43"/>
          <w:szCs w:val="43"/>
          <w:lang w:val="en-US" w:eastAsia="zh-CN" w:bidi="ar"/>
        </w:rPr>
        <w:t>2024</w:t>
      </w:r>
      <w:r>
        <w:rPr>
          <w:rFonts w:hint="default" w:ascii="方正小标宋简体" w:hAnsi="方正小标宋简体" w:eastAsia="方正小标宋简体" w:cs="方正小标宋简体"/>
          <w:color w:val="000000"/>
          <w:kern w:val="0"/>
          <w:sz w:val="43"/>
          <w:szCs w:val="43"/>
          <w:lang w:val="en-US" w:eastAsia="zh-CN" w:bidi="ar"/>
        </w:rPr>
        <w:t>年部门预算</w:t>
      </w:r>
    </w:p>
    <w:p>
      <w:pPr>
        <w:jc w:val="center"/>
        <w:rPr>
          <w:rFonts w:eastAsia="方正小标宋简体"/>
          <w:sz w:val="44"/>
          <w:szCs w:val="44"/>
        </w:rPr>
      </w:pPr>
    </w:p>
    <w:p>
      <w:pPr>
        <w:jc w:val="left"/>
      </w:pPr>
      <w:r>
        <w:tab/>
      </w:r>
      <w:r>
        <w:tab/>
      </w:r>
      <w:r>
        <w:tab/>
      </w:r>
      <w:r>
        <w:tab/>
      </w:r>
      <w:r>
        <w:tab/>
      </w:r>
      <w:r>
        <w:tab/>
      </w:r>
    </w:p>
    <w:p>
      <w:pPr>
        <w:jc w:val="left"/>
      </w:pPr>
    </w:p>
    <w:p>
      <w:pPr>
        <w:jc w:val="left"/>
      </w:pPr>
    </w:p>
    <w:p>
      <w:pPr>
        <w:jc w:val="left"/>
      </w:pPr>
    </w:p>
    <w:p>
      <w:pPr>
        <w:jc w:val="left"/>
        <w:rPr>
          <w:rFonts w:hint="eastAsia" w:ascii="仿宋" w:hAnsi="仿宋" w:eastAsia="仿宋" w:cs="仿宋"/>
        </w:rPr>
      </w:pPr>
    </w:p>
    <w:p>
      <w:pPr>
        <w:jc w:val="center"/>
        <w:rPr>
          <w:rFonts w:hint="eastAsia" w:ascii="仿宋" w:hAnsi="仿宋" w:eastAsia="仿宋" w:cs="仿宋"/>
          <w:lang w:val="en-US" w:eastAsia="zh-CN"/>
        </w:rPr>
      </w:pPr>
    </w:p>
    <w:p>
      <w:pPr>
        <w:jc w:val="center"/>
        <w:rPr>
          <w:rFonts w:hint="eastAsia" w:ascii="仿宋" w:hAnsi="仿宋" w:eastAsia="仿宋" w:cs="仿宋"/>
          <w:lang w:val="en-US" w:eastAsia="zh-CN"/>
        </w:rPr>
      </w:pPr>
    </w:p>
    <w:p>
      <w:pPr>
        <w:jc w:val="center"/>
        <w:rPr>
          <w:rFonts w:hint="eastAsia" w:ascii="仿宋" w:hAnsi="仿宋" w:eastAsia="仿宋" w:cs="仿宋"/>
        </w:rPr>
      </w:pPr>
      <w:r>
        <w:rPr>
          <w:rFonts w:hint="eastAsia" w:ascii="仿宋" w:hAnsi="仿宋" w:eastAsia="仿宋" w:cs="仿宋"/>
          <w:lang w:val="en-US" w:eastAsia="zh-CN"/>
        </w:rPr>
        <w:t>2024年1月30日</w:t>
      </w:r>
    </w:p>
    <w:p>
      <w:pPr>
        <w:jc w:val="left"/>
      </w:pPr>
    </w:p>
    <w:p>
      <w:pPr>
        <w:jc w:val="left"/>
      </w:pPr>
    </w:p>
    <w:p>
      <w:pPr>
        <w:jc w:val="left"/>
      </w:pPr>
    </w:p>
    <w:p>
      <w:pPr>
        <w:ind w:firstLine="640" w:firstLineChars="200"/>
        <w:rPr>
          <w:rFonts w:eastAsia="黑体"/>
        </w:rPr>
      </w:pPr>
      <w:r>
        <w:rPr>
          <w:rFonts w:eastAsia="黑体"/>
        </w:rPr>
        <w:br w:type="page"/>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rPr>
          <w:rFonts w:eastAsia="楷体_GB2312"/>
        </w:rPr>
      </w:pPr>
      <w:r>
        <w:rPr>
          <w:rFonts w:eastAsia="楷体_GB2312"/>
        </w:rPr>
        <w:t>主要职能</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承担农业（畜牧业）、自然资源、林业（草原）、水利、文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化、体育、劳动和社会保障、卫生健康、退役军人保障等服务工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作；负责行政审批服务窗口具体事务性工作；完成党委、政府交 </w:t>
      </w:r>
    </w:p>
    <w:p>
      <w:pPr>
        <w:keepNext w:val="0"/>
        <w:keepLines w:val="0"/>
        <w:widowControl/>
        <w:suppressLineNumbers w:val="0"/>
        <w:jc w:val="left"/>
        <w:rPr>
          <w:rFonts w:hint="eastAsia" w:eastAsia="仿宋"/>
          <w:lang w:val="en-US" w:eastAsia="zh-CN"/>
        </w:rPr>
      </w:pPr>
      <w:r>
        <w:rPr>
          <w:rFonts w:hint="eastAsia" w:ascii="仿宋" w:hAnsi="仿宋" w:eastAsia="仿宋" w:cs="仿宋"/>
          <w:color w:val="000000"/>
          <w:kern w:val="0"/>
          <w:sz w:val="31"/>
          <w:szCs w:val="31"/>
          <w:lang w:val="en-US" w:eastAsia="zh-CN" w:bidi="ar"/>
        </w:rPr>
        <w:t>办的其他任务。</w:t>
      </w:r>
    </w:p>
    <w:p>
      <w:pPr>
        <w:ind w:firstLine="640" w:firstLineChars="200"/>
      </w:pPr>
      <w:r>
        <w:rPr>
          <w:rFonts w:eastAsia="楷体_GB2312"/>
        </w:rPr>
        <w:t>二、机构设置</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根据上述职责，通榆县八面乡综合服务中心设 12 个内设机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构，分别为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（一）农业工作站。负责本辖区农作物栽培技术、土壤肥料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技术、植物保护技术推广工作规划和年度计划的制定并组织实施。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负责组织本辖区农民农业专业技术培训，提供农业技术信息服务，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培育和推广农业典型经验。负责测土配方施肥技术推广应用和肥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料新产品、新品种、新技术、新成果的试验、示范和推广工作。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负责耕地质量保护与建设管理工作。负责蔬菜、园艺特产的技术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指导及信息服务。组织开展对农民、农业生产经营组织、科技示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范户和农药经营人员培训工作。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（二）畜牧工作站。负责组织实施本辖区动物疫病的免疫、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监测、预警、预报、实验室诊断、流行病学调查分析、病情报告；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负责提出本辖区重大动物疫病防控规划、扑灭计划、应急预案建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议、指导人畜共患病防治工作；负责动物疫情收集、汇总、分析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及重大动物疫情预警预报工作；畜牧兽医技术推广；负责公益性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推广、疫病防控、疫情监测、动物检疫，负责动物疫病防治技术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指导、技术培训科普宣传等。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（三）农村经济管理站。主要负责资金、资产、资源的“三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资”管理，村社财务会计核算和惠农资金的落实，以及财务公开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工作。做好土地承包经营权流转工作，维护农民土地承包权益。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依据《农民专业合作社法》，协助主管部门指导农户组建农民专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业合作社。准确、及时、全面、系统地搞好农村经济情况的调查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统计工作。抓好乡镇村组财务人员的业务培训工作，协助开展村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级财务审计，确保村组集体资金的安全和保值增值，以及各项政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策的贯彻落实。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（四）农机推广站。协助农机管理部门落实农机新技术、新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机具的试验、示范及推广的基础工作；实施农业机械试验推广，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向群众推荐优质适用的农业机械；协助农机管理部门对农机具安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全作业进行管理，协助做好拖拉机牌、证的初审工作；负责农机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购置补贴的申报；宣传贯彻国家有关农业机械化的方针、政策和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法律、法规、规章；负责本辖区农机具普查、登记工作，发生重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大农机事故随时上报；逐步建立和完善农机化网站信息服务，开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展农机社会化服务；负责本辖区农机机械化统计。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（五）林业工作站。宣传与贯彻执行《森林法》和国家及地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方的林业方针政策；协助当地政府制定林业长远规划和年度计划，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指导和组织农村集体、个人开展各项林业生产经营活动；按照上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级林业主管部门的安排配合林业调查设计单位开展森林资源调查，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负责造林检查验收、林业统计和森林资源档案管理，掌握本站辖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区内的森林资源消长变化情况；配合林业主管部门开展森林防火、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林业有害生物防治等工作；核定并落实集体和个人的年度采伐指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标；为调处林地纠纷，查处毁林案件等工作提供服务保障，维护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森林资源安全；负责组织本辖区的森林病虫害防治工作；传播林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业科学技术，总结和推广林业生产先进经验，开展本辖区的林业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技术培训、技术咨询和技术服务；协助上级主管部门管好用好当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地各项林业资金。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（六）水利工作站。负责国家、省、市、县各级政府涉水法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律和方针政策的贯彻实施，实行依法治水、依法管水；协助制定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本辖区水利建设中长期规划、年度实施计划，协助组织制定水资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源开发、配置和保护以及农田水利基本建设、水土保持、防洪等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相关专业规划；负责本辖区农业、工业、生活用水的计划制定与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节水、水环境保护、水污染防治等涉水事务；协助主管部门做好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本辖区水利工程建设管理工作，协助做好辖区内各类水利工程设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施管理体制改革；承担本辖区防汛抗旱日常工作，做好防汛抗旱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物资的筹集、调拨；组织指导本辖区水土保持工作；承担节水新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技术、新措施的推广运用，发展节水灌溉，解决人畜饮水，推进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实现人饮安全战略。协助主管部门做好区域内水质检测、政府投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资兴建的农村饮水安全工程运行管理的维护等工作。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（七）文化工作站。对农家书屋、文化大院进行管理；开展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图书报刊借阅活动；组织文艺演出活动；开展数字文化信息服务；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开展文化遗产保护传承活动；开展公共文化资源配送和流动服务；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组织体育健身活动。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（八）计划生育工作站。贯彻实施有关人口与计划生育的法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律、法规以及上级的有关指示，开展人口国情教育，普及人口与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计划生育基础知识。负责计划生育日常工作的实施，组织开展人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口与计划生育宣传教育和技术服务，负责计划生育工作人员的培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训和队伍建设。负责出生缺陷优生筛查的调查随访工作。受理行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政区域内的违反人口和计划生育法律、法规的举报考核。提供人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口和计划生育工作信息。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（九）国土资源所。宣传、贯彻国土资源管理的法律、法规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及方针、政策；配合乡政府编制好本辖区内的国土空间、矿产资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源开发规划，并严格执行；受上级自然资源行政管理部门和乡政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府的委托，负责本行政区内国土空间总体规划修编前期工作，划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定基本农田保护区及耕地保护工作；负责农村村民建房的选址定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点、报批代办及竣工验收工作。负责辖区内取土场、设施农用地、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临时用地等管理工作；负责农村集体土地所有权、使用权登记发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证的初审呈报及土地利用现状的变更调查工作；参与辖区内采矿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权申请登记、延续登记、变更登记和注销登记的预审或初审工作；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参与辖区新增建设用地的预审和报批工作；配合上级自然资源行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政管理部门做好辖区内土地开发整理工作；配合乡政府做好辖区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内地质灾害防治和地质环境保护工作；负责本辖区内国土资源动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态巡查，及时发现、制止土地（除农业农村主管部门监管部分）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和地质矿产违法行为，为查处国土资源违法案件、调处土地、矿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业权属纠纷等工作提供服务保障；做好本辖区国土资源信访接待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（十）人力资源社会保障事务所。负责就业、劳动和社会保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障等法律、法规、政策的宣传和咨询工作；负责辖区内劳动力资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源统计；负责收集发布劳动力供求信息；掌握辖区内劳动力人员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信息，报送各种业务报表；配合有关单位开展辖区内社会养老、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医疗、失业等劳动和社会保障服务，检查辖区内用人单位的劳动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用工情况，维护劳动者与离退休人员合法权益。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（十一）广播站。管理维护广播电视设施；为查处自办广播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电视节目、自行接收境外非法广播电视节目信号行为等工作提供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服务保障；配合本级党委政府的中心工作举办广播节目。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（十二）退役军人工作站。面对面、个性化、一对一服务退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役军人，做好关系转接、联络接待、困难帮扶、信息采集、情况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反映、立功报喜、悬挂光荣牌和“八一”、春节等节日以及重大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变故走访慰问等具体事务，搭建政策咨询、帮扶援助、沟通联系、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学习交流等活动场所，把党和政府的关怀送到每一个退役军人身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边</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bCs w:val="0"/>
                <w:color w:val="000000"/>
                <w:kern w:val="0"/>
                <w:sz w:val="20"/>
              </w:rPr>
            </w:pPr>
            <w:r>
              <w:rPr>
                <w:rFonts w:hint="eastAsia" w:ascii="仿宋_GB2312"/>
                <w:b/>
                <w:bCs w:val="0"/>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426.04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699.54</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val="0"/>
                <w:color w:val="000000"/>
                <w:kern w:val="0"/>
                <w:sz w:val="20"/>
              </w:rPr>
            </w:pPr>
            <w:r>
              <w:rPr>
                <w:rFonts w:hint="eastAsia" w:ascii="仿宋_GB2312"/>
                <w:b/>
                <w:bCs w:val="0"/>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77.60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128.96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42.08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color w:val="000000"/>
                <w:kern w:val="0"/>
                <w:sz w:val="20"/>
              </w:rPr>
            </w:pPr>
            <w:r>
              <w:rPr>
                <w:rFonts w:hint="eastAsia" w:ascii="仿宋_GB2312"/>
                <w:b/>
                <w:bCs w:val="0"/>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24.86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val="0"/>
                <w:sz w:val="20"/>
              </w:rPr>
            </w:pPr>
            <w:r>
              <w:rPr>
                <w:rFonts w:hint="eastAsia" w:ascii="仿宋_GB2312"/>
                <w:b/>
                <w:bCs w:val="0"/>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r>
              <w:rPr>
                <w:rFonts w:eastAsia="宋体"/>
                <w:b/>
                <w:bCs w:val="0"/>
                <w:kern w:val="0"/>
                <w:sz w:val="20"/>
              </w:rPr>
              <w:t>本年支出</w:t>
            </w:r>
            <w:r>
              <w:rPr>
                <w:rFonts w:hint="eastAsia" w:eastAsia="宋体"/>
                <w:b/>
                <w:bCs w:val="0"/>
                <w:kern w:val="0"/>
                <w:sz w:val="20"/>
                <w:lang w:val="en-US" w:eastAsia="zh-CN"/>
              </w:rPr>
              <w:t xml:space="preserve">  </w:t>
            </w:r>
            <w:r>
              <w:rPr>
                <w:rFonts w:eastAsia="宋体"/>
                <w:b/>
                <w:bCs w:val="0"/>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699.54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699.54</w:t>
            </w:r>
          </w:p>
        </w:tc>
        <w:tc>
          <w:tcPr>
            <w:tcW w:w="1158"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r>
              <w:rPr>
                <w:rFonts w:eastAsia="宋体"/>
                <w:b/>
                <w:bCs w:val="0"/>
                <w:kern w:val="0"/>
                <w:sz w:val="20"/>
              </w:rPr>
              <w:t>结转下年</w:t>
            </w:r>
            <w:r>
              <w:rPr>
                <w:rFonts w:hint="eastAsia" w:eastAsia="宋体"/>
                <w:b/>
                <w:bCs w:val="0"/>
                <w:kern w:val="0"/>
                <w:sz w:val="20"/>
                <w:lang w:val="en-US" w:eastAsia="zh-CN"/>
              </w:rPr>
              <w:t xml:space="preserve">  </w:t>
            </w:r>
            <w:r>
              <w:rPr>
                <w:rFonts w:hint="eastAsia" w:eastAsia="宋体"/>
                <w:b/>
                <w:bCs w:val="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val="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r>
              <w:rPr>
                <w:rFonts w:hint="eastAsia" w:eastAsia="宋体"/>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699.54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0.00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80" w:type="dxa"/>
        <w:jc w:val="center"/>
        <w:tblLayout w:type="fixed"/>
        <w:tblCellMar>
          <w:top w:w="0" w:type="dxa"/>
          <w:left w:w="108" w:type="dxa"/>
          <w:bottom w:w="0" w:type="dxa"/>
          <w:right w:w="108" w:type="dxa"/>
        </w:tblCellMar>
      </w:tblPr>
      <w:tblGrid>
        <w:gridCol w:w="428"/>
        <w:gridCol w:w="1000"/>
        <w:gridCol w:w="625"/>
        <w:gridCol w:w="552"/>
        <w:gridCol w:w="689"/>
        <w:gridCol w:w="507"/>
        <w:gridCol w:w="304"/>
        <w:gridCol w:w="283"/>
        <w:gridCol w:w="264"/>
        <w:gridCol w:w="365"/>
        <w:gridCol w:w="344"/>
        <w:gridCol w:w="258"/>
        <w:gridCol w:w="21"/>
        <w:gridCol w:w="107"/>
        <w:gridCol w:w="257"/>
        <w:gridCol w:w="146"/>
        <w:gridCol w:w="322"/>
        <w:gridCol w:w="209"/>
        <w:gridCol w:w="207"/>
        <w:gridCol w:w="324"/>
        <w:gridCol w:w="92"/>
        <w:gridCol w:w="416"/>
        <w:gridCol w:w="416"/>
        <w:gridCol w:w="416"/>
        <w:gridCol w:w="376"/>
        <w:gridCol w:w="52"/>
      </w:tblGrid>
      <w:tr>
        <w:tblPrEx>
          <w:tblCellMar>
            <w:top w:w="0" w:type="dxa"/>
            <w:left w:w="108" w:type="dxa"/>
            <w:bottom w:w="0" w:type="dxa"/>
            <w:right w:w="108" w:type="dxa"/>
          </w:tblCellMar>
        </w:tblPrEx>
        <w:trPr>
          <w:gridAfter w:val="1"/>
          <w:wAfter w:w="52"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24"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967"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52"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2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3951"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2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5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8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8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2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10"/>
                <w:szCs w:val="10"/>
              </w:rPr>
            </w:pPr>
            <w:r>
              <w:rPr>
                <w:rFonts w:ascii="方正小标宋简体" w:hAnsi="方正小标宋简体" w:eastAsia="方正小标宋简体" w:cs="方正小标宋简体"/>
                <w:color w:val="000000"/>
                <w:kern w:val="0"/>
                <w:sz w:val="22"/>
                <w:szCs w:val="22"/>
                <w:lang w:val="en-US" w:eastAsia="zh-CN" w:bidi="ar"/>
              </w:rPr>
              <w:t>通榆县八面乡</w:t>
            </w:r>
            <w:r>
              <w:rPr>
                <w:rFonts w:hint="eastAsia" w:ascii="宋体" w:hAnsi="宋体" w:eastAsia="宋体" w:cs="宋体"/>
                <w:color w:val="000000"/>
                <w:kern w:val="0"/>
                <w:sz w:val="22"/>
                <w:szCs w:val="22"/>
                <w:lang w:val="en-US" w:eastAsia="zh-CN" w:bidi="ar"/>
              </w:rPr>
              <w:t>综合服务中心</w:t>
            </w:r>
          </w:p>
        </w:tc>
        <w:tc>
          <w:tcPr>
            <w:tcW w:w="62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699.54</w:t>
            </w:r>
          </w:p>
        </w:tc>
        <w:tc>
          <w:tcPr>
            <w:tcW w:w="55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699.54</w:t>
            </w:r>
          </w:p>
        </w:tc>
        <w:tc>
          <w:tcPr>
            <w:tcW w:w="68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699.54</w:t>
            </w:r>
          </w:p>
        </w:tc>
        <w:tc>
          <w:tcPr>
            <w:tcW w:w="507"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0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83"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26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4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79"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4"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6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2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699.54</w:t>
            </w:r>
          </w:p>
        </w:tc>
        <w:tc>
          <w:tcPr>
            <w:tcW w:w="55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699.54</w:t>
            </w:r>
          </w:p>
        </w:tc>
        <w:tc>
          <w:tcPr>
            <w:tcW w:w="68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699.54</w:t>
            </w:r>
          </w:p>
        </w:tc>
        <w:tc>
          <w:tcPr>
            <w:tcW w:w="5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3"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6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9"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6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default" w:ascii="Verdana" w:hAnsi="Verdana" w:eastAsia="宋体" w:cs="Verdana"/>
                      <w:i w:val="0"/>
                      <w:iCs w:val="0"/>
                      <w:color w:val="000000"/>
                      <w:kern w:val="0"/>
                      <w:sz w:val="20"/>
                      <w:szCs w:val="20"/>
                      <w:u w:val="none"/>
                      <w:lang w:val="en-US" w:eastAsia="zh-CN" w:bidi="ar"/>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426.04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426.04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426.04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426.04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ascii="Verdana" w:hAnsi="Verdana" w:eastAsia="仿宋_GB2312" w:cs="Verdana"/>
                      <w:i w:val="0"/>
                      <w:iCs w:val="0"/>
                      <w:color w:val="000000"/>
                      <w:kern w:val="2"/>
                      <w:sz w:val="24"/>
                      <w:szCs w:val="24"/>
                      <w:u w:val="none"/>
                      <w:lang w:val="en-US" w:eastAsia="zh-CN" w:bidi="ar-SA"/>
                    </w:rPr>
                  </w:pPr>
                  <w:r>
                    <w:rPr>
                      <w:rFonts w:hint="eastAsia" w:ascii="Verdana" w:hAnsi="Verdana" w:eastAsia="宋体" w:cs="Verdana"/>
                      <w:i w:val="0"/>
                      <w:iCs w:val="0"/>
                      <w:color w:val="000000"/>
                      <w:kern w:val="0"/>
                      <w:sz w:val="22"/>
                      <w:szCs w:val="22"/>
                      <w:u w:val="none"/>
                      <w:lang w:val="en-US" w:eastAsia="zh-CN" w:bidi="ar"/>
                    </w:rPr>
                    <w:t>二、</w:t>
                  </w:r>
                  <w:r>
                    <w:rPr>
                      <w:rFonts w:hint="default" w:ascii="Verdana" w:hAnsi="Verdana" w:eastAsia="宋体" w:cs="Verdana"/>
                      <w:i w:val="0"/>
                      <w:iCs w:val="0"/>
                      <w:color w:val="000000"/>
                      <w:kern w:val="0"/>
                      <w:sz w:val="22"/>
                      <w:szCs w:val="22"/>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77.60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77.60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60.26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ascii="Verdana" w:hAnsi="Verdana" w:eastAsia="仿宋_GB2312" w:cs="Verdana"/>
                      <w:i w:val="0"/>
                      <w:iCs w:val="0"/>
                      <w:color w:val="000000"/>
                      <w:kern w:val="2"/>
                      <w:sz w:val="24"/>
                      <w:szCs w:val="24"/>
                      <w:u w:val="none"/>
                      <w:lang w:val="en-US" w:eastAsia="zh-CN" w:bidi="ar-SA"/>
                    </w:rPr>
                  </w:pPr>
                  <w:r>
                    <w:rPr>
                      <w:rFonts w:hint="eastAsia" w:ascii="Verdana" w:hAnsi="Verdana" w:eastAsia="宋体" w:cs="Verdana"/>
                      <w:i w:val="0"/>
                      <w:iCs w:val="0"/>
                      <w:color w:val="000000"/>
                      <w:kern w:val="0"/>
                      <w:sz w:val="22"/>
                      <w:szCs w:val="22"/>
                      <w:u w:val="none"/>
                      <w:lang w:val="en-US" w:eastAsia="zh-CN" w:bidi="ar"/>
                    </w:rPr>
                    <w:t>三、</w:t>
                  </w:r>
                  <w:r>
                    <w:rPr>
                      <w:rFonts w:hint="default" w:ascii="Verdana" w:hAnsi="Verdana" w:eastAsia="宋体" w:cs="Verdana"/>
                      <w:i w:val="0"/>
                      <w:iCs w:val="0"/>
                      <w:color w:val="000000"/>
                      <w:kern w:val="0"/>
                      <w:sz w:val="22"/>
                      <w:szCs w:val="22"/>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仿宋_GB2312" w:cs="Verdana"/>
                      <w:i w:val="0"/>
                      <w:iCs w:val="0"/>
                      <w:color w:val="000000"/>
                      <w:kern w:val="2"/>
                      <w:sz w:val="24"/>
                      <w:szCs w:val="24"/>
                      <w:u w:val="none"/>
                      <w:lang w:val="en-US" w:eastAsia="zh-CN" w:bidi="ar-SA"/>
                    </w:rPr>
                  </w:pPr>
                  <w:r>
                    <w:rPr>
                      <w:rFonts w:hint="eastAsia" w:ascii="Verdana" w:hAnsi="Verdana" w:eastAsia="宋体" w:cs="Verdana"/>
                      <w:i w:val="0"/>
                      <w:iCs w:val="0"/>
                      <w:color w:val="000000"/>
                      <w:kern w:val="0"/>
                      <w:sz w:val="22"/>
                      <w:szCs w:val="22"/>
                      <w:u w:val="none"/>
                      <w:lang w:val="en-US" w:eastAsia="zh-CN" w:bidi="ar"/>
                    </w:rPr>
                    <w:t>四、</w:t>
                  </w:r>
                  <w:r>
                    <w:rPr>
                      <w:rFonts w:hint="default" w:ascii="Verdana" w:hAnsi="Verdana" w:eastAsia="宋体" w:cs="Verdana"/>
                      <w:i w:val="0"/>
                      <w:iCs w:val="0"/>
                      <w:color w:val="000000"/>
                      <w:kern w:val="0"/>
                      <w:sz w:val="22"/>
                      <w:szCs w:val="22"/>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128.96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Verdana" w:hAnsi="Verdana" w:eastAsia="宋体" w:cs="Verdana"/>
                      <w:i w:val="0"/>
                      <w:iCs w:val="0"/>
                      <w:color w:val="000000"/>
                      <w:kern w:val="0"/>
                      <w:sz w:val="22"/>
                      <w:szCs w:val="22"/>
                      <w:u w:val="none"/>
                      <w:lang w:val="en-US" w:eastAsia="zh-CN" w:bidi="ar"/>
                    </w:rPr>
                  </w:pPr>
                  <w:r>
                    <w:rPr>
                      <w:rFonts w:hint="eastAsia" w:ascii="Verdana" w:hAnsi="Verdana" w:eastAsia="宋体" w:cs="Verdana"/>
                      <w:i w:val="0"/>
                      <w:iCs w:val="0"/>
                      <w:color w:val="000000"/>
                      <w:kern w:val="0"/>
                      <w:sz w:val="22"/>
                      <w:szCs w:val="22"/>
                      <w:u w:val="none"/>
                      <w:lang w:val="en-US" w:eastAsia="zh-CN" w:bidi="ar"/>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128.96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五、住房保障支出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42.08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42.08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20" w:firstLineChars="10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42.08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42.08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699.54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68"/>
              <w:gridCol w:w="783"/>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8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8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699.54</w:t>
                  </w: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699.54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426.04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426.04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699.54</w:t>
                  </w: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699.54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77.60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77.60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24.86</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24.86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128.96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128.96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42.08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699.54</w:t>
                  </w: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699.54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699.54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699.54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6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8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699.54</w:t>
                  </w:r>
                  <w:r>
                    <w:rPr>
                      <w:rFonts w:eastAsia="黑体"/>
                      <w:kern w:val="0"/>
                      <w:sz w:val="20"/>
                    </w:rPr>
                    <w:t>　</w:t>
                  </w:r>
                </w:p>
              </w:tc>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699.54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699.54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699.54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386.68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pPr>
                  <w:r>
                    <w:rPr>
                      <w:rFonts w:eastAsia="宋体"/>
                      <w:color w:val="000000"/>
                      <w:kern w:val="0"/>
                      <w:sz w:val="20"/>
                    </w:rPr>
                    <w:t xml:space="preserve">   </w:t>
                  </w:r>
                  <w:r>
                    <w:rPr>
                      <w:rFonts w:hint="eastAsia" w:eastAsia="宋体"/>
                      <w:color w:val="000000"/>
                      <w:kern w:val="0"/>
                      <w:sz w:val="20"/>
                      <w:lang w:val="en-US" w:eastAsia="zh-CN"/>
                    </w:rPr>
                    <w:t xml:space="preserve">  </w:t>
                  </w:r>
                  <w:r>
                    <w:rPr>
                      <w:rFonts w:eastAsia="宋体"/>
                      <w:color w:val="000000"/>
                      <w:kern w:val="0"/>
                      <w:sz w:val="20"/>
                    </w:rPr>
                    <w:t xml:space="preserve"> </w:t>
                  </w:r>
                  <w:r>
                    <w:rPr>
                      <w:rFonts w:hint="eastAsia" w:ascii="宋体" w:hAnsi="宋体" w:eastAsia="宋体" w:cs="宋体"/>
                      <w:color w:val="000000"/>
                      <w:kern w:val="0"/>
                      <w:sz w:val="19"/>
                      <w:szCs w:val="19"/>
                      <w:lang w:val="en-US" w:eastAsia="zh-CN" w:bidi="ar"/>
                    </w:rPr>
                    <w:t xml:space="preserve">政府办公厅（室）及相关机构 </w:t>
                  </w:r>
                </w:p>
                <w:p>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事务 </w:t>
                  </w:r>
                </w:p>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386.68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426.04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386.68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pPr>
                  <w:r>
                    <w:rPr>
                      <w:rFonts w:eastAsia="宋体"/>
                      <w:color w:val="000000"/>
                      <w:kern w:val="0"/>
                      <w:sz w:val="20"/>
                    </w:rPr>
                    <w:t xml:space="preserve">   </w:t>
                  </w:r>
                  <w:r>
                    <w:rPr>
                      <w:rFonts w:hint="eastAsia" w:ascii="宋体" w:hAnsi="宋体" w:eastAsia="宋体" w:cs="宋体"/>
                      <w:color w:val="000000"/>
                      <w:kern w:val="0"/>
                      <w:sz w:val="19"/>
                      <w:szCs w:val="19"/>
                      <w:lang w:val="en-US" w:eastAsia="zh-CN" w:bidi="ar"/>
                    </w:rPr>
                    <w:t>二、社会保障和就业支出</w:t>
                  </w:r>
                </w:p>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570" w:firstLineChars="300"/>
                    <w:jc w:val="left"/>
                  </w:pPr>
                  <w:r>
                    <w:rPr>
                      <w:rFonts w:hint="eastAsia" w:ascii="宋体" w:hAnsi="宋体" w:eastAsia="宋体" w:cs="宋体"/>
                      <w:color w:val="000000"/>
                      <w:kern w:val="0"/>
                      <w:sz w:val="19"/>
                      <w:szCs w:val="19"/>
                      <w:lang w:val="en-US" w:eastAsia="zh-CN" w:bidi="ar"/>
                    </w:rPr>
                    <w:t>行政事业单位养老支出</w:t>
                  </w:r>
                </w:p>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77.60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10" w:firstLineChars="100"/>
                    <w:jc w:val="left"/>
                    <w:textAlignment w:val="center"/>
                    <w:rPr>
                      <w:rFonts w:ascii="Verdana" w:hAnsi="Verdana" w:eastAsia="仿宋_GB2312" w:cs="Verdana"/>
                      <w:i w:val="0"/>
                      <w:iCs w:val="0"/>
                      <w:color w:val="000000"/>
                      <w:kern w:val="2"/>
                      <w:sz w:val="21"/>
                      <w:szCs w:val="21"/>
                      <w:u w:val="none"/>
                      <w:lang w:val="en-US" w:eastAsia="zh-CN" w:bidi="ar-SA"/>
                    </w:rPr>
                  </w:pPr>
                  <w:r>
                    <w:rPr>
                      <w:rFonts w:hint="eastAsia" w:ascii="Verdana" w:hAnsi="Verdana" w:eastAsia="宋体" w:cs="Verdana"/>
                      <w:i w:val="0"/>
                      <w:iCs w:val="0"/>
                      <w:color w:val="000000"/>
                      <w:kern w:val="0"/>
                      <w:sz w:val="21"/>
                      <w:szCs w:val="21"/>
                      <w:u w:val="none"/>
                      <w:lang w:val="en-US" w:eastAsia="zh-CN" w:bidi="ar"/>
                    </w:rPr>
                    <w:t>三、</w:t>
                  </w:r>
                  <w:r>
                    <w:rPr>
                      <w:rFonts w:hint="default" w:ascii="Verdana" w:hAnsi="Verdana" w:eastAsia="宋体" w:cs="Verdana"/>
                      <w:i w:val="0"/>
                      <w:iCs w:val="0"/>
                      <w:color w:val="000000"/>
                      <w:kern w:val="0"/>
                      <w:sz w:val="21"/>
                      <w:szCs w:val="21"/>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20" w:firstLineChars="200"/>
                    <w:jc w:val="left"/>
                    <w:textAlignment w:val="center"/>
                    <w:rPr>
                      <w:rFonts w:ascii="Verdana" w:hAnsi="Verdana" w:eastAsia="仿宋_GB2312" w:cs="Verdana"/>
                      <w:i w:val="0"/>
                      <w:iCs w:val="0"/>
                      <w:color w:val="000000"/>
                      <w:kern w:val="2"/>
                      <w:sz w:val="21"/>
                      <w:szCs w:val="21"/>
                      <w:u w:val="none"/>
                      <w:lang w:val="en-US" w:eastAsia="zh-CN" w:bidi="ar-SA"/>
                    </w:rPr>
                  </w:pPr>
                  <w:r>
                    <w:rPr>
                      <w:rFonts w:hint="eastAsia" w:ascii="Verdana" w:hAnsi="Verdana" w:eastAsia="宋体" w:cs="Verdana"/>
                      <w:i w:val="0"/>
                      <w:iCs w:val="0"/>
                      <w:color w:val="000000"/>
                      <w:kern w:val="0"/>
                      <w:sz w:val="21"/>
                      <w:szCs w:val="21"/>
                      <w:u w:val="none"/>
                      <w:lang w:val="en-US" w:eastAsia="zh-CN" w:bidi="ar"/>
                    </w:rPr>
                    <w:t>四、</w:t>
                  </w:r>
                  <w:r>
                    <w:rPr>
                      <w:rFonts w:hint="default" w:ascii="Verdana" w:hAnsi="Verdana" w:eastAsia="宋体" w:cs="Verdana"/>
                      <w:i w:val="0"/>
                      <w:iCs w:val="0"/>
                      <w:color w:val="000000"/>
                      <w:kern w:val="0"/>
                      <w:sz w:val="21"/>
                      <w:szCs w:val="21"/>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r>
            <w:tr>
              <w:tblPrEx>
                <w:tblCellMar>
                  <w:top w:w="15" w:type="dxa"/>
                  <w:left w:w="15" w:type="dxa"/>
                  <w:bottom w:w="15" w:type="dxa"/>
                  <w:right w:w="15" w:type="dxa"/>
                </w:tblCellMar>
              </w:tblPrEx>
              <w:trPr>
                <w:trHeight w:val="47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20" w:firstLineChars="200"/>
                    <w:jc w:val="left"/>
                    <w:textAlignment w:val="center"/>
                    <w:rPr>
                      <w:rFonts w:ascii="Verdana" w:hAnsi="Verdana" w:eastAsia="仿宋_GB2312" w:cs="Verdana"/>
                      <w:i w:val="0"/>
                      <w:iCs w:val="0"/>
                      <w:color w:val="000000"/>
                      <w:kern w:val="2"/>
                      <w:sz w:val="21"/>
                      <w:szCs w:val="21"/>
                      <w:u w:val="none"/>
                      <w:lang w:val="en-US" w:eastAsia="zh-CN" w:bidi="ar-SA"/>
                    </w:rPr>
                  </w:pPr>
                  <w:r>
                    <w:rPr>
                      <w:rFonts w:hint="eastAsia" w:ascii="Verdana" w:hAnsi="Verdana" w:eastAsia="宋体" w:cs="Verdana"/>
                      <w:i w:val="0"/>
                      <w:iCs w:val="0"/>
                      <w:color w:val="000000"/>
                      <w:kern w:val="0"/>
                      <w:sz w:val="21"/>
                      <w:szCs w:val="21"/>
                      <w:u w:val="none"/>
                      <w:lang w:val="en-US" w:eastAsia="zh-CN" w:bidi="ar"/>
                    </w:rPr>
                    <w:t>五、</w:t>
                  </w:r>
                  <w:r>
                    <w:rPr>
                      <w:rFonts w:hint="default" w:ascii="Verdana" w:hAnsi="Verdana" w:eastAsia="宋体" w:cs="Verdana"/>
                      <w:i w:val="0"/>
                      <w:iCs w:val="0"/>
                      <w:color w:val="000000"/>
                      <w:kern w:val="0"/>
                      <w:sz w:val="21"/>
                      <w:szCs w:val="21"/>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699.54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531.22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128.96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526.08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526.08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188.45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188.45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38.84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38.84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40.15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40.15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 xml:space="preserve">  </w:t>
            </w:r>
            <w:r>
              <w:rPr>
                <w:rFonts w:hint="default" w:ascii="Verdana" w:hAnsi="Verdana" w:eastAsia="宋体" w:cs="Verdana"/>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109.21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109.21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left="400" w:hanging="400" w:hangingChars="200"/>
              <w:jc w:val="left"/>
              <w:textAlignment w:val="center"/>
              <w:rPr>
                <w:rFonts w:ascii="Verdana" w:hAnsi="Verdana" w:eastAsia="仿宋_GB2312" w:cs="Verdana"/>
                <w:i w:val="0"/>
                <w:iCs w:val="0"/>
                <w:color w:val="000000"/>
                <w:kern w:val="2"/>
                <w:sz w:val="20"/>
                <w:szCs w:val="20"/>
                <w:u w:val="none"/>
                <w:lang w:val="en-US" w:eastAsia="zh-CN" w:bidi="ar-SA"/>
              </w:rPr>
            </w:pPr>
            <w:r>
              <w:rPr>
                <w:rFonts w:hint="default" w:ascii="Verdana" w:hAnsi="Verdana" w:eastAsia="宋体" w:cs="Verdana"/>
                <w:i w:val="0"/>
                <w:iCs w:val="0"/>
                <w:color w:val="000000"/>
                <w:kern w:val="0"/>
                <w:sz w:val="20"/>
                <w:szCs w:val="20"/>
                <w:u w:val="none"/>
                <w:lang w:val="en-US" w:eastAsia="zh-CN" w:bidi="ar"/>
              </w:rPr>
              <w:t>　</w:t>
            </w:r>
            <w:r>
              <w:rPr>
                <w:rFonts w:hint="eastAsia" w:ascii="Verdana" w:hAnsi="Verdana" w:eastAsia="宋体" w:cs="Verdana"/>
                <w:i w:val="0"/>
                <w:iCs w:val="0"/>
                <w:color w:val="000000"/>
                <w:kern w:val="0"/>
                <w:sz w:val="20"/>
                <w:szCs w:val="20"/>
                <w:u w:val="none"/>
                <w:lang w:val="en-US" w:eastAsia="zh-CN" w:bidi="ar"/>
              </w:rPr>
              <w:t xml:space="preserve">  </w:t>
            </w:r>
            <w:r>
              <w:rPr>
                <w:rFonts w:hint="default" w:ascii="Verdana" w:hAnsi="Verdana" w:eastAsia="宋体" w:cs="Verdana"/>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60.26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rPr>
            </w:pPr>
            <w:r>
              <w:rPr>
                <w:rFonts w:hint="eastAsia" w:eastAsia="宋体"/>
                <w:color w:val="000000"/>
                <w:sz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14.70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24.10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3.39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2"/>
                <w:szCs w:val="15"/>
                <w:lang w:val="en-US" w:eastAsia="zh-CN"/>
              </w:rPr>
            </w:pPr>
            <w:r>
              <w:rPr>
                <w:rFonts w:hint="eastAsia"/>
                <w:sz w:val="22"/>
                <w:szCs w:val="15"/>
                <w:lang w:val="en-US" w:eastAsia="zh-CN"/>
              </w:rPr>
              <w:t>42.08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4.90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39.36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15"/>
                <w:lang w:val="en-US" w:eastAsia="zh-CN"/>
              </w:rPr>
            </w:pPr>
            <w:r>
              <w:rPr>
                <w:rFonts w:hint="eastAsia"/>
                <w:sz w:val="22"/>
                <w:szCs w:val="15"/>
                <w:lang w:val="en-US" w:eastAsia="zh-CN"/>
              </w:rPr>
              <w:t>7.06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16.37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16.37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专用材料费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5.93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5.93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420" w:firstLineChars="200"/>
              <w:jc w:val="left"/>
              <w:textAlignment w:val="center"/>
              <w:rPr>
                <w:rFonts w:hint="default" w:ascii="Verdana" w:hAnsi="Verdana" w:eastAsia="宋体" w:cs="Verdana"/>
                <w:i w:val="0"/>
                <w:iCs w:val="0"/>
                <w:color w:val="000000"/>
                <w:kern w:val="0"/>
                <w:sz w:val="21"/>
                <w:szCs w:val="21"/>
                <w:u w:val="none"/>
                <w:lang w:val="en-US" w:eastAsia="zh-CN" w:bidi="ar"/>
              </w:rPr>
            </w:pPr>
            <w:r>
              <w:rPr>
                <w:rFonts w:hint="default" w:ascii="Verdana" w:hAnsi="Verdana" w:eastAsia="宋体" w:cs="Verdana"/>
                <w:i w:val="0"/>
                <w:iCs w:val="0"/>
                <w:color w:val="000000"/>
                <w:kern w:val="0"/>
                <w:sz w:val="21"/>
                <w:szCs w:val="21"/>
                <w:u w:val="none"/>
                <w:lang w:val="en-US" w:eastAsia="zh-CN" w:bidi="ar"/>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8.00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2"/>
                <w:szCs w:val="15"/>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8.00</w:t>
            </w:r>
          </w:p>
        </w:tc>
      </w:tr>
      <w:tr>
        <w:tblPrEx>
          <w:tblCellMar>
            <w:top w:w="0" w:type="dxa"/>
            <w:left w:w="108" w:type="dxa"/>
            <w:bottom w:w="0" w:type="dxa"/>
            <w:right w:w="108" w:type="dxa"/>
          </w:tblCellMar>
        </w:tblPrEx>
        <w:trPr>
          <w:trHeight w:val="61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三、</w:t>
            </w:r>
            <w:r>
              <w:rPr>
                <w:rFonts w:hint="eastAsia" w:ascii="宋体" w:hAnsi="宋体" w:eastAsia="宋体" w:cs="宋体"/>
                <w:color w:val="000000"/>
                <w:kern w:val="0"/>
                <w:sz w:val="19"/>
                <w:szCs w:val="19"/>
                <w:lang w:val="en-US" w:eastAsia="zh-CN" w:bidi="ar"/>
              </w:rPr>
              <w:t>对个人和家庭的补助</w:t>
            </w:r>
          </w:p>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5.143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5.14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3.97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3.97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Verdana" w:hAnsi="Verdana" w:eastAsia="仿宋_GB2312" w:cs="Verdana"/>
                <w:i w:val="0"/>
                <w:iCs w:val="0"/>
                <w:color w:val="000000"/>
                <w:kern w:val="2"/>
                <w:sz w:val="21"/>
                <w:szCs w:val="21"/>
                <w:u w:val="none"/>
                <w:lang w:val="en-US" w:eastAsia="zh-CN" w:bidi="ar-SA"/>
              </w:rPr>
            </w:pPr>
            <w:r>
              <w:rPr>
                <w:rFonts w:hint="default" w:ascii="Verdana" w:hAnsi="Verdana" w:eastAsia="宋体" w:cs="Verdana"/>
                <w:i w:val="0"/>
                <w:iCs w:val="0"/>
                <w:color w:val="000000"/>
                <w:kern w:val="0"/>
                <w:sz w:val="21"/>
                <w:szCs w:val="21"/>
                <w:u w:val="none"/>
                <w:lang w:val="en-US" w:eastAsia="zh-CN" w:bidi="ar"/>
              </w:rPr>
              <w:t>　</w:t>
            </w:r>
            <w:r>
              <w:rPr>
                <w:rFonts w:hint="eastAsia" w:ascii="Verdana" w:hAnsi="Verdana" w:eastAsia="宋体" w:cs="Verdana"/>
                <w:i w:val="0"/>
                <w:iCs w:val="0"/>
                <w:color w:val="000000"/>
                <w:kern w:val="0"/>
                <w:sz w:val="21"/>
                <w:szCs w:val="21"/>
                <w:u w:val="none"/>
                <w:lang w:val="en-US" w:eastAsia="zh-CN" w:bidi="ar"/>
              </w:rPr>
              <w:t xml:space="preserve">    </w:t>
            </w:r>
            <w:r>
              <w:rPr>
                <w:rFonts w:hint="default" w:ascii="Verdana" w:hAnsi="Verdana" w:eastAsia="宋体" w:cs="Verdana"/>
                <w:i w:val="0"/>
                <w:iCs w:val="0"/>
                <w:color w:val="000000"/>
                <w:kern w:val="0"/>
                <w:sz w:val="21"/>
                <w:szCs w:val="21"/>
                <w:u w:val="none"/>
                <w:lang w:val="en-US" w:eastAsia="zh-CN" w:bidi="ar"/>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1.17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13"/>
                <w:lang w:val="en-US" w:eastAsia="zh-CN"/>
              </w:rPr>
            </w:pPr>
            <w:r>
              <w:rPr>
                <w:rFonts w:hint="eastAsia"/>
                <w:sz w:val="21"/>
                <w:szCs w:val="13"/>
                <w:lang w:val="en-US" w:eastAsia="zh-CN"/>
              </w:rPr>
              <w:t>1.17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1000" w:firstLineChars="5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570.58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lang w:val="en-US" w:eastAsia="zh-CN"/>
              </w:rPr>
            </w:pPr>
            <w:r>
              <w:rPr>
                <w:rFonts w:hint="eastAsia"/>
                <w:sz w:val="21"/>
                <w:szCs w:val="13"/>
                <w:lang w:val="en-US" w:eastAsia="zh-CN"/>
              </w:rPr>
              <w:t>531.22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2"/>
                <w:szCs w:val="15"/>
                <w:lang w:val="en-US" w:eastAsia="zh-CN"/>
              </w:rPr>
            </w:pPr>
            <w:r>
              <w:rPr>
                <w:rFonts w:hint="eastAsia"/>
                <w:sz w:val="22"/>
                <w:szCs w:val="15"/>
                <w:lang w:val="en-US" w:eastAsia="zh-CN"/>
              </w:rPr>
              <w:t>39.36</w:t>
            </w:r>
          </w:p>
        </w:tc>
      </w:tr>
    </w:tbl>
    <w:p>
      <w:pPr>
        <w:rPr>
          <w:rFonts w:hint="eastAsia" w:ascii="楷体" w:hAnsi="楷体" w:eastAsia="楷体" w:cs="楷体"/>
          <w:sz w:val="24"/>
          <w:szCs w:val="24"/>
        </w:rPr>
      </w:pP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w:t>
            </w:r>
            <w:r>
              <w:rPr>
                <w:rFonts w:hint="eastAsia"/>
                <w:color w:val="000000"/>
                <w:kern w:val="0"/>
                <w:sz w:val="28"/>
                <w:szCs w:val="28"/>
                <w:lang w:eastAsia="zh-CN"/>
              </w:rPr>
              <w:t>为</w:t>
            </w:r>
            <w:r>
              <w:rPr>
                <w:color w:val="000000"/>
                <w:kern w:val="0"/>
                <w:sz w:val="28"/>
                <w:szCs w:val="28"/>
              </w:rPr>
              <w:t>部门本级预算单位。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41</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41</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11</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1091"/>
        <w:gridCol w:w="1137"/>
        <w:gridCol w:w="888"/>
        <w:gridCol w:w="810"/>
        <w:gridCol w:w="669"/>
        <w:gridCol w:w="325"/>
        <w:gridCol w:w="379"/>
        <w:gridCol w:w="578"/>
        <w:gridCol w:w="545"/>
        <w:gridCol w:w="616"/>
        <w:gridCol w:w="455"/>
        <w:gridCol w:w="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720"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7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9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3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8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1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3"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64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77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228"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8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1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373"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739"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55"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4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2" w:hRule="atLeast"/>
          <w:jc w:val="center"/>
        </w:trPr>
        <w:tc>
          <w:tcPr>
            <w:tcW w:w="77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9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二</w:t>
            </w:r>
            <w:r>
              <w:rPr>
                <w:rFonts w:hint="eastAsia" w:ascii="宋体" w:hAnsi="宋体" w:eastAsia="宋体" w:cs="宋体"/>
                <w:color w:val="000000"/>
                <w:sz w:val="20"/>
                <w:szCs w:val="22"/>
              </w:rPr>
              <w:t>级项目</w:t>
            </w:r>
          </w:p>
        </w:tc>
        <w:tc>
          <w:tcPr>
            <w:tcW w:w="113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88" w:type="dxa"/>
            <w:vMerge w:val="continue"/>
            <w:noWrap w:val="0"/>
            <w:vAlign w:val="center"/>
          </w:tcPr>
          <w:p>
            <w:pPr>
              <w:autoSpaceDN w:val="0"/>
              <w:jc w:val="center"/>
              <w:textAlignment w:val="center"/>
              <w:rPr>
                <w:rFonts w:ascii="Calibri" w:hAnsi="Calibri" w:eastAsia="华文细黑"/>
                <w:color w:val="000000"/>
                <w:sz w:val="20"/>
                <w:szCs w:val="22"/>
              </w:rPr>
            </w:pPr>
          </w:p>
        </w:tc>
        <w:tc>
          <w:tcPr>
            <w:tcW w:w="810" w:type="dxa"/>
            <w:vMerge w:val="continue"/>
            <w:noWrap w:val="0"/>
            <w:vAlign w:val="center"/>
          </w:tcPr>
          <w:p>
            <w:pPr>
              <w:autoSpaceDN w:val="0"/>
              <w:jc w:val="center"/>
              <w:textAlignment w:val="center"/>
              <w:rPr>
                <w:rFonts w:ascii="Calibri" w:hAnsi="Calibri" w:eastAsia="华文细黑"/>
                <w:color w:val="000000"/>
                <w:sz w:val="20"/>
                <w:szCs w:val="22"/>
              </w:rPr>
            </w:pPr>
          </w:p>
        </w:tc>
        <w:tc>
          <w:tcPr>
            <w:tcW w:w="66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2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7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7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4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61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5"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48"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3" w:hRule="exact"/>
          <w:jc w:val="center"/>
        </w:trPr>
        <w:tc>
          <w:tcPr>
            <w:tcW w:w="779" w:type="dxa"/>
            <w:noWrap w:val="0"/>
            <w:vAlign w:val="center"/>
          </w:tcPr>
          <w:p>
            <w:pPr>
              <w:spacing w:line="240" w:lineRule="auto"/>
              <w:jc w:val="center"/>
              <w:rPr>
                <w:rFonts w:hint="default" w:ascii="Calibri" w:hAnsi="Calibri" w:eastAsia="楷体"/>
                <w:kern w:val="0"/>
                <w:sz w:val="15"/>
                <w:szCs w:val="15"/>
                <w:lang w:val="en-US" w:eastAsia="zh-CN"/>
              </w:rPr>
            </w:pPr>
            <w:r>
              <w:rPr>
                <w:rFonts w:hint="eastAsia" w:ascii="Calibri" w:hAnsi="Calibri" w:eastAsia="楷体"/>
                <w:kern w:val="0"/>
                <w:sz w:val="15"/>
                <w:szCs w:val="15"/>
                <w:lang w:val="en-US" w:eastAsia="zh-CN"/>
              </w:rPr>
              <w:t>专项业务支出</w:t>
            </w:r>
          </w:p>
        </w:tc>
        <w:tc>
          <w:tcPr>
            <w:tcW w:w="1091"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八面乡综合服务中心2024年村级组织运转经费1.3（1289600元）</w:t>
            </w:r>
          </w:p>
        </w:tc>
        <w:tc>
          <w:tcPr>
            <w:tcW w:w="1137"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八面乡综合服务中心2024年村级组织运转经费1.3（1289600元）</w:t>
            </w:r>
          </w:p>
        </w:tc>
        <w:tc>
          <w:tcPr>
            <w:tcW w:w="888" w:type="dxa"/>
            <w:noWrap w:val="0"/>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rPr>
              <w:t>通榆县八面乡综合服务中心</w:t>
            </w:r>
          </w:p>
        </w:tc>
        <w:tc>
          <w:tcPr>
            <w:tcW w:w="810"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128.96</w:t>
            </w:r>
          </w:p>
        </w:tc>
        <w:tc>
          <w:tcPr>
            <w:tcW w:w="669"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128.96</w:t>
            </w:r>
          </w:p>
        </w:tc>
        <w:tc>
          <w:tcPr>
            <w:tcW w:w="325" w:type="dxa"/>
            <w:noWrap w:val="0"/>
            <w:vAlign w:val="center"/>
          </w:tcPr>
          <w:p>
            <w:pPr>
              <w:spacing w:line="700" w:lineRule="exact"/>
              <w:jc w:val="center"/>
              <w:rPr>
                <w:rFonts w:ascii="Calibri" w:hAnsi="Calibri" w:eastAsia="楷体"/>
                <w:kern w:val="0"/>
                <w:szCs w:val="32"/>
              </w:rPr>
            </w:pPr>
          </w:p>
        </w:tc>
        <w:tc>
          <w:tcPr>
            <w:tcW w:w="379" w:type="dxa"/>
            <w:noWrap w:val="0"/>
            <w:vAlign w:val="center"/>
          </w:tcPr>
          <w:p>
            <w:pPr>
              <w:spacing w:line="700" w:lineRule="exact"/>
              <w:jc w:val="center"/>
              <w:rPr>
                <w:rFonts w:ascii="Calibri" w:hAnsi="Calibri" w:eastAsia="楷体"/>
                <w:kern w:val="0"/>
                <w:szCs w:val="32"/>
              </w:rPr>
            </w:pPr>
          </w:p>
        </w:tc>
        <w:tc>
          <w:tcPr>
            <w:tcW w:w="578"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616" w:type="dxa"/>
            <w:noWrap w:val="0"/>
            <w:vAlign w:val="center"/>
          </w:tcPr>
          <w:p>
            <w:pPr>
              <w:spacing w:line="700" w:lineRule="exact"/>
              <w:jc w:val="center"/>
              <w:rPr>
                <w:rFonts w:ascii="Calibri" w:hAnsi="Calibri" w:eastAsia="楷体"/>
                <w:kern w:val="0"/>
                <w:szCs w:val="32"/>
              </w:rPr>
            </w:pPr>
          </w:p>
        </w:tc>
        <w:tc>
          <w:tcPr>
            <w:tcW w:w="455" w:type="dxa"/>
            <w:noWrap w:val="0"/>
            <w:vAlign w:val="center"/>
          </w:tcPr>
          <w:p>
            <w:pPr>
              <w:spacing w:line="700" w:lineRule="exact"/>
              <w:jc w:val="center"/>
              <w:rPr>
                <w:rFonts w:ascii="Calibri" w:hAnsi="Calibri" w:eastAsia="楷体"/>
                <w:kern w:val="0"/>
                <w:szCs w:val="32"/>
              </w:rPr>
            </w:pPr>
          </w:p>
        </w:tc>
        <w:tc>
          <w:tcPr>
            <w:tcW w:w="448"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exact"/>
          <w:jc w:val="center"/>
        </w:trPr>
        <w:tc>
          <w:tcPr>
            <w:tcW w:w="779" w:type="dxa"/>
            <w:noWrap w:val="0"/>
            <w:vAlign w:val="center"/>
          </w:tcPr>
          <w:p>
            <w:pPr>
              <w:spacing w:line="700" w:lineRule="exact"/>
              <w:jc w:val="center"/>
              <w:rPr>
                <w:rFonts w:ascii="Calibri" w:hAnsi="Calibri" w:eastAsia="楷体"/>
                <w:kern w:val="0"/>
                <w:szCs w:val="32"/>
              </w:rPr>
            </w:pPr>
          </w:p>
        </w:tc>
        <w:tc>
          <w:tcPr>
            <w:tcW w:w="1091" w:type="dxa"/>
            <w:noWrap w:val="0"/>
            <w:vAlign w:val="center"/>
          </w:tcPr>
          <w:p>
            <w:pPr>
              <w:spacing w:line="700" w:lineRule="exact"/>
              <w:jc w:val="center"/>
              <w:rPr>
                <w:rFonts w:ascii="Calibri" w:hAnsi="Calibri" w:eastAsia="楷体"/>
                <w:kern w:val="0"/>
                <w:szCs w:val="32"/>
              </w:rPr>
            </w:pPr>
          </w:p>
        </w:tc>
        <w:tc>
          <w:tcPr>
            <w:tcW w:w="1137" w:type="dxa"/>
            <w:noWrap w:val="0"/>
            <w:vAlign w:val="center"/>
          </w:tcPr>
          <w:p>
            <w:pPr>
              <w:spacing w:line="700" w:lineRule="exact"/>
              <w:jc w:val="center"/>
              <w:rPr>
                <w:rFonts w:ascii="Calibri" w:hAnsi="Calibri" w:eastAsia="楷体"/>
                <w:kern w:val="0"/>
                <w:szCs w:val="32"/>
              </w:rPr>
            </w:pPr>
          </w:p>
        </w:tc>
        <w:tc>
          <w:tcPr>
            <w:tcW w:w="888" w:type="dxa"/>
            <w:noWrap w:val="0"/>
            <w:vAlign w:val="center"/>
          </w:tcPr>
          <w:p>
            <w:pPr>
              <w:spacing w:line="700" w:lineRule="exact"/>
              <w:jc w:val="center"/>
              <w:rPr>
                <w:rFonts w:ascii="Calibri" w:hAnsi="Calibri" w:eastAsia="楷体"/>
                <w:kern w:val="0"/>
                <w:szCs w:val="32"/>
              </w:rPr>
            </w:pPr>
          </w:p>
        </w:tc>
        <w:tc>
          <w:tcPr>
            <w:tcW w:w="810" w:type="dxa"/>
            <w:noWrap w:val="0"/>
            <w:vAlign w:val="center"/>
          </w:tcPr>
          <w:p>
            <w:pPr>
              <w:spacing w:line="700" w:lineRule="exact"/>
              <w:jc w:val="center"/>
              <w:rPr>
                <w:rFonts w:ascii="Calibri" w:hAnsi="Calibri" w:eastAsia="楷体"/>
                <w:kern w:val="0"/>
                <w:szCs w:val="32"/>
              </w:rPr>
            </w:pPr>
          </w:p>
        </w:tc>
        <w:tc>
          <w:tcPr>
            <w:tcW w:w="669"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379" w:type="dxa"/>
            <w:noWrap w:val="0"/>
            <w:vAlign w:val="center"/>
          </w:tcPr>
          <w:p>
            <w:pPr>
              <w:spacing w:line="700" w:lineRule="exact"/>
              <w:jc w:val="center"/>
              <w:rPr>
                <w:rFonts w:ascii="Calibri" w:hAnsi="Calibri" w:eastAsia="楷体"/>
                <w:kern w:val="0"/>
                <w:szCs w:val="32"/>
              </w:rPr>
            </w:pPr>
          </w:p>
        </w:tc>
        <w:tc>
          <w:tcPr>
            <w:tcW w:w="578"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616" w:type="dxa"/>
            <w:noWrap w:val="0"/>
            <w:vAlign w:val="center"/>
          </w:tcPr>
          <w:p>
            <w:pPr>
              <w:spacing w:line="700" w:lineRule="exact"/>
              <w:jc w:val="center"/>
              <w:rPr>
                <w:rFonts w:ascii="Calibri" w:hAnsi="Calibri" w:eastAsia="楷体"/>
                <w:kern w:val="0"/>
                <w:szCs w:val="32"/>
              </w:rPr>
            </w:pPr>
          </w:p>
        </w:tc>
        <w:tc>
          <w:tcPr>
            <w:tcW w:w="455" w:type="dxa"/>
            <w:noWrap w:val="0"/>
            <w:vAlign w:val="center"/>
          </w:tcPr>
          <w:p>
            <w:pPr>
              <w:spacing w:line="700" w:lineRule="exact"/>
              <w:jc w:val="center"/>
              <w:rPr>
                <w:rFonts w:ascii="Calibri" w:hAnsi="Calibri" w:eastAsia="楷体"/>
                <w:kern w:val="0"/>
                <w:szCs w:val="32"/>
              </w:rPr>
            </w:pPr>
          </w:p>
        </w:tc>
        <w:tc>
          <w:tcPr>
            <w:tcW w:w="448"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exact"/>
          <w:jc w:val="center"/>
        </w:trPr>
        <w:tc>
          <w:tcPr>
            <w:tcW w:w="779" w:type="dxa"/>
            <w:noWrap w:val="0"/>
            <w:vAlign w:val="center"/>
          </w:tcPr>
          <w:p>
            <w:pPr>
              <w:spacing w:line="700" w:lineRule="exact"/>
              <w:jc w:val="center"/>
              <w:rPr>
                <w:rFonts w:ascii="Calibri" w:hAnsi="Calibri" w:eastAsia="楷体"/>
                <w:kern w:val="0"/>
                <w:szCs w:val="32"/>
              </w:rPr>
            </w:pPr>
          </w:p>
        </w:tc>
        <w:tc>
          <w:tcPr>
            <w:tcW w:w="1091" w:type="dxa"/>
            <w:noWrap w:val="0"/>
            <w:vAlign w:val="center"/>
          </w:tcPr>
          <w:p>
            <w:pPr>
              <w:spacing w:line="700" w:lineRule="exact"/>
              <w:jc w:val="center"/>
              <w:rPr>
                <w:rFonts w:ascii="Calibri" w:hAnsi="Calibri" w:eastAsia="楷体"/>
                <w:kern w:val="0"/>
                <w:szCs w:val="32"/>
              </w:rPr>
            </w:pPr>
          </w:p>
        </w:tc>
        <w:tc>
          <w:tcPr>
            <w:tcW w:w="1137" w:type="dxa"/>
            <w:noWrap w:val="0"/>
            <w:vAlign w:val="center"/>
          </w:tcPr>
          <w:p>
            <w:pPr>
              <w:spacing w:line="700" w:lineRule="exact"/>
              <w:jc w:val="center"/>
              <w:rPr>
                <w:rFonts w:ascii="Calibri" w:hAnsi="Calibri" w:eastAsia="楷体"/>
                <w:kern w:val="0"/>
                <w:szCs w:val="32"/>
              </w:rPr>
            </w:pPr>
          </w:p>
        </w:tc>
        <w:tc>
          <w:tcPr>
            <w:tcW w:w="888" w:type="dxa"/>
            <w:noWrap w:val="0"/>
            <w:vAlign w:val="center"/>
          </w:tcPr>
          <w:p>
            <w:pPr>
              <w:spacing w:line="700" w:lineRule="exact"/>
              <w:jc w:val="center"/>
              <w:rPr>
                <w:rFonts w:ascii="Calibri" w:hAnsi="Calibri" w:eastAsia="楷体"/>
                <w:kern w:val="0"/>
                <w:szCs w:val="32"/>
              </w:rPr>
            </w:pPr>
          </w:p>
        </w:tc>
        <w:tc>
          <w:tcPr>
            <w:tcW w:w="810" w:type="dxa"/>
            <w:noWrap w:val="0"/>
            <w:vAlign w:val="center"/>
          </w:tcPr>
          <w:p>
            <w:pPr>
              <w:spacing w:line="700" w:lineRule="exact"/>
              <w:jc w:val="center"/>
              <w:rPr>
                <w:rFonts w:ascii="Calibri" w:hAnsi="Calibri" w:eastAsia="楷体"/>
                <w:kern w:val="0"/>
                <w:szCs w:val="32"/>
              </w:rPr>
            </w:pPr>
          </w:p>
        </w:tc>
        <w:tc>
          <w:tcPr>
            <w:tcW w:w="669"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379" w:type="dxa"/>
            <w:noWrap w:val="0"/>
            <w:vAlign w:val="center"/>
          </w:tcPr>
          <w:p>
            <w:pPr>
              <w:spacing w:line="700" w:lineRule="exact"/>
              <w:jc w:val="center"/>
              <w:rPr>
                <w:rFonts w:ascii="Calibri" w:hAnsi="Calibri" w:eastAsia="楷体"/>
                <w:kern w:val="0"/>
                <w:szCs w:val="32"/>
              </w:rPr>
            </w:pPr>
          </w:p>
        </w:tc>
        <w:tc>
          <w:tcPr>
            <w:tcW w:w="578"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616" w:type="dxa"/>
            <w:noWrap w:val="0"/>
            <w:vAlign w:val="center"/>
          </w:tcPr>
          <w:p>
            <w:pPr>
              <w:spacing w:line="700" w:lineRule="exact"/>
              <w:jc w:val="center"/>
              <w:rPr>
                <w:rFonts w:ascii="Calibri" w:hAnsi="Calibri" w:eastAsia="楷体"/>
                <w:kern w:val="0"/>
                <w:szCs w:val="32"/>
              </w:rPr>
            </w:pPr>
          </w:p>
        </w:tc>
        <w:tc>
          <w:tcPr>
            <w:tcW w:w="455" w:type="dxa"/>
            <w:noWrap w:val="0"/>
            <w:vAlign w:val="center"/>
          </w:tcPr>
          <w:p>
            <w:pPr>
              <w:spacing w:line="700" w:lineRule="exact"/>
              <w:jc w:val="center"/>
              <w:rPr>
                <w:rFonts w:ascii="Calibri" w:hAnsi="Calibri" w:eastAsia="楷体"/>
                <w:kern w:val="0"/>
                <w:szCs w:val="32"/>
              </w:rPr>
            </w:pPr>
          </w:p>
        </w:tc>
        <w:tc>
          <w:tcPr>
            <w:tcW w:w="448"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exact"/>
          <w:jc w:val="center"/>
        </w:trPr>
        <w:tc>
          <w:tcPr>
            <w:tcW w:w="779" w:type="dxa"/>
            <w:noWrap w:val="0"/>
            <w:vAlign w:val="center"/>
          </w:tcPr>
          <w:p>
            <w:pPr>
              <w:spacing w:line="700" w:lineRule="exact"/>
              <w:jc w:val="center"/>
              <w:rPr>
                <w:rFonts w:ascii="Calibri" w:hAnsi="Calibri" w:eastAsia="楷体"/>
                <w:kern w:val="0"/>
                <w:szCs w:val="32"/>
              </w:rPr>
            </w:pPr>
          </w:p>
        </w:tc>
        <w:tc>
          <w:tcPr>
            <w:tcW w:w="1091" w:type="dxa"/>
            <w:noWrap w:val="0"/>
            <w:vAlign w:val="center"/>
          </w:tcPr>
          <w:p>
            <w:pPr>
              <w:spacing w:line="700" w:lineRule="exact"/>
              <w:jc w:val="center"/>
              <w:rPr>
                <w:rFonts w:ascii="Calibri" w:hAnsi="Calibri" w:eastAsia="楷体"/>
                <w:kern w:val="0"/>
                <w:szCs w:val="32"/>
              </w:rPr>
            </w:pPr>
          </w:p>
        </w:tc>
        <w:tc>
          <w:tcPr>
            <w:tcW w:w="1137" w:type="dxa"/>
            <w:noWrap w:val="0"/>
            <w:vAlign w:val="center"/>
          </w:tcPr>
          <w:p>
            <w:pPr>
              <w:spacing w:line="700" w:lineRule="exact"/>
              <w:jc w:val="center"/>
              <w:rPr>
                <w:rFonts w:ascii="Calibri" w:hAnsi="Calibri" w:eastAsia="楷体"/>
                <w:kern w:val="0"/>
                <w:szCs w:val="32"/>
              </w:rPr>
            </w:pPr>
          </w:p>
        </w:tc>
        <w:tc>
          <w:tcPr>
            <w:tcW w:w="888" w:type="dxa"/>
            <w:noWrap w:val="0"/>
            <w:vAlign w:val="center"/>
          </w:tcPr>
          <w:p>
            <w:pPr>
              <w:spacing w:line="700" w:lineRule="exact"/>
              <w:jc w:val="center"/>
              <w:rPr>
                <w:rFonts w:ascii="Calibri" w:hAnsi="Calibri" w:eastAsia="楷体"/>
                <w:kern w:val="0"/>
                <w:szCs w:val="32"/>
              </w:rPr>
            </w:pPr>
          </w:p>
        </w:tc>
        <w:tc>
          <w:tcPr>
            <w:tcW w:w="810" w:type="dxa"/>
            <w:noWrap w:val="0"/>
            <w:vAlign w:val="center"/>
          </w:tcPr>
          <w:p>
            <w:pPr>
              <w:spacing w:line="700" w:lineRule="exact"/>
              <w:jc w:val="center"/>
              <w:rPr>
                <w:rFonts w:ascii="Calibri" w:hAnsi="Calibri" w:eastAsia="楷体"/>
                <w:kern w:val="0"/>
                <w:szCs w:val="32"/>
              </w:rPr>
            </w:pPr>
          </w:p>
        </w:tc>
        <w:tc>
          <w:tcPr>
            <w:tcW w:w="669" w:type="dxa"/>
            <w:noWrap w:val="0"/>
            <w:vAlign w:val="center"/>
          </w:tcPr>
          <w:p>
            <w:pPr>
              <w:spacing w:line="700" w:lineRule="exact"/>
              <w:jc w:val="center"/>
              <w:rPr>
                <w:rFonts w:ascii="Calibri" w:hAnsi="Calibri" w:eastAsia="楷体"/>
                <w:kern w:val="0"/>
                <w:szCs w:val="32"/>
              </w:rPr>
            </w:pPr>
          </w:p>
        </w:tc>
        <w:tc>
          <w:tcPr>
            <w:tcW w:w="325" w:type="dxa"/>
            <w:noWrap w:val="0"/>
            <w:vAlign w:val="center"/>
          </w:tcPr>
          <w:p>
            <w:pPr>
              <w:spacing w:line="700" w:lineRule="exact"/>
              <w:jc w:val="center"/>
              <w:rPr>
                <w:rFonts w:ascii="Calibri" w:hAnsi="Calibri" w:eastAsia="楷体"/>
                <w:kern w:val="0"/>
                <w:szCs w:val="32"/>
              </w:rPr>
            </w:pPr>
          </w:p>
        </w:tc>
        <w:tc>
          <w:tcPr>
            <w:tcW w:w="379" w:type="dxa"/>
            <w:noWrap w:val="0"/>
            <w:vAlign w:val="center"/>
          </w:tcPr>
          <w:p>
            <w:pPr>
              <w:spacing w:line="700" w:lineRule="exact"/>
              <w:jc w:val="center"/>
              <w:rPr>
                <w:rFonts w:ascii="Calibri" w:hAnsi="Calibri" w:eastAsia="楷体"/>
                <w:kern w:val="0"/>
                <w:szCs w:val="32"/>
              </w:rPr>
            </w:pPr>
          </w:p>
        </w:tc>
        <w:tc>
          <w:tcPr>
            <w:tcW w:w="578"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616" w:type="dxa"/>
            <w:noWrap w:val="0"/>
            <w:vAlign w:val="center"/>
          </w:tcPr>
          <w:p>
            <w:pPr>
              <w:spacing w:line="700" w:lineRule="exact"/>
              <w:jc w:val="center"/>
              <w:rPr>
                <w:rFonts w:ascii="Calibri" w:hAnsi="Calibri" w:eastAsia="楷体"/>
                <w:kern w:val="0"/>
                <w:szCs w:val="32"/>
              </w:rPr>
            </w:pPr>
          </w:p>
        </w:tc>
        <w:tc>
          <w:tcPr>
            <w:tcW w:w="455" w:type="dxa"/>
            <w:noWrap w:val="0"/>
            <w:vAlign w:val="center"/>
          </w:tcPr>
          <w:p>
            <w:pPr>
              <w:spacing w:line="700" w:lineRule="exact"/>
              <w:jc w:val="center"/>
              <w:rPr>
                <w:rFonts w:ascii="Calibri" w:hAnsi="Calibri" w:eastAsia="楷体"/>
                <w:kern w:val="0"/>
                <w:szCs w:val="32"/>
              </w:rPr>
            </w:pPr>
          </w:p>
        </w:tc>
        <w:tc>
          <w:tcPr>
            <w:tcW w:w="448"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77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91" w:type="dxa"/>
            <w:noWrap w:val="0"/>
            <w:vAlign w:val="center"/>
          </w:tcPr>
          <w:p>
            <w:pPr>
              <w:autoSpaceDN w:val="0"/>
              <w:jc w:val="center"/>
              <w:textAlignment w:val="center"/>
              <w:rPr>
                <w:rFonts w:ascii="Calibri" w:hAnsi="Calibri" w:eastAsia="华文细黑"/>
                <w:color w:val="000000"/>
                <w:sz w:val="20"/>
                <w:szCs w:val="22"/>
              </w:rPr>
            </w:pPr>
          </w:p>
        </w:tc>
        <w:tc>
          <w:tcPr>
            <w:tcW w:w="1137" w:type="dxa"/>
            <w:noWrap w:val="0"/>
            <w:vAlign w:val="center"/>
          </w:tcPr>
          <w:p>
            <w:pPr>
              <w:spacing w:line="700" w:lineRule="exact"/>
              <w:jc w:val="center"/>
              <w:rPr>
                <w:rFonts w:ascii="Calibri" w:hAnsi="Calibri" w:eastAsia="楷体"/>
                <w:kern w:val="0"/>
                <w:szCs w:val="32"/>
              </w:rPr>
            </w:pPr>
          </w:p>
        </w:tc>
        <w:tc>
          <w:tcPr>
            <w:tcW w:w="888" w:type="dxa"/>
            <w:noWrap w:val="0"/>
            <w:vAlign w:val="center"/>
          </w:tcPr>
          <w:p>
            <w:pPr>
              <w:spacing w:line="700" w:lineRule="exact"/>
              <w:jc w:val="center"/>
              <w:rPr>
                <w:rFonts w:ascii="Calibri" w:hAnsi="Calibri" w:eastAsia="楷体"/>
                <w:kern w:val="0"/>
                <w:szCs w:val="32"/>
              </w:rPr>
            </w:pPr>
          </w:p>
        </w:tc>
        <w:tc>
          <w:tcPr>
            <w:tcW w:w="810"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128.96</w:t>
            </w:r>
          </w:p>
        </w:tc>
        <w:tc>
          <w:tcPr>
            <w:tcW w:w="669" w:type="dxa"/>
            <w:noWrap w:val="0"/>
            <w:vAlign w:val="center"/>
          </w:tcPr>
          <w:p>
            <w:pPr>
              <w:spacing w:line="240" w:lineRule="auto"/>
              <w:jc w:val="center"/>
              <w:rPr>
                <w:rFonts w:hint="default" w:ascii="Calibri" w:hAnsi="Calibri" w:eastAsia="楷体"/>
                <w:kern w:val="0"/>
                <w:sz w:val="21"/>
                <w:szCs w:val="21"/>
                <w:lang w:val="en-US" w:eastAsia="zh-CN"/>
              </w:rPr>
            </w:pPr>
            <w:r>
              <w:rPr>
                <w:rFonts w:hint="eastAsia" w:ascii="Calibri" w:hAnsi="Calibri" w:eastAsia="楷体"/>
                <w:kern w:val="0"/>
                <w:sz w:val="21"/>
                <w:szCs w:val="21"/>
                <w:lang w:val="en-US" w:eastAsia="zh-CN"/>
              </w:rPr>
              <w:t>128.96</w:t>
            </w:r>
          </w:p>
        </w:tc>
        <w:tc>
          <w:tcPr>
            <w:tcW w:w="325" w:type="dxa"/>
            <w:noWrap w:val="0"/>
            <w:vAlign w:val="center"/>
          </w:tcPr>
          <w:p>
            <w:pPr>
              <w:spacing w:line="700" w:lineRule="exact"/>
              <w:jc w:val="center"/>
              <w:rPr>
                <w:rFonts w:ascii="Calibri" w:hAnsi="Calibri" w:eastAsia="楷体"/>
                <w:kern w:val="0"/>
                <w:szCs w:val="32"/>
              </w:rPr>
            </w:pPr>
          </w:p>
        </w:tc>
        <w:tc>
          <w:tcPr>
            <w:tcW w:w="379" w:type="dxa"/>
            <w:noWrap w:val="0"/>
            <w:vAlign w:val="center"/>
          </w:tcPr>
          <w:p>
            <w:pPr>
              <w:spacing w:line="700" w:lineRule="exact"/>
              <w:jc w:val="center"/>
              <w:rPr>
                <w:rFonts w:ascii="Calibri" w:hAnsi="Calibri" w:eastAsia="楷体"/>
                <w:kern w:val="0"/>
                <w:szCs w:val="32"/>
              </w:rPr>
            </w:pPr>
          </w:p>
        </w:tc>
        <w:tc>
          <w:tcPr>
            <w:tcW w:w="578" w:type="dxa"/>
            <w:noWrap w:val="0"/>
            <w:vAlign w:val="center"/>
          </w:tcPr>
          <w:p>
            <w:pPr>
              <w:spacing w:line="700" w:lineRule="exact"/>
              <w:jc w:val="center"/>
              <w:rPr>
                <w:rFonts w:ascii="Calibri" w:hAnsi="Calibri" w:eastAsia="楷体"/>
                <w:kern w:val="0"/>
                <w:szCs w:val="32"/>
              </w:rPr>
            </w:pPr>
          </w:p>
        </w:tc>
        <w:tc>
          <w:tcPr>
            <w:tcW w:w="545" w:type="dxa"/>
            <w:noWrap w:val="0"/>
            <w:vAlign w:val="center"/>
          </w:tcPr>
          <w:p>
            <w:pPr>
              <w:spacing w:line="700" w:lineRule="exact"/>
              <w:jc w:val="center"/>
              <w:rPr>
                <w:rFonts w:ascii="Calibri" w:hAnsi="Calibri" w:eastAsia="楷体"/>
                <w:kern w:val="0"/>
                <w:szCs w:val="32"/>
              </w:rPr>
            </w:pPr>
          </w:p>
        </w:tc>
        <w:tc>
          <w:tcPr>
            <w:tcW w:w="616" w:type="dxa"/>
            <w:noWrap w:val="0"/>
            <w:vAlign w:val="center"/>
          </w:tcPr>
          <w:p>
            <w:pPr>
              <w:spacing w:line="700" w:lineRule="exact"/>
              <w:jc w:val="center"/>
              <w:rPr>
                <w:rFonts w:ascii="Calibri" w:hAnsi="Calibri" w:eastAsia="楷体"/>
                <w:kern w:val="0"/>
                <w:szCs w:val="32"/>
              </w:rPr>
            </w:pPr>
          </w:p>
        </w:tc>
        <w:tc>
          <w:tcPr>
            <w:tcW w:w="455" w:type="dxa"/>
            <w:noWrap w:val="0"/>
            <w:vAlign w:val="center"/>
          </w:tcPr>
          <w:p>
            <w:pPr>
              <w:spacing w:line="700" w:lineRule="exact"/>
              <w:jc w:val="center"/>
              <w:rPr>
                <w:rFonts w:ascii="Calibri" w:hAnsi="Calibri" w:eastAsia="楷体"/>
                <w:kern w:val="0"/>
                <w:szCs w:val="32"/>
              </w:rPr>
            </w:pPr>
          </w:p>
        </w:tc>
        <w:tc>
          <w:tcPr>
            <w:tcW w:w="448"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157" w:tblpY="510"/>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八面乡综合服务中心2024年村级组织运转经费1.3（1289600元）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128.96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128.96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2024年村级组织运转经费，用于保障各村正常运转。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村均运转经费数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=161200元/村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村级组织运转经费拨付及时率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提升基层党组织情况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426.04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77.60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24.86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128.96</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42.08</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lang w:eastAsia="zh-CN"/>
        </w:rPr>
        <w:t>万元；上年结转</w:t>
      </w:r>
      <w:r>
        <w:rPr>
          <w:rFonts w:hint="eastAsia" w:ascii="仿宋_GB2312" w:hAnsi="仿宋_GB2312" w:cs="仿宋_GB2312"/>
          <w:i w:val="0"/>
          <w:iCs w:val="0"/>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32.52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人员经费和公用经费有所增长</w:t>
      </w:r>
      <w:r>
        <w:rPr>
          <w:rFonts w:hint="eastAsia" w:ascii="仿宋_GB2312" w:hAnsi="仿宋_GB2312" w:eastAsia="仿宋_GB2312" w:cs="仿宋_GB2312"/>
          <w:szCs w:val="32"/>
          <w:u w:val="single"/>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eastAsia="仿宋_GB2312"/>
          <w:szCs w:val="30"/>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rPr>
          <w:rFonts w:hint="eastAsia" w:ascii="黑体" w:hAnsi="黑体" w:eastAsia="黑体" w:cs="黑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570.58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81.57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128.96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18.43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cs="仿宋_GB2312"/>
          <w:szCs w:val="32"/>
          <w:u w:val="single"/>
          <w:lang w:eastAsia="zh-CN"/>
        </w:rPr>
        <w:t>，</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ind w:firstLine="600"/>
        <w:rPr>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426.04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77.60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24.86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128.96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42.08</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黑体"/>
          <w:szCs w:val="30"/>
        </w:rPr>
      </w:pPr>
      <w:r>
        <w:rPr>
          <w:rFonts w:eastAsia="楷体"/>
          <w:szCs w:val="32"/>
          <w:u w:val="single"/>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699.54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570.58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81.57</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128.96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18.43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531.22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93.10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39.36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6.90</w:t>
      </w:r>
      <w:r>
        <w:rPr>
          <w:rFonts w:hint="eastAsia" w:ascii="仿宋_GB2312" w:hAnsi="仿宋_GB2312" w:eastAsia="仿宋_GB2312" w:cs="仿宋_GB2312"/>
          <w:szCs w:val="32"/>
          <w:u w:val="single"/>
        </w:rPr>
        <w:t>%。</w:t>
      </w:r>
    </w:p>
    <w:p>
      <w:pPr>
        <w:keepNext w:val="0"/>
        <w:keepLines w:val="0"/>
        <w:widowControl/>
        <w:suppressLineNumbers w:val="0"/>
        <w:jc w:val="left"/>
        <w:rPr>
          <w:rFonts w:hint="eastAsia" w:ascii="仿宋" w:hAnsi="仿宋" w:eastAsia="仿宋" w:cs="仿宋"/>
          <w:color w:val="000000"/>
          <w:kern w:val="0"/>
          <w:sz w:val="31"/>
          <w:szCs w:val="31"/>
          <w:u w:val="single"/>
          <w:lang w:val="en-US" w:eastAsia="zh-CN" w:bidi="ar"/>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426.04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60.90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single"/>
          <w:lang w:val="en-US" w:eastAsia="zh-CN" w:bidi="ar"/>
        </w:rPr>
        <w:t>部分人员经费和日常公用经费支出</w:t>
      </w:r>
      <w:r>
        <w:rPr>
          <w:rFonts w:hint="eastAsia" w:ascii="仿宋" w:hAnsi="仿宋" w:eastAsia="仿宋" w:cs="仿宋"/>
          <w:color w:val="000000"/>
          <w:kern w:val="0"/>
          <w:sz w:val="31"/>
          <w:szCs w:val="31"/>
          <w:u w:val="single"/>
          <w:lang w:val="en-US" w:eastAsia="zh-CN" w:bidi="ar"/>
        </w:rPr>
        <w:t>。</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国防（类）支出</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教育（类）支出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科学技术（类）支出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文化旅游体育与传媒（类）支出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77.60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11.09</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，主要用于_</w:t>
      </w:r>
      <w:r>
        <w:rPr>
          <w:rFonts w:hint="eastAsia" w:ascii="仿宋_GB2312" w:hAnsi="仿宋_GB2312" w:eastAsia="仿宋_GB2312" w:cs="仿宋_GB2312"/>
          <w:szCs w:val="32"/>
          <w:u w:val="single"/>
        </w:rPr>
        <w:t>机关事业单位基本养老保险缴费支出机关事业单位</w:t>
      </w:r>
      <w:r>
        <w:rPr>
          <w:rFonts w:hint="eastAsia" w:ascii="仿宋_GB2312" w:hAnsi="仿宋_GB2312" w:cs="仿宋_GB2312"/>
          <w:szCs w:val="32"/>
          <w:u w:val="single"/>
          <w:lang w:val="en-US" w:eastAsia="zh-CN"/>
        </w:rPr>
        <w:t>和</w:t>
      </w:r>
      <w:r>
        <w:rPr>
          <w:rFonts w:hint="eastAsia" w:ascii="仿宋_GB2312" w:hAnsi="仿宋_GB2312" w:eastAsia="仿宋_GB2312" w:cs="仿宋_GB2312"/>
          <w:szCs w:val="32"/>
          <w:u w:val="single"/>
        </w:rPr>
        <w:t>职业年金缴费支出</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128.96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18.43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，主要用于_</w:t>
      </w:r>
      <w:r>
        <w:rPr>
          <w:rFonts w:hint="eastAsia" w:ascii="仿宋_GB2312" w:hAnsi="仿宋_GB2312" w:eastAsia="仿宋_GB2312" w:cs="仿宋_GB2312"/>
          <w:szCs w:val="32"/>
          <w:u w:val="single"/>
        </w:rPr>
        <w:t>对村民委员会和村党支部的补助</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42.08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6.02</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住房公积金支出</w:t>
      </w:r>
      <w:r>
        <w:rPr>
          <w:rFonts w:hint="eastAsia" w:ascii="仿宋_GB2312" w:hAnsi="仿宋_GB2312" w:eastAsia="仿宋_GB2312" w:cs="仿宋_GB2312"/>
          <w:szCs w:val="32"/>
          <w:u w:val="single"/>
        </w:rPr>
        <w:t>。</w:t>
      </w:r>
    </w:p>
    <w:p>
      <w:pPr>
        <w:keepNext w:val="0"/>
        <w:keepLines w:val="0"/>
        <w:widowControl/>
        <w:suppressLineNumbers w:val="0"/>
        <w:ind w:firstLine="310" w:firstLineChars="100"/>
        <w:jc w:val="left"/>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24.86</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3.55</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职工医</w:t>
      </w:r>
      <w:r>
        <w:rPr>
          <w:rFonts w:ascii="仿宋" w:hAnsi="仿宋" w:eastAsia="仿宋" w:cs="仿宋"/>
          <w:color w:val="000000"/>
          <w:kern w:val="0"/>
          <w:sz w:val="31"/>
          <w:szCs w:val="31"/>
          <w:lang w:val="en-US" w:eastAsia="zh-CN" w:bidi="ar"/>
        </w:rPr>
        <w:t xml:space="preserve"> </w:t>
      </w:r>
    </w:p>
    <w:p>
      <w:pPr>
        <w:keepNext w:val="0"/>
        <w:keepLines w:val="0"/>
        <w:widowControl/>
        <w:suppressLineNumbers w:val="0"/>
        <w:jc w:val="left"/>
        <w:rPr>
          <w:u w:val="single"/>
        </w:rPr>
      </w:pPr>
      <w:r>
        <w:rPr>
          <w:rFonts w:hint="eastAsia" w:ascii="仿宋" w:hAnsi="仿宋" w:eastAsia="仿宋" w:cs="仿宋"/>
          <w:color w:val="000000"/>
          <w:kern w:val="0"/>
          <w:sz w:val="31"/>
          <w:szCs w:val="31"/>
          <w:u w:val="single"/>
          <w:lang w:val="en-US" w:eastAsia="zh-CN" w:bidi="ar"/>
        </w:rPr>
        <w:t>疗保险支出。</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570.58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531.22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39.36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default" w:eastAsia="楷体"/>
          <w:szCs w:val="32"/>
          <w:lang w:val="en-US" w:eastAsia="zh-CN"/>
        </w:rPr>
      </w:pPr>
      <w:r>
        <w:rPr>
          <w:rFonts w:hint="eastAsia" w:eastAsia="楷体"/>
          <w:szCs w:val="32"/>
          <w:lang w:val="en-US" w:eastAsia="zh-CN"/>
        </w:rPr>
        <w:t>本部门无</w:t>
      </w:r>
      <w:r>
        <w:rPr>
          <w:rFonts w:hint="eastAsia" w:eastAsia="楷体"/>
          <w:szCs w:val="32"/>
        </w:rPr>
        <w:t>一般公共预算财政拨款“三公”经费</w:t>
      </w:r>
    </w:p>
    <w:p>
      <w:pPr>
        <w:ind w:firstLine="640" w:firstLineChars="200"/>
        <w:rPr>
          <w:rFonts w:hint="eastAsia" w:ascii="仿宋_GB2312" w:hAnsi="仿宋_GB2312" w:eastAsia="仿宋_GB2312" w:cs="仿宋_GB2312"/>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960" w:firstLineChars="300"/>
        <w:rPr>
          <w:rFonts w:hint="default" w:eastAsia="楷体"/>
          <w:szCs w:val="32"/>
          <w:lang w:val="en-US" w:eastAsia="zh-CN"/>
        </w:rPr>
      </w:pPr>
      <w:r>
        <w:rPr>
          <w:rFonts w:hint="eastAsia" w:eastAsia="楷体"/>
          <w:szCs w:val="32"/>
          <w:lang w:val="en-US" w:eastAsia="zh-CN"/>
        </w:rPr>
        <w:t>本部门无</w:t>
      </w:r>
      <w:r>
        <w:rPr>
          <w:rFonts w:hint="eastAsia" w:eastAsia="楷体"/>
          <w:szCs w:val="32"/>
        </w:rPr>
        <w:t>政府性基金预算支出</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default" w:eastAsia="楷体"/>
          <w:szCs w:val="32"/>
          <w:lang w:val="en-US" w:eastAsia="zh-CN"/>
        </w:rPr>
      </w:pPr>
      <w:r>
        <w:rPr>
          <w:rFonts w:hint="eastAsia" w:eastAsia="楷体"/>
          <w:szCs w:val="32"/>
          <w:lang w:val="en-US" w:eastAsia="zh-CN"/>
        </w:rPr>
        <w:t>本部门无</w:t>
      </w:r>
      <w:r>
        <w:rPr>
          <w:rFonts w:hint="eastAsia" w:eastAsia="楷体"/>
          <w:szCs w:val="32"/>
        </w:rPr>
        <w:t>国有资本经营预算支出</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ascii="仿宋" w:hAnsi="仿宋" w:eastAsia="仿宋" w:cs="仿宋"/>
          <w:color w:val="000000"/>
          <w:kern w:val="0"/>
          <w:sz w:val="31"/>
          <w:szCs w:val="31"/>
          <w:lang w:val="en-US" w:eastAsia="zh-CN" w:bidi="ar"/>
        </w:rPr>
        <w:t>部门本级的机关运行经费财政拨款预算</w:t>
      </w:r>
      <w:r>
        <w:rPr>
          <w:rFonts w:hint="eastAsia" w:ascii="仿宋_GB2312" w:hAnsi="仿宋_GB2312" w:cs="仿宋_GB2312"/>
          <w:szCs w:val="32"/>
          <w:u w:val="single"/>
          <w:lang w:val="en-US" w:eastAsia="zh-CN"/>
        </w:rPr>
        <w:t>39.36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7.68</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24.24</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运行经费增长</w:t>
      </w:r>
      <w:r>
        <w:rPr>
          <w:rFonts w:hint="eastAsia" w:ascii="仿宋_GB2312" w:hAnsi="仿宋_GB2312" w:eastAsia="仿宋_GB2312" w:cs="仿宋_GB2312"/>
          <w:szCs w:val="32"/>
        </w:rPr>
        <w:t>。</w:t>
      </w:r>
    </w:p>
    <w:p>
      <w:pPr>
        <w:numPr>
          <w:ilvl w:val="0"/>
          <w:numId w:val="2"/>
        </w:num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eastAsia="仿宋_GB2312" w:cs="仿宋_GB2312"/>
          <w:szCs w:val="32"/>
        </w:rPr>
        <w:t>政府采购情</w:t>
      </w:r>
      <w:r>
        <w:rPr>
          <w:rFonts w:hint="eastAsia" w:ascii="仿宋_GB2312" w:hAnsi="仿宋_GB2312" w:cs="仿宋_GB2312"/>
          <w:szCs w:val="32"/>
          <w:lang w:val="en-US" w:eastAsia="zh-CN"/>
        </w:rPr>
        <w:t>况</w:t>
      </w:r>
    </w:p>
    <w:p>
      <w:pPr>
        <w:numPr>
          <w:ilvl w:val="0"/>
          <w:numId w:val="0"/>
        </w:numPr>
        <w:spacing w:line="54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xml:space="preserve">      本部门本年度没有政府采购。</w:t>
      </w:r>
    </w:p>
    <w:p>
      <w:pPr>
        <w:numPr>
          <w:ilvl w:val="0"/>
          <w:numId w:val="0"/>
        </w:numPr>
        <w:spacing w:line="540" w:lineRule="exact"/>
        <w:rPr>
          <w:rFonts w:hint="default" w:ascii="仿宋_GB2312" w:hAnsi="仿宋_GB2312" w:cs="仿宋_GB2312"/>
          <w:szCs w:val="32"/>
          <w:lang w:val="en-US" w:eastAsia="zh-CN"/>
        </w:rPr>
      </w:pPr>
    </w:p>
    <w:p>
      <w:pPr>
        <w:numPr>
          <w:ilvl w:val="0"/>
          <w:numId w:val="3"/>
        </w:numPr>
        <w:spacing w:line="540" w:lineRule="exact"/>
        <w:ind w:firstLine="640" w:firstLineChars="200"/>
        <w:rPr>
          <w:rFonts w:eastAsia="楷体"/>
          <w:szCs w:val="32"/>
        </w:rPr>
      </w:pPr>
      <w:r>
        <w:rPr>
          <w:rFonts w:eastAsia="楷体"/>
          <w:szCs w:val="32"/>
        </w:rPr>
        <w:t>国有资产占有使用情况</w:t>
      </w:r>
    </w:p>
    <w:p>
      <w:pPr>
        <w:keepNext w:val="0"/>
        <w:keepLines w:val="0"/>
        <w:widowControl/>
        <w:suppressLineNumbers w:val="0"/>
        <w:ind w:firstLine="930" w:firstLineChars="300"/>
        <w:jc w:val="left"/>
        <w:rPr>
          <w:rFonts w:hint="eastAsia" w:ascii="仿宋_GB2312" w:hAnsi="仿宋_GB2312" w:eastAsia="仿宋_GB2312" w:cs="仿宋_GB2312"/>
          <w:szCs w:val="32"/>
        </w:rPr>
      </w:pPr>
      <w:r>
        <w:rPr>
          <w:rFonts w:ascii="仿宋" w:hAnsi="仿宋" w:eastAsia="仿宋" w:cs="仿宋"/>
          <w:color w:val="000000"/>
          <w:kern w:val="0"/>
          <w:sz w:val="31"/>
          <w:szCs w:val="31"/>
          <w:lang w:val="en-US" w:eastAsia="zh-CN" w:bidi="ar"/>
        </w:rPr>
        <w:t>本部门无国有资本经营预算拨款</w:t>
      </w:r>
      <w:r>
        <w:rPr>
          <w:rFonts w:hint="eastAsia" w:ascii="仿宋_GB2312" w:hAnsi="仿宋_GB2312" w:eastAsia="仿宋_GB2312" w:cs="仿宋_GB2312"/>
          <w:szCs w:val="32"/>
        </w:rPr>
        <w:t>。</w:t>
      </w:r>
    </w:p>
    <w:p>
      <w:pPr>
        <w:keepNext w:val="0"/>
        <w:keepLines w:val="0"/>
        <w:widowControl/>
        <w:suppressLineNumbers w:val="0"/>
        <w:ind w:firstLine="960" w:firstLineChars="300"/>
        <w:jc w:val="left"/>
        <w:rPr>
          <w:rFonts w:hint="eastAsia" w:ascii="仿宋_GB2312" w:hAnsi="仿宋_GB2312" w:eastAsia="仿宋_GB2312" w:cs="仿宋_GB2312"/>
          <w:szCs w:val="32"/>
        </w:rPr>
      </w:pPr>
    </w:p>
    <w:p>
      <w:pPr>
        <w:numPr>
          <w:ilvl w:val="0"/>
          <w:numId w:val="4"/>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128.96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一</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128.96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一</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128.96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C5DCA3-49FA-438C-8E8A-AF2C458FA6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83BC8AE-583A-42AE-8364-FBDE7C936C6C}"/>
  </w:font>
  <w:font w:name="仿宋_GB2312">
    <w:altName w:val="仿宋"/>
    <w:panose1 w:val="02010609030101010101"/>
    <w:charset w:val="86"/>
    <w:family w:val="modern"/>
    <w:pitch w:val="default"/>
    <w:sig w:usb0="00000000" w:usb1="00000000" w:usb2="00000000" w:usb3="00000000" w:csb0="00040000" w:csb1="00000000"/>
    <w:embedRegular r:id="rId3" w:fontKey="{A277AF6A-DE02-4708-AB93-AFE569362149}"/>
  </w:font>
  <w:font w:name="华文细黑">
    <w:panose1 w:val="02010600040101010101"/>
    <w:charset w:val="86"/>
    <w:family w:val="auto"/>
    <w:pitch w:val="default"/>
    <w:sig w:usb0="00000287" w:usb1="080F0000" w:usb2="00000000" w:usb3="00000000" w:csb0="0004009F" w:csb1="DFD70000"/>
    <w:embedRegular r:id="rId4" w:fontKey="{8DA6DFD9-A551-4677-8506-834A27EC0A70}"/>
  </w:font>
  <w:font w:name="方正小标宋简体">
    <w:panose1 w:val="02000000000000000000"/>
    <w:charset w:val="86"/>
    <w:family w:val="auto"/>
    <w:pitch w:val="default"/>
    <w:sig w:usb0="00000001" w:usb1="08000000" w:usb2="00000000" w:usb3="00000000" w:csb0="00040000" w:csb1="00000000"/>
    <w:embedRegular r:id="rId5" w:fontKey="{BD487429-A35A-45F9-913B-AEA07E1D6831}"/>
  </w:font>
  <w:font w:name="仿宋">
    <w:panose1 w:val="02010609060101010101"/>
    <w:charset w:val="86"/>
    <w:family w:val="auto"/>
    <w:pitch w:val="default"/>
    <w:sig w:usb0="800002BF" w:usb1="38CF7CFA" w:usb2="00000016" w:usb3="00000000" w:csb0="00040001" w:csb1="00000000"/>
    <w:embedRegular r:id="rId6" w:fontKey="{E3AD8112-A7B7-40C0-8741-16CCEDCFBE31}"/>
  </w:font>
  <w:font w:name="楷体_GB2312">
    <w:altName w:val="楷体"/>
    <w:panose1 w:val="02010609030101010101"/>
    <w:charset w:val="86"/>
    <w:family w:val="modern"/>
    <w:pitch w:val="default"/>
    <w:sig w:usb0="00000000" w:usb1="00000000" w:usb2="00000000" w:usb3="00000000" w:csb0="00040000" w:csb1="00000000"/>
    <w:embedRegular r:id="rId7" w:fontKey="{2D5FB2B8-0D11-4B54-9EF5-B3A0186FFDEC}"/>
  </w:font>
  <w:font w:name="楷体">
    <w:panose1 w:val="02010609060101010101"/>
    <w:charset w:val="86"/>
    <w:family w:val="auto"/>
    <w:pitch w:val="default"/>
    <w:sig w:usb0="800002BF" w:usb1="38CF7CFA" w:usb2="00000016" w:usb3="00000000" w:csb0="00040001" w:csb1="00000000"/>
    <w:embedRegular r:id="rId8" w:fontKey="{ED35ED37-AB65-4CA2-8029-C4574F0645E1}"/>
  </w:font>
  <w:font w:name="Verdana">
    <w:panose1 w:val="020B0604030504040204"/>
    <w:charset w:val="00"/>
    <w:family w:val="auto"/>
    <w:pitch w:val="default"/>
    <w:sig w:usb0="A00006FF" w:usb1="4000205B" w:usb2="00000010" w:usb3="00000000" w:csb0="2000019F" w:csb1="00000000"/>
    <w:embedRegular r:id="rId9" w:fontKey="{433C7A22-09F2-4B80-8D65-E629C0C5CAF7}"/>
  </w:font>
  <w:font w:name="方正仿宋_GB2312">
    <w:panose1 w:val="02000000000000000000"/>
    <w:charset w:val="86"/>
    <w:family w:val="auto"/>
    <w:pitch w:val="default"/>
    <w:sig w:usb0="A00002BF" w:usb1="184F6CFA" w:usb2="00000012" w:usb3="00000000" w:csb0="00040001" w:csb1="00000000"/>
  </w:font>
  <w:font w:name="字语坊芳华行书">
    <w:panose1 w:val="02000503000000000000"/>
    <w:charset w:val="86"/>
    <w:family w:val="auto"/>
    <w:pitch w:val="default"/>
    <w:sig w:usb0="8000002F" w:usb1="084164FA" w:usb2="00000012" w:usb3="00000000" w:csb0="00040003" w:csb1="00000000"/>
  </w:font>
  <w:font w:name="文鼎粗钢笔行楷">
    <w:panose1 w:val="03000800000000000000"/>
    <w:charset w:val="86"/>
    <w:family w:val="auto"/>
    <w:pitch w:val="default"/>
    <w:sig w:usb0="A00002BF" w:usb1="184F6CF8" w:usb2="00000012" w:usb3="00000000" w:csb0="00040001" w:csb1="00000000"/>
  </w:font>
  <w:font w:name="文鼎中钢笔行楷">
    <w:panose1 w:val="03000600000000000000"/>
    <w:charset w:val="86"/>
    <w:family w:val="auto"/>
    <w:pitch w:val="default"/>
    <w:sig w:usb0="A00002BF" w:usb1="184F6CF8" w:usb2="00000012" w:usb3="00000000" w:csb0="00040001" w:csb1="00000000"/>
  </w:font>
  <w:font w:name="方正仿宋简体">
    <w:panose1 w:val="02000000000000000000"/>
    <w:charset w:val="86"/>
    <w:family w:val="auto"/>
    <w:pitch w:val="default"/>
    <w:sig w:usb0="A00002BF" w:usb1="184F6CFA" w:usb2="00000012" w:usb3="00000000" w:csb0="00040001" w:csb1="00000000"/>
  </w:font>
  <w:font w:name="方正字迹-四海行书简体">
    <w:panose1 w:val="02010600010101010101"/>
    <w:charset w:val="86"/>
    <w:family w:val="auto"/>
    <w:pitch w:val="default"/>
    <w:sig w:usb0="800002BF" w:usb1="18CF7CFA" w:usb2="00000016" w:usb3="00000000" w:csb0="00040000" w:csb1="00000000"/>
  </w:font>
  <w:font w:name="方正小标宋_GBK">
    <w:panose1 w:val="02000000000000000000"/>
    <w:charset w:val="86"/>
    <w:family w:val="auto"/>
    <w:pitch w:val="default"/>
    <w:sig w:usb0="A00002BF" w:usb1="38CF7CFA" w:usb2="00082016" w:usb3="00000000" w:csb0="00040001" w:csb1="00000000"/>
    <w:embedRegular r:id="rId10" w:fontKey="{E0343E32-B671-4DDD-BD7A-DFCBA8F5371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13413"/>
    <w:multiLevelType w:val="singleLevel"/>
    <w:tmpl w:val="04F13413"/>
    <w:lvl w:ilvl="0" w:tentative="0">
      <w:start w:val="1"/>
      <w:numFmt w:val="chineseCounting"/>
      <w:suff w:val="nothing"/>
      <w:lvlText w:val="%1、"/>
      <w:lvlJc w:val="left"/>
      <w:rPr>
        <w:rFonts w:hint="eastAsia"/>
      </w:rPr>
    </w:lvl>
  </w:abstractNum>
  <w:abstractNum w:abstractNumId="1">
    <w:nsid w:val="29F22AC7"/>
    <w:multiLevelType w:val="singleLevel"/>
    <w:tmpl w:val="29F22AC7"/>
    <w:lvl w:ilvl="0" w:tentative="0">
      <w:start w:val="2"/>
      <w:numFmt w:val="chineseCounting"/>
      <w:suff w:val="nothing"/>
      <w:lvlText w:val="（%1）"/>
      <w:lvlJc w:val="left"/>
      <w:rPr>
        <w:rFonts w:hint="eastAsia"/>
      </w:rPr>
    </w:lvl>
  </w:abstractNum>
  <w:abstractNum w:abstractNumId="2">
    <w:nsid w:val="2FD1FF58"/>
    <w:multiLevelType w:val="singleLevel"/>
    <w:tmpl w:val="2FD1FF58"/>
    <w:lvl w:ilvl="0" w:tentative="0">
      <w:start w:val="3"/>
      <w:numFmt w:val="chineseCounting"/>
      <w:suff w:val="nothing"/>
      <w:lvlText w:val="（%1）"/>
      <w:lvlJc w:val="left"/>
      <w:rPr>
        <w:rFonts w:hint="eastAsia"/>
      </w:rPr>
    </w:lvl>
  </w:abstractNum>
  <w:abstractNum w:abstractNumId="3">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AF842FC"/>
    <w:rsid w:val="0B5F5ADA"/>
    <w:rsid w:val="0B710869"/>
    <w:rsid w:val="0C09789D"/>
    <w:rsid w:val="0C2A5C84"/>
    <w:rsid w:val="0DA001B0"/>
    <w:rsid w:val="0DB6446C"/>
    <w:rsid w:val="0DB717F6"/>
    <w:rsid w:val="0DEB170B"/>
    <w:rsid w:val="0E4C7841"/>
    <w:rsid w:val="0F3E0406"/>
    <w:rsid w:val="0F8B592F"/>
    <w:rsid w:val="0FAA496F"/>
    <w:rsid w:val="0FD62F63"/>
    <w:rsid w:val="107728C7"/>
    <w:rsid w:val="10AE7F82"/>
    <w:rsid w:val="10C93B35"/>
    <w:rsid w:val="11177619"/>
    <w:rsid w:val="112605C8"/>
    <w:rsid w:val="12192A7F"/>
    <w:rsid w:val="12E711B7"/>
    <w:rsid w:val="136D62BD"/>
    <w:rsid w:val="13F21722"/>
    <w:rsid w:val="1441443C"/>
    <w:rsid w:val="14C12787"/>
    <w:rsid w:val="15593E10"/>
    <w:rsid w:val="159F7E25"/>
    <w:rsid w:val="15F848D0"/>
    <w:rsid w:val="160E1FA5"/>
    <w:rsid w:val="160F2600"/>
    <w:rsid w:val="17765BCA"/>
    <w:rsid w:val="17A027D8"/>
    <w:rsid w:val="18AF5EEB"/>
    <w:rsid w:val="1A817DF8"/>
    <w:rsid w:val="1ADC594E"/>
    <w:rsid w:val="1AE010FE"/>
    <w:rsid w:val="1AEB5252"/>
    <w:rsid w:val="1C422BD3"/>
    <w:rsid w:val="1C852172"/>
    <w:rsid w:val="1CA40C0C"/>
    <w:rsid w:val="1CFF4A32"/>
    <w:rsid w:val="1D833200"/>
    <w:rsid w:val="1E2D59A2"/>
    <w:rsid w:val="1E3A3FD0"/>
    <w:rsid w:val="1EB55C07"/>
    <w:rsid w:val="1F351A10"/>
    <w:rsid w:val="1FED47E9"/>
    <w:rsid w:val="206816AC"/>
    <w:rsid w:val="22370D00"/>
    <w:rsid w:val="22A4003E"/>
    <w:rsid w:val="23984063"/>
    <w:rsid w:val="23CE11F0"/>
    <w:rsid w:val="23EC61F6"/>
    <w:rsid w:val="244C543C"/>
    <w:rsid w:val="24624768"/>
    <w:rsid w:val="2539376C"/>
    <w:rsid w:val="25423C43"/>
    <w:rsid w:val="254C6FAD"/>
    <w:rsid w:val="259B5BC5"/>
    <w:rsid w:val="25C7462E"/>
    <w:rsid w:val="25F62C4E"/>
    <w:rsid w:val="265718D7"/>
    <w:rsid w:val="26643D6C"/>
    <w:rsid w:val="266F0A68"/>
    <w:rsid w:val="26FE109D"/>
    <w:rsid w:val="27073E1E"/>
    <w:rsid w:val="271806CE"/>
    <w:rsid w:val="27B04AB3"/>
    <w:rsid w:val="28A63332"/>
    <w:rsid w:val="298F31CF"/>
    <w:rsid w:val="29C45F24"/>
    <w:rsid w:val="2B092EE3"/>
    <w:rsid w:val="2DF8796C"/>
    <w:rsid w:val="2EB22F18"/>
    <w:rsid w:val="2EE12108"/>
    <w:rsid w:val="2EED35E3"/>
    <w:rsid w:val="2F250383"/>
    <w:rsid w:val="2F63610B"/>
    <w:rsid w:val="300965A3"/>
    <w:rsid w:val="30730D6E"/>
    <w:rsid w:val="30B91A70"/>
    <w:rsid w:val="319646F8"/>
    <w:rsid w:val="32CF2C5D"/>
    <w:rsid w:val="335402B5"/>
    <w:rsid w:val="339466B2"/>
    <w:rsid w:val="34555AF5"/>
    <w:rsid w:val="35616772"/>
    <w:rsid w:val="35EA1663"/>
    <w:rsid w:val="364C598E"/>
    <w:rsid w:val="36CC2B0F"/>
    <w:rsid w:val="371A614D"/>
    <w:rsid w:val="378741F3"/>
    <w:rsid w:val="381E409C"/>
    <w:rsid w:val="3838492F"/>
    <w:rsid w:val="387258D7"/>
    <w:rsid w:val="3887374F"/>
    <w:rsid w:val="38AF6637"/>
    <w:rsid w:val="39041A07"/>
    <w:rsid w:val="39043B77"/>
    <w:rsid w:val="393F0DCD"/>
    <w:rsid w:val="39670895"/>
    <w:rsid w:val="3A1F2F9B"/>
    <w:rsid w:val="3A657F9A"/>
    <w:rsid w:val="3A9113D4"/>
    <w:rsid w:val="3AC54F32"/>
    <w:rsid w:val="3B144A0A"/>
    <w:rsid w:val="3B1B2A0D"/>
    <w:rsid w:val="3B7C071F"/>
    <w:rsid w:val="3BC92948"/>
    <w:rsid w:val="3BE370D4"/>
    <w:rsid w:val="3C29381E"/>
    <w:rsid w:val="3C4D31A2"/>
    <w:rsid w:val="3C711E1D"/>
    <w:rsid w:val="3C7F463D"/>
    <w:rsid w:val="3CAE3960"/>
    <w:rsid w:val="3CD236A7"/>
    <w:rsid w:val="3D365BF6"/>
    <w:rsid w:val="3DF23324"/>
    <w:rsid w:val="3EA14040"/>
    <w:rsid w:val="3EE8108D"/>
    <w:rsid w:val="3FE1257F"/>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8507E4A"/>
    <w:rsid w:val="59472AC7"/>
    <w:rsid w:val="59BD150F"/>
    <w:rsid w:val="59DD570D"/>
    <w:rsid w:val="59FF5EDC"/>
    <w:rsid w:val="5A084708"/>
    <w:rsid w:val="5AB343F7"/>
    <w:rsid w:val="5ABF50F2"/>
    <w:rsid w:val="5AF76904"/>
    <w:rsid w:val="5B052E7A"/>
    <w:rsid w:val="5B3D7F7E"/>
    <w:rsid w:val="5B7C7777"/>
    <w:rsid w:val="5B9462A0"/>
    <w:rsid w:val="5BEC6771"/>
    <w:rsid w:val="5C7B745F"/>
    <w:rsid w:val="5CA506B9"/>
    <w:rsid w:val="5CC11316"/>
    <w:rsid w:val="5CFD5FB2"/>
    <w:rsid w:val="5D2B52D8"/>
    <w:rsid w:val="5D5A7C63"/>
    <w:rsid w:val="5E256F6F"/>
    <w:rsid w:val="5F1F3F81"/>
    <w:rsid w:val="5F6235A9"/>
    <w:rsid w:val="60B44CEE"/>
    <w:rsid w:val="614125C2"/>
    <w:rsid w:val="623B0AF9"/>
    <w:rsid w:val="624C5C52"/>
    <w:rsid w:val="63952BB5"/>
    <w:rsid w:val="63DF08E4"/>
    <w:rsid w:val="64127E15"/>
    <w:rsid w:val="64561E9B"/>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187A16"/>
    <w:rsid w:val="714213DD"/>
    <w:rsid w:val="717F272E"/>
    <w:rsid w:val="728027C6"/>
    <w:rsid w:val="72D54D7C"/>
    <w:rsid w:val="731A30D6"/>
    <w:rsid w:val="737664E0"/>
    <w:rsid w:val="73FE7ACC"/>
    <w:rsid w:val="74053F35"/>
    <w:rsid w:val="74556746"/>
    <w:rsid w:val="74AB7A24"/>
    <w:rsid w:val="76053BCA"/>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B2BC7"/>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2022-02-21T08:08:00Z</cp:lastPrinted>
  <dcterms:modified xsi:type="dcterms:W3CDTF">2024-01-26T13:53:28Z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