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通榆县八面乡人民政府</w:t>
      </w:r>
    </w:p>
    <w:p>
      <w:pPr>
        <w:jc w:val="center"/>
        <w:rPr>
          <w:rFonts w:hint="eastAsia" w:eastAsia="方正小标宋简体"/>
          <w:sz w:val="44"/>
          <w:szCs w:val="44"/>
          <w:lang w:val="en-US" w:eastAsia="zh-CN"/>
        </w:rPr>
      </w:pPr>
      <w:r>
        <w:rPr>
          <w:rFonts w:hint="eastAsia" w:eastAsia="方正小标宋简体"/>
          <w:sz w:val="44"/>
          <w:szCs w:val="44"/>
          <w:lang w:eastAsia="zh-CN"/>
        </w:rPr>
        <w:t>2024</w:t>
      </w:r>
      <w:r>
        <w:rPr>
          <w:rFonts w:eastAsia="方正小标宋简体"/>
          <w:sz w:val="44"/>
          <w:szCs w:val="44"/>
        </w:rPr>
        <w:t>年部门预算</w:t>
      </w:r>
      <w:r>
        <w:rPr>
          <w:rFonts w:hint="eastAsia" w:eastAsia="方正小标宋简体"/>
          <w:sz w:val="44"/>
          <w:szCs w:val="44"/>
          <w:lang w:val="en-US" w:eastAsia="zh-CN"/>
        </w:rPr>
        <w:t>公开</w:t>
      </w:r>
    </w:p>
    <w:p>
      <w:pPr>
        <w:jc w:val="left"/>
      </w:pPr>
      <w:r>
        <w:tab/>
      </w:r>
      <w:r>
        <w:tab/>
      </w:r>
      <w:r>
        <w:tab/>
      </w:r>
      <w:r>
        <w:tab/>
      </w:r>
      <w:r>
        <w:tab/>
      </w:r>
      <w:r>
        <w:tab/>
      </w:r>
    </w:p>
    <w:p>
      <w:pPr>
        <w:jc w:val="left"/>
      </w:pPr>
    </w:p>
    <w:p>
      <w:pPr>
        <w:jc w:val="left"/>
      </w:pPr>
    </w:p>
    <w:p>
      <w:pPr>
        <w:jc w:val="left"/>
      </w:pPr>
    </w:p>
    <w:p>
      <w:pPr>
        <w:jc w:val="left"/>
      </w:pPr>
    </w:p>
    <w:p>
      <w:pPr>
        <w:tabs>
          <w:tab w:val="left" w:pos="2815"/>
          <w:tab w:val="center" w:pos="4425"/>
        </w:tabs>
        <w:jc w:val="left"/>
        <w:rPr>
          <w:rFonts w:hint="eastAsia" w:ascii="黑体" w:hAnsi="黑体" w:eastAsia="黑体" w:cs="黑体"/>
          <w:b w:val="0"/>
          <w:bCs w:val="0"/>
          <w:lang w:val="en-US" w:eastAsia="zh-CN"/>
        </w:rPr>
      </w:pPr>
      <w:r>
        <w:rPr>
          <w:rFonts w:hint="eastAsia" w:ascii="黑体" w:hAnsi="黑体" w:eastAsia="黑体" w:cs="黑体"/>
          <w:b w:val="0"/>
          <w:bCs w:val="0"/>
          <w:lang w:val="en-US" w:eastAsia="zh-CN"/>
        </w:rPr>
        <w:tab/>
      </w:r>
    </w:p>
    <w:p>
      <w:pPr>
        <w:tabs>
          <w:tab w:val="left" w:pos="2815"/>
          <w:tab w:val="center" w:pos="4425"/>
        </w:tabs>
        <w:jc w:val="left"/>
        <w:rPr>
          <w:rFonts w:hint="eastAsia" w:ascii="黑体" w:hAnsi="黑体" w:eastAsia="黑体" w:cs="黑体"/>
          <w:b w:val="0"/>
          <w:bCs w:val="0"/>
          <w:lang w:val="en-US" w:eastAsia="zh-CN"/>
        </w:rPr>
      </w:pPr>
    </w:p>
    <w:p>
      <w:pPr>
        <w:tabs>
          <w:tab w:val="left" w:pos="2815"/>
          <w:tab w:val="center" w:pos="4425"/>
        </w:tabs>
        <w:jc w:val="left"/>
        <w:rPr>
          <w:rFonts w:hint="eastAsia" w:ascii="黑体" w:hAnsi="黑体" w:eastAsia="黑体" w:cs="黑体"/>
          <w:b w:val="0"/>
          <w:bCs w:val="0"/>
          <w:lang w:val="en-US" w:eastAsia="zh-CN"/>
        </w:rPr>
      </w:pPr>
    </w:p>
    <w:p>
      <w:pPr>
        <w:tabs>
          <w:tab w:val="left" w:pos="2815"/>
          <w:tab w:val="center" w:pos="4425"/>
        </w:tabs>
        <w:jc w:val="center"/>
        <w:rPr>
          <w:rFonts w:hint="eastAsia" w:ascii="仿宋" w:hAnsi="仿宋" w:eastAsia="仿宋" w:cs="仿宋"/>
          <w:b w:val="0"/>
          <w:bCs w:val="0"/>
          <w:lang w:val="en-US" w:eastAsia="zh-CN"/>
        </w:rPr>
      </w:pPr>
      <w:r>
        <w:rPr>
          <w:rFonts w:hint="eastAsia" w:ascii="仿宋" w:hAnsi="仿宋" w:eastAsia="仿宋" w:cs="仿宋"/>
          <w:b w:val="0"/>
          <w:bCs w:val="0"/>
          <w:lang w:val="en-US" w:eastAsia="zh-CN"/>
        </w:rPr>
        <w:t>2024年1月30日</w:t>
      </w:r>
    </w:p>
    <w:p>
      <w:pPr>
        <w:tabs>
          <w:tab w:val="left" w:pos="2815"/>
          <w:tab w:val="center" w:pos="4425"/>
        </w:tabs>
        <w:jc w:val="center"/>
        <w:rPr>
          <w:rFonts w:hint="eastAsia" w:ascii="仿宋" w:hAnsi="仿宋" w:eastAsia="仿宋" w:cs="仿宋"/>
          <w:b w:val="0"/>
          <w:bCs w:val="0"/>
          <w:lang w:val="en-US" w:eastAsia="zh-CN"/>
        </w:rPr>
      </w:pPr>
    </w:p>
    <w:p>
      <w:pPr>
        <w:tabs>
          <w:tab w:val="left" w:pos="2815"/>
          <w:tab w:val="center" w:pos="4425"/>
        </w:tabs>
        <w:jc w:val="center"/>
        <w:rPr>
          <w:rFonts w:hint="eastAsia" w:ascii="仿宋" w:hAnsi="仿宋" w:eastAsia="仿宋" w:cs="仿宋"/>
          <w:b w:val="0"/>
          <w:bCs w:val="0"/>
          <w:lang w:val="en-US" w:eastAsia="zh-CN"/>
        </w:rPr>
      </w:pPr>
    </w:p>
    <w:p>
      <w:pPr>
        <w:tabs>
          <w:tab w:val="left" w:pos="2815"/>
          <w:tab w:val="center" w:pos="4425"/>
        </w:tabs>
        <w:jc w:val="center"/>
        <w:rPr>
          <w:rFonts w:eastAsia="方正小标宋简体"/>
          <w:sz w:val="44"/>
          <w:szCs w:val="44"/>
        </w:rPr>
      </w:pPr>
    </w:p>
    <w:p>
      <w:pPr>
        <w:tabs>
          <w:tab w:val="left" w:pos="2815"/>
          <w:tab w:val="center" w:pos="4425"/>
        </w:tabs>
        <w:jc w:val="center"/>
        <w:rPr>
          <w:rFonts w:eastAsia="方正小标宋简体"/>
          <w:sz w:val="44"/>
          <w:szCs w:val="44"/>
        </w:rPr>
      </w:pPr>
    </w:p>
    <w:p>
      <w:pPr>
        <w:tabs>
          <w:tab w:val="left" w:pos="2815"/>
          <w:tab w:val="center" w:pos="4425"/>
        </w:tabs>
        <w:jc w:val="center"/>
        <w:rPr>
          <w:rFonts w:eastAsia="方正小标宋简体"/>
          <w:sz w:val="44"/>
          <w:szCs w:val="44"/>
        </w:rPr>
      </w:pPr>
    </w:p>
    <w:p>
      <w:pPr>
        <w:tabs>
          <w:tab w:val="left" w:pos="2815"/>
          <w:tab w:val="center" w:pos="4425"/>
        </w:tabs>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（一）加强党的建设。落实基层党建工作责任制，坚持和完善党的全 </w:t>
      </w:r>
      <w:r>
        <w:rPr>
          <w:rFonts w:hint="eastAsia" w:ascii="仿宋" w:hAnsi="仿宋" w:eastAsia="仿宋" w:cs="仿宋"/>
          <w:color w:val="000000"/>
          <w:kern w:val="0"/>
          <w:sz w:val="31"/>
          <w:szCs w:val="31"/>
          <w:lang w:val="en-US" w:eastAsia="zh-CN" w:bidi="ar"/>
        </w:rPr>
        <w:t xml:space="preserve">面领导，加强党的组织体系建设，增强党的政治领导力、思想引领力、群 众组织力、社会号召力。统筹抓好辖区内新领域新业态新群体党建工作， 强化党的政治建设、思想建设、组织建设、作风建设、纪律建设，把制度 建设贯穿其中。深入推进反腐败斗争，加强基层意识形态工作。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（二）统筹区域发展。统筹落实辖区发展的重大决策和辖区建设规划， 参与辖区公共服务设施建设规划，推动辖区健康、有序、可持续发展。合 理确定经济发展职能，把经济工作重心转移到推进产业升级、促进经济结 构调整和经济增长方式转变上来。统筹做好企业服务工作，营造良好营商 环境。实施乡村振兴战略各项政策，规范“三资”管理工作。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（三）组织公共服务。推进政府职能由“管理型”向“服务型”转变， 积极推进基本公共服务均等化。推动优质公共服务资源向村延伸。创新公 共服务供给方式，加快建立政府主导、社会参与、公办民办并举的公共服务供给模式，加大政府购买服务力度。组织实施与群众生活密切相关的各 项公共服务，落实人力社保、民政、教育、文化、体育、卫生健康等各领 域相关政策。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六）领导基层自治。发挥村党组织在基层群众自治组织建设中的领导核心作用，完善党领导下的基层社会治理体系，推进社会主义基层协商民主建设，做好组织群众、宣传群众、凝聚群众、服务群众工作，发挥村民在基层社会治理中的主体作用，提高基层自治整体水平。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七）维护安全稳定。落实安全稳定工作部署。负责辖区平安建设、综合治理、安全生产管理等有关工作，处理群众来信来访，有效化解各类矛盾纠纷等。坚持重心下移、力量下沉、保障下倾，实现辖区安全监管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法和综合治理网格化、一体化，提高公共安全体系精细化水平。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（九）完成法律、法规、规章规定的其他事项和县委、县政府交办的其他任务。 </w:t>
      </w:r>
    </w:p>
    <w:p>
      <w:pPr>
        <w:ind w:firstLine="420" w:firstLineChars="200"/>
        <w:rPr>
          <w:rFonts w:hint="eastAsia" w:ascii="仿宋_GB2312" w:hAnsi="仿宋_GB2312" w:eastAsia="仿宋_GB2312" w:cs="仿宋_GB2312"/>
          <w:color w:val="000000"/>
          <w:sz w:val="21"/>
          <w:szCs w:val="21"/>
        </w:rPr>
      </w:pPr>
    </w:p>
    <w:p>
      <w:pPr>
        <w:ind w:firstLine="640" w:firstLineChars="200"/>
      </w:pPr>
      <w:r>
        <w:rPr>
          <w:rFonts w:eastAsia="楷体_GB2312"/>
        </w:rPr>
        <w:t>二、机构设置</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根据上述职责，通榆县八面乡人民政府内设十四个机构，分别为 </w:t>
      </w:r>
    </w:p>
    <w:p>
      <w:pPr>
        <w:keepNext w:val="0"/>
        <w:keepLines w:val="0"/>
        <w:widowControl/>
        <w:suppressLineNumbers w:val="0"/>
        <w:ind w:firstLine="600" w:firstLineChars="200"/>
        <w:jc w:val="left"/>
      </w:pPr>
      <w:r>
        <w:rPr>
          <w:rFonts w:hint="eastAsia" w:ascii="宋体" w:hAnsi="宋体" w:eastAsia="宋体" w:cs="宋体"/>
          <w:color w:val="000000"/>
          <w:kern w:val="0"/>
          <w:sz w:val="30"/>
          <w:szCs w:val="30"/>
          <w:lang w:val="en-US" w:eastAsia="zh-CN" w:bidi="ar"/>
        </w:rPr>
        <w:t>（</w:t>
      </w:r>
      <w:r>
        <w:rPr>
          <w:rFonts w:hint="eastAsia" w:ascii="仿宋" w:hAnsi="仿宋" w:eastAsia="仿宋" w:cs="仿宋"/>
          <w:color w:val="000000"/>
          <w:kern w:val="0"/>
          <w:sz w:val="31"/>
          <w:szCs w:val="31"/>
          <w:lang w:val="en-US" w:eastAsia="zh-CN" w:bidi="ar"/>
        </w:rPr>
        <w:t xml:space="preserve">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党建工作办公室。负责党的政治建设、组织建设和宣传、意识形态、统战工作，统筹推进区域化党建、“两新”组织党建、村级党建工作。承担机关党务、党风廉政建设和反腐败等工作。统筹推进辖区人才工作。负责指导工会、共青团、妇联等群团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平安建设办公室（应急管理办公室）。负责平安建设、综合治理、维护稳定、“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负责安全生产、应急事件应对预案的制订和执行等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社会事务办公室（退役军人事务办公室）。具体承担社会事务和公共服务等工作职责。落实人力社保、医保、退役军人、民政、教育、文化、体育、卫生健康、人口计生、残联、红十字等领域的有关政策。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（五）农业农村办公室。落实农业农村发展和乡村振兴战略相关政策。推进农业、林业、水利产业发展和资源开发保护利用工作。指防汛抗旱、森林防火等技术服务工作。承办乡党委、政府交办的其他事项。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六）综合行政执法办公室。负责统筹组织协调指挥辖区内派驻和基层执法力量实行综合行政执法，牵头建立综合行政执法平台工作，代表乡政府履行明确赋予或授权的行政执法职责。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七）财政经济办公室。研究本区域经济发展战略，组织编制中长期发展规划和年度计划，立足本地资源和区位条件，优化经济发展环境,培育壮大骨干企业，形成地域产业特色。贯彻执行有关财政法律、法规和财经制度，负责编制和执行乡财政预（决）算计划，统管乡财务，指导并监督集体的财务管理。负责机关及所属单位财务运行、财务管理、惠农（扶贫）资金补贴发放等工作；承办乡党委、政府交办的其他事项。 </w:t>
      </w:r>
    </w:p>
    <w:p>
      <w:pPr>
        <w:keepNext w:val="0"/>
        <w:keepLines w:val="0"/>
        <w:widowControl/>
        <w:suppressLineNumbers w:val="0"/>
        <w:ind w:firstLine="620" w:firstLineChars="200"/>
        <w:jc w:val="left"/>
        <w:rPr>
          <w:rFonts w:hint="eastAsia" w:eastAsia="仿宋"/>
          <w:lang w:val="en-US" w:eastAsia="zh-CN"/>
        </w:rPr>
      </w:pPr>
      <w:r>
        <w:rPr>
          <w:rFonts w:hint="eastAsia" w:ascii="仿宋" w:hAnsi="仿宋" w:eastAsia="仿宋" w:cs="仿宋"/>
          <w:color w:val="000000"/>
          <w:kern w:val="0"/>
          <w:sz w:val="31"/>
          <w:szCs w:val="31"/>
          <w:lang w:val="en-US" w:eastAsia="zh-CN" w:bidi="ar"/>
        </w:rPr>
        <w:t>（八）扶贫工作办公室。负责贯彻执行党和国家及省、市、县关于扶贫开发工作方针、政策和法律、法规；负责辖区精准扶贫工作的组织协调、指导、监督管理、统计、动态监测、脱贫巩固、宣传等工作；与行业部门积极配合，做好扶贫政策落实、脱贫攻坚项目谋划、实施等工作。承办乡党委、政府交办的其他事项。乡人大、纪检监察、人武、工会、共青团、妇联等组织按有关规定设置并开展工作。</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bCs w:val="0"/>
                <w:color w:val="000000"/>
                <w:kern w:val="0"/>
                <w:sz w:val="20"/>
              </w:rPr>
            </w:pPr>
            <w:r>
              <w:rPr>
                <w:rFonts w:hint="eastAsia" w:ascii="仿宋_GB2312"/>
                <w:b/>
                <w:bCs w:val="0"/>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366.15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43.32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24.81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p>
            <w:pPr>
              <w:bidi w:val="0"/>
              <w:ind w:firstLine="469" w:firstLineChars="0"/>
              <w:jc w:val="left"/>
              <w:rPr>
                <w:rFonts w:ascii="Times New Roman" w:hAnsi="Times New Roman" w:eastAsia="仿宋_GB2312" w:cs="Times New Roman"/>
                <w:kern w:val="2"/>
                <w:sz w:val="32"/>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15.22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val="0"/>
                <w:sz w:val="20"/>
              </w:rPr>
            </w:pPr>
            <w:r>
              <w:rPr>
                <w:rFonts w:hint="eastAsia" w:ascii="仿宋_GB2312"/>
                <w:b/>
                <w:bCs w:val="0"/>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r>
              <w:rPr>
                <w:rFonts w:eastAsia="宋体"/>
                <w:b/>
                <w:bCs w:val="0"/>
                <w:kern w:val="0"/>
                <w:sz w:val="20"/>
              </w:rPr>
              <w:t>本年支出</w:t>
            </w:r>
            <w:r>
              <w:rPr>
                <w:rFonts w:hint="eastAsia" w:eastAsia="宋体"/>
                <w:b/>
                <w:bCs w:val="0"/>
                <w:kern w:val="0"/>
                <w:sz w:val="20"/>
                <w:lang w:val="en-US" w:eastAsia="zh-CN"/>
              </w:rPr>
              <w:t xml:space="preserve">  </w:t>
            </w:r>
            <w:r>
              <w:rPr>
                <w:rFonts w:eastAsia="宋体"/>
                <w:b/>
                <w:bCs w:val="0"/>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449.50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r>
              <w:rPr>
                <w:rFonts w:eastAsia="宋体"/>
                <w:b/>
                <w:bCs w:val="0"/>
                <w:kern w:val="0"/>
                <w:sz w:val="20"/>
              </w:rPr>
              <w:t>结转下年</w:t>
            </w:r>
            <w:r>
              <w:rPr>
                <w:rFonts w:hint="eastAsia" w:eastAsia="宋体"/>
                <w:b/>
                <w:bCs w:val="0"/>
                <w:kern w:val="0"/>
                <w:sz w:val="20"/>
                <w:lang w:val="en-US" w:eastAsia="zh-CN"/>
              </w:rPr>
              <w:t xml:space="preserve">  </w:t>
            </w:r>
            <w:r>
              <w:rPr>
                <w:rFonts w:hint="eastAsia" w:eastAsia="宋体"/>
                <w:b/>
                <w:bCs w:val="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r>
              <w:rPr>
                <w:rFonts w:eastAsia="黑体"/>
                <w:b/>
                <w:bCs w:val="0"/>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449.50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2"/>
                <w:szCs w:val="22"/>
                <w:u w:val="none"/>
                <w:lang w:val="en-US" w:eastAsia="zh-CN" w:bidi="ar-SA"/>
              </w:rPr>
            </w:pPr>
            <w:r>
              <w:rPr>
                <w:rFonts w:hint="default" w:ascii="Verdana" w:hAnsi="Verdana" w:eastAsia="宋体" w:cs="Verdana"/>
                <w:i w:val="0"/>
                <w:iCs w:val="0"/>
                <w:color w:val="000000"/>
                <w:kern w:val="0"/>
                <w:sz w:val="22"/>
                <w:szCs w:val="22"/>
                <w:u w:val="none"/>
                <w:lang w:val="en-US" w:eastAsia="zh-CN" w:bidi="ar"/>
              </w:rPr>
              <w:t>通榆县八面乡人民政府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449.50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449.50</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449.50</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449.50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449.50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449.50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81.96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left="397" w:leftChars="124" w:firstLine="0" w:firstLineChars="0"/>
                    <w:jc w:val="center"/>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center"/>
                    <w:rPr>
                      <w:rFonts w:eastAsia="宋体"/>
                      <w:color w:val="000000"/>
                      <w:kern w:val="0"/>
                      <w:sz w:val="20"/>
                    </w:rPr>
                  </w:pPr>
                  <w:r>
                    <w:rPr>
                      <w:rFonts w:hint="eastAsia" w:eastAsia="宋体"/>
                      <w:color w:val="000000"/>
                      <w:kern w:val="0"/>
                      <w:sz w:val="20"/>
                      <w:lang w:val="en-US" w:eastAsia="zh-CN"/>
                    </w:rPr>
                    <w:t>三、</w:t>
                  </w:r>
                  <w:r>
                    <w:rPr>
                      <w:rFonts w:hint="eastAsia" w:eastAsia="宋体"/>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center"/>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449.50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449.50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225" w:tblpY="2330"/>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449.50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449.51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366.15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366.15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449.50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449.50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43.32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15.22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15.22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449.50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449.50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449.50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449.50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449.50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449.50</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449.50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449.50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366.15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left="397" w:leftChars="124" w:firstLine="0" w:firstLineChars="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w:t>
                  </w:r>
                  <w:r>
                    <w:rPr>
                      <w:rFonts w:hint="eastAsia" w:eastAsia="宋体"/>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449.50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367.54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321.76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45.78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81.96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315.35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lang w:val="en-US" w:eastAsia="zh-CN"/>
              </w:rPr>
            </w:pPr>
            <w:r>
              <w:rPr>
                <w:rFonts w:hint="eastAsia"/>
                <w:sz w:val="21"/>
                <w:szCs w:val="13"/>
                <w:lang w:val="en-US" w:eastAsia="zh-CN"/>
              </w:rPr>
              <w:t>315.35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97.10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97.10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86.23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86.23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45.89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34.99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18"/>
                <w:szCs w:val="18"/>
                <w:u w:val="none"/>
                <w:lang w:val="en-US" w:eastAsia="zh-CN" w:bidi="ar-SA"/>
              </w:rPr>
            </w:pPr>
            <w:r>
              <w:rPr>
                <w:rFonts w:hint="default" w:ascii="Verdana" w:hAnsi="Verdana" w:eastAsia="宋体" w:cs="Verdana"/>
                <w:i w:val="0"/>
                <w:iCs w:val="0"/>
                <w:color w:val="000000"/>
                <w:kern w:val="0"/>
                <w:sz w:val="18"/>
                <w:szCs w:val="18"/>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8.33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15.00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0.22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sz w:val="20"/>
              </w:rPr>
            </w:pPr>
            <w:r>
              <w:rPr>
                <w:rFonts w:hint="eastAsia" w:eastAsia="宋体"/>
                <w:color w:val="000000"/>
                <w:sz w:val="20"/>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24.81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2.78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45.78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45.78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13"/>
                <w:lang w:val="en-US" w:eastAsia="zh-CN"/>
              </w:rPr>
            </w:pPr>
            <w:r>
              <w:rPr>
                <w:rFonts w:hint="eastAsia"/>
                <w:sz w:val="21"/>
                <w:szCs w:val="13"/>
                <w:lang w:val="en-US" w:eastAsia="zh-CN"/>
              </w:rPr>
              <w:t>12.28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4.20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4.02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4.00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4.00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kern w:val="0"/>
                <w:sz w:val="20"/>
                <w:lang w:val="en-US" w:eastAsia="zh-CN"/>
              </w:rPr>
            </w:pPr>
            <w:r>
              <w:rPr>
                <w:rFonts w:hint="eastAsia" w:eastAsia="宋体"/>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15.78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13"/>
              </w:rPr>
            </w:pPr>
            <w:r>
              <w:rPr>
                <w:rFonts w:hint="eastAsia" w:eastAsia="宋体"/>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15.78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pPr>
            <w:r>
              <w:rPr>
                <w:rFonts w:hint="eastAsia" w:ascii="宋体" w:hAnsi="宋体" w:eastAsia="宋体" w:cs="宋体"/>
                <w:color w:val="000000"/>
                <w:kern w:val="0"/>
                <w:sz w:val="19"/>
                <w:szCs w:val="19"/>
                <w:lang w:val="en-US" w:eastAsia="zh-CN" w:bidi="ar"/>
              </w:rPr>
              <w:t>三、对个人和家庭的补助</w:t>
            </w:r>
          </w:p>
          <w:p>
            <w:pPr>
              <w:autoSpaceDN w:val="0"/>
              <w:ind w:firstLine="400" w:firstLineChars="200"/>
              <w:jc w:val="center"/>
              <w:textAlignment w:val="center"/>
              <w:rPr>
                <w:rFonts w:eastAsia="宋体"/>
                <w:kern w:val="0"/>
                <w:sz w:val="20"/>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6.41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6.41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kern w:val="0"/>
                <w:sz w:val="20"/>
              </w:rPr>
            </w:pPr>
            <w:r>
              <w:rPr>
                <w:rFonts w:hint="eastAsia" w:eastAsia="宋体"/>
                <w:kern w:val="0"/>
                <w:sz w:val="20"/>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6.08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6.08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1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kern w:val="0"/>
                <w:sz w:val="20"/>
              </w:rPr>
            </w:pPr>
            <w:r>
              <w:rPr>
                <w:rFonts w:hint="eastAsia" w:eastAsia="宋体"/>
                <w:kern w:val="0"/>
                <w:sz w:val="20"/>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0.33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0.33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367.54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lang w:val="en-US" w:eastAsia="zh-CN"/>
              </w:rPr>
            </w:pPr>
            <w:r>
              <w:rPr>
                <w:rFonts w:hint="eastAsia"/>
                <w:sz w:val="22"/>
                <w:szCs w:val="15"/>
                <w:lang w:val="en-US" w:eastAsia="zh-CN"/>
              </w:rPr>
              <w:t>321.76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45.78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tbl>
      <w:tblPr>
        <w:tblStyle w:val="9"/>
        <w:tblpPr w:leftFromText="180" w:rightFromText="180" w:vertAnchor="text" w:horzAnchor="page" w:tblpX="1833" w:tblpY="8137"/>
        <w:tblOverlap w:val="never"/>
        <w:tblW w:w="0" w:type="auto"/>
        <w:tblInd w:w="0" w:type="dxa"/>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813" w:hRule="atLeast"/>
        </w:trPr>
        <w:tc>
          <w:tcPr>
            <w:tcW w:w="9114" w:type="dxa"/>
            <w:gridSpan w:val="4"/>
            <w:tcBorders>
              <w:top w:val="nil"/>
              <w:left w:val="nil"/>
              <w:right w:val="nil"/>
            </w:tcBorders>
            <w:noWrap w:val="0"/>
            <w:vAlign w:val="center"/>
          </w:tcPr>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ascii="Times New Roman" w:hAnsi="Times New Roman" w:eastAsia="方正小标宋简体" w:cs="Times New Roman"/>
                <w:kern w:val="0"/>
                <w:sz w:val="36"/>
                <w:szCs w:val="36"/>
              </w:rPr>
            </w:pPr>
          </w:p>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4.00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77" w:hRule="atLeast"/>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4.00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557" w:hRule="atLeast"/>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kern w:val="0"/>
                <w:sz w:val="20"/>
                <w:lang w:val="en-US" w:eastAsia="zh-CN"/>
              </w:rPr>
              <w:t>0.00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kern w:val="0"/>
                <w:sz w:val="20"/>
                <w:lang w:val="en-US" w:eastAsia="zh-CN"/>
              </w:rPr>
              <w:t>0.00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1599" w:hRule="atLeast"/>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keepNext w:val="0"/>
              <w:keepLines w:val="0"/>
              <w:widowControl/>
              <w:suppressLineNumbers w:val="0"/>
              <w:jc w:val="left"/>
            </w:pPr>
            <w:r>
              <w:rPr>
                <w:rFonts w:eastAsia="宋体"/>
                <w:color w:val="000000"/>
                <w:kern w:val="0"/>
                <w:sz w:val="28"/>
                <w:szCs w:val="28"/>
              </w:rPr>
              <w:t xml:space="preserve">       1</w:t>
            </w:r>
            <w:r>
              <w:rPr>
                <w:color w:val="000000"/>
                <w:kern w:val="0"/>
                <w:sz w:val="28"/>
                <w:szCs w:val="28"/>
              </w:rPr>
              <w:t>、</w:t>
            </w:r>
            <w:r>
              <w:rPr>
                <w:rFonts w:hint="default" w:ascii="Times New Roman" w:hAnsi="Times New Roman" w:eastAsia="宋体" w:cs="Times New Roman"/>
                <w:color w:val="000000"/>
                <w:kern w:val="0"/>
                <w:sz w:val="28"/>
                <w:szCs w:val="28"/>
                <w:lang w:val="en-US" w:eastAsia="zh-CN" w:bidi="ar"/>
              </w:rPr>
              <w:t>“202</w:t>
            </w:r>
            <w:r>
              <w:rPr>
                <w:rFonts w:hint="eastAsia" w:eastAsia="宋体" w:cs="Times New Roman"/>
                <w:color w:val="000000"/>
                <w:kern w:val="0"/>
                <w:sz w:val="28"/>
                <w:szCs w:val="28"/>
                <w:lang w:val="en-US" w:eastAsia="zh-CN" w:bidi="ar"/>
              </w:rPr>
              <w:t>4</w:t>
            </w:r>
            <w:r>
              <w:rPr>
                <w:rFonts w:hint="default" w:ascii="Times New Roman" w:hAnsi="Times New Roman" w:eastAsia="宋体" w:cs="Times New Roman"/>
                <w:color w:val="000000"/>
                <w:kern w:val="0"/>
                <w:sz w:val="28"/>
                <w:szCs w:val="28"/>
                <w:lang w:val="en-US" w:eastAsia="zh-CN" w:bidi="ar"/>
              </w:rPr>
              <w:t xml:space="preserve"> </w:t>
            </w:r>
            <w:r>
              <w:rPr>
                <w:rFonts w:ascii="仿宋" w:hAnsi="仿宋" w:eastAsia="仿宋" w:cs="仿宋"/>
                <w:color w:val="000000"/>
                <w:kern w:val="0"/>
                <w:sz w:val="28"/>
                <w:szCs w:val="28"/>
                <w:lang w:val="en-US" w:eastAsia="zh-CN" w:bidi="ar"/>
              </w:rPr>
              <w:t>年预算数</w:t>
            </w:r>
            <w:r>
              <w:rPr>
                <w:rFonts w:hint="default" w:ascii="Times New Roman" w:hAnsi="Times New Roman" w:eastAsia="宋体" w:cs="Times New Roman"/>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的单位范围为部门本级。</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25</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u w:val="single"/>
                <w:lang w:val="en-US" w:eastAsia="zh-CN"/>
              </w:rPr>
              <w:t>25</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07" w:tblpY="943"/>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exact"/>
          <w:jc w:val="center"/>
        </w:trPr>
        <w:tc>
          <w:tcPr>
            <w:tcW w:w="759"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063"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八面乡政府乡镇转移支付资金1.3（310596元）</w:t>
            </w:r>
          </w:p>
        </w:tc>
        <w:tc>
          <w:tcPr>
            <w:tcW w:w="1107"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八面乡政府乡镇转移支付资金1.3（310596元）</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通榆县八面乡人民政府</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31.06</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31.06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exact"/>
          <w:jc w:val="center"/>
        </w:trPr>
        <w:tc>
          <w:tcPr>
            <w:tcW w:w="759" w:type="dxa"/>
            <w:noWrap w:val="0"/>
            <w:vAlign w:val="center"/>
          </w:tcPr>
          <w:p>
            <w:pPr>
              <w:spacing w:line="240" w:lineRule="auto"/>
              <w:jc w:val="center"/>
              <w:rPr>
                <w:rFonts w:ascii="Calibri" w:hAnsi="Calibri" w:eastAsia="楷体" w:cs="Times New Roman"/>
                <w:kern w:val="0"/>
                <w:sz w:val="21"/>
                <w:szCs w:val="21"/>
                <w:lang w:val="en-US" w:eastAsia="zh-CN" w:bidi="ar-SA"/>
              </w:rPr>
            </w:pPr>
            <w:r>
              <w:rPr>
                <w:rFonts w:hint="eastAsia" w:ascii="Calibri" w:hAnsi="Calibri" w:eastAsia="楷体"/>
                <w:kern w:val="0"/>
                <w:sz w:val="21"/>
                <w:szCs w:val="21"/>
              </w:rPr>
              <w:t>专项业务支出</w:t>
            </w:r>
          </w:p>
        </w:tc>
        <w:tc>
          <w:tcPr>
            <w:tcW w:w="1063"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八面乡政府大学生村官工资1.3（94385元）</w:t>
            </w:r>
          </w:p>
        </w:tc>
        <w:tc>
          <w:tcPr>
            <w:tcW w:w="1107" w:type="dxa"/>
            <w:noWrap w:val="0"/>
            <w:vAlign w:val="center"/>
          </w:tcPr>
          <w:p>
            <w:pPr>
              <w:spacing w:line="240" w:lineRule="auto"/>
              <w:jc w:val="center"/>
              <w:rPr>
                <w:rFonts w:ascii="Calibri" w:hAnsi="Calibri" w:eastAsia="楷体"/>
                <w:kern w:val="0"/>
                <w:sz w:val="21"/>
                <w:szCs w:val="21"/>
              </w:rPr>
            </w:pPr>
            <w:r>
              <w:rPr>
                <w:rFonts w:hint="eastAsia"/>
                <w:sz w:val="21"/>
                <w:szCs w:val="13"/>
              </w:rPr>
              <w:t>八面乡政府大学生村官工资1.3（94385元）</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通榆县八面乡人民政府</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9.44</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9.44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exact"/>
          <w:jc w:val="center"/>
        </w:trPr>
        <w:tc>
          <w:tcPr>
            <w:tcW w:w="759"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专项业务支出</w:t>
            </w:r>
          </w:p>
        </w:tc>
        <w:tc>
          <w:tcPr>
            <w:tcW w:w="1063"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八面乡政府辅助岗人员工资1.5（342640）</w:t>
            </w:r>
          </w:p>
        </w:tc>
        <w:tc>
          <w:tcPr>
            <w:tcW w:w="1107"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八面乡政府辅助岗人员工资1.5（342640）</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通榆县八面乡人民政府</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34.26</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34.26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exact"/>
          <w:jc w:val="center"/>
        </w:trPr>
        <w:tc>
          <w:tcPr>
            <w:tcW w:w="759"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063"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八面乡政府驻村工作队生活补贴1.3（72000元）</w:t>
            </w:r>
          </w:p>
        </w:tc>
        <w:tc>
          <w:tcPr>
            <w:tcW w:w="1107" w:type="dxa"/>
            <w:noWrap w:val="0"/>
            <w:vAlign w:val="center"/>
          </w:tcPr>
          <w:p>
            <w:pPr>
              <w:spacing w:line="240" w:lineRule="auto"/>
              <w:jc w:val="center"/>
              <w:rPr>
                <w:rFonts w:ascii="Calibri" w:hAnsi="Calibri" w:eastAsia="楷体"/>
                <w:kern w:val="0"/>
                <w:sz w:val="21"/>
                <w:szCs w:val="21"/>
              </w:rPr>
            </w:pPr>
            <w:r>
              <w:rPr>
                <w:rFonts w:hint="eastAsia" w:ascii="Calibri" w:hAnsi="Calibri" w:eastAsia="楷体"/>
                <w:kern w:val="0"/>
                <w:sz w:val="21"/>
                <w:szCs w:val="21"/>
              </w:rPr>
              <w:t>八面乡政府驻村工作队生活补贴1.3（72000元）</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通榆县八面乡人民政府</w:t>
            </w: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7.2</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7.2</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81.96</w:t>
            </w:r>
          </w:p>
        </w:tc>
        <w:tc>
          <w:tcPr>
            <w:tcW w:w="553"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81.96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26" w:tblpY="-10020"/>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八面乡政府辅助岗人员工资1.5（342640）</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八面乡政府辅助岗人员共计9人，该笔项目资金用于发放辅助岗基本工资、公积金、养老保险及失业保险等费用，本年内实施。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3172.59元/人/月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辅助岗工资及五险发放及时率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bl>
    <w:p/>
    <w:p/>
    <w:p/>
    <w:p/>
    <w:p/>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八面乡政府乡镇转移支付资金1.3（310596元）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31.06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为保障乡镇工作的正常运转，各级财政部门安排转移支付补助资金，确保乡镇办公经费等事项的需要，乡镇转移支付资金对于保障乡镇政府发展有着十分重要的作用，计划本年内实施。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该笔资金用于乡镇政府数量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乡政府所用资金</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310596元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补充各种办公耗材及时率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保障工作正常运转率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
    <w:p/>
    <w:p/>
    <w:p/>
    <w:p/>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八面乡政府大学生村官工资1.3（94385元）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八面乡政府大学生村官共计2人，该笔项目资金用于发放村官基本工资、公积金、养老保险及失业保险等费用，本年内实施。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Arial" w:hAnsi="Arial" w:eastAsia="宋体" w:cs="Arial"/>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工资发放对村官生活质量影响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在职村官月平均收入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3932.71元/月/人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在职村官对工资满意度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
    <w:p/>
    <w:p/>
    <w:p/>
    <w:p/>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八面乡政府驻村工作队生活补贴1.3（72000元）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我乡派驻宏大村第一书记1人，四平山村第一书记1人，共计2人，按照补贴标准100元/天计算，全年共计72000元。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享受驻村补助人数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生活补助标准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驻村生活补助资金下放的及时率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
      <w:pPr>
        <w:spacing w:line="700" w:lineRule="exact"/>
        <w:jc w:val="center"/>
        <w:rPr>
          <w:rFonts w:eastAsia="黑体"/>
          <w:sz w:val="36"/>
          <w:szCs w:val="36"/>
        </w:rPr>
      </w:pPr>
    </w:p>
    <w:p>
      <w:pPr>
        <w:spacing w:line="700" w:lineRule="exact"/>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u w:val="single"/>
          <w:lang w:val="en-US" w:eastAsia="zh-CN"/>
        </w:rPr>
        <w:t>449.5</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366.15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43.32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24.81</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449.50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449.50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40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本年度</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u w:val="single"/>
          <w:lang w:val="en-US" w:eastAsia="zh-CN"/>
        </w:rPr>
        <w:t>增加了项目经费支出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eastAsia="仿宋_GB2312"/>
          <w:szCs w:val="30"/>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449.5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449.5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449.5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cs="仿宋_GB2312"/>
          <w:szCs w:val="32"/>
          <w:u w:val="none"/>
          <w:lang w:eastAsia="zh-CN"/>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449.50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367.54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81.77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81.96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18.23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449.50</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449.50</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366.15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43.32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15.22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24.81</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449.5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367.54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81.77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81.76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18.24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321.76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87.54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45.78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12.46</w:t>
      </w:r>
      <w:r>
        <w:rPr>
          <w:rFonts w:hint="eastAsia" w:ascii="仿宋_GB2312" w:hAnsi="仿宋_GB2312" w:eastAsia="仿宋_GB2312" w:cs="仿宋_GB2312"/>
          <w:szCs w:val="32"/>
          <w:u w:val="single"/>
        </w:rPr>
        <w:t>%。</w:t>
      </w:r>
    </w:p>
    <w:p>
      <w:pPr>
        <w:keepNext w:val="0"/>
        <w:keepLines w:val="0"/>
        <w:widowControl/>
        <w:suppressLineNumbers w:val="0"/>
        <w:jc w:val="left"/>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366.15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81.46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single"/>
          <w:lang w:val="en-US" w:eastAsia="zh-CN" w:bidi="ar"/>
        </w:rPr>
        <w:t>部分人员经费和日常公用经费</w:t>
      </w:r>
      <w:r>
        <w:rPr>
          <w:rFonts w:hint="eastAsia" w:ascii="仿宋" w:hAnsi="仿宋" w:eastAsia="仿宋" w:cs="仿宋"/>
          <w:color w:val="000000"/>
          <w:kern w:val="0"/>
          <w:sz w:val="31"/>
          <w:szCs w:val="31"/>
          <w:u w:val="single"/>
          <w:lang w:val="en-US" w:eastAsia="zh-CN" w:bidi="ar"/>
        </w:rPr>
        <w:t>和项目经费</w:t>
      </w:r>
      <w:r>
        <w:rPr>
          <w:rFonts w:ascii="仿宋" w:hAnsi="仿宋" w:eastAsia="仿宋" w:cs="仿宋"/>
          <w:color w:val="000000"/>
          <w:kern w:val="0"/>
          <w:sz w:val="31"/>
          <w:szCs w:val="31"/>
          <w:u w:val="single"/>
          <w:lang w:val="en-US" w:eastAsia="zh-CN" w:bidi="ar"/>
        </w:rPr>
        <w:t>支出</w:t>
      </w:r>
      <w:r>
        <w:rPr>
          <w:rFonts w:hint="eastAsia" w:ascii="仿宋_GB2312" w:hAnsi="仿宋_GB2312" w:eastAsia="仿宋_GB2312" w:cs="仿宋_GB2312"/>
          <w:szCs w:val="32"/>
        </w:rPr>
        <w:t>。</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国防（类）支出</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教育（类）支出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科学技术（类）支出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文化旅游体育与传媒（类）支出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w:t>
      </w:r>
    </w:p>
    <w:p>
      <w:pPr>
        <w:keepNext w:val="0"/>
        <w:keepLines w:val="0"/>
        <w:widowControl/>
        <w:suppressLineNumbers w:val="0"/>
        <w:jc w:val="left"/>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43.22</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9.64</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___职工养老保险和职业年金缴费支出</w:t>
      </w:r>
      <w:r>
        <w:rPr>
          <w:rFonts w:hint="eastAsia" w:ascii="仿宋_GB2312" w:hAnsi="仿宋_GB2312" w:eastAsia="仿宋_GB2312" w:cs="仿宋_GB2312"/>
          <w:szCs w:val="32"/>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24.81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5.52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住房公积金缴纳</w:t>
      </w:r>
      <w:r>
        <w:rPr>
          <w:rFonts w:hint="eastAsia" w:ascii="仿宋_GB2312" w:hAnsi="仿宋_GB2312" w:eastAsia="仿宋_GB2312" w:cs="仿宋_GB2312"/>
          <w:szCs w:val="32"/>
          <w:u w:val="single"/>
        </w:rPr>
        <w:t>。</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u w:val="single"/>
          <w:lang w:val="en-US" w:eastAsia="zh-CN" w:bidi="ar"/>
        </w:rPr>
        <w:t>15.22</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3.38</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职工医疗保险支出</w:t>
      </w:r>
      <w:r>
        <w:rPr>
          <w:rFonts w:hint="eastAsia" w:ascii="仿宋" w:hAnsi="仿宋" w:eastAsia="仿宋" w:cs="仿宋"/>
          <w:color w:val="000000"/>
          <w:kern w:val="0"/>
          <w:sz w:val="31"/>
          <w:szCs w:val="31"/>
          <w:u w:val="single"/>
          <w:lang w:val="en-US" w:eastAsia="zh-CN" w:bidi="ar"/>
        </w:rPr>
        <w:t>。</w:t>
      </w:r>
    </w:p>
    <w:p>
      <w:pPr>
        <w:keepNext w:val="0"/>
        <w:keepLines w:val="0"/>
        <w:widowControl/>
        <w:suppressLineNumbers w:val="0"/>
        <w:jc w:val="left"/>
      </w:pP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367.54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321.76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w:t>
      </w:r>
      <w:bookmarkStart w:id="0" w:name="_GoBack"/>
      <w:bookmarkEnd w:id="0"/>
      <w:r>
        <w:rPr>
          <w:rFonts w:hint="eastAsia" w:ascii="仿宋_GB2312" w:hAnsi="仿宋_GB2312" w:eastAsia="仿宋_GB2312" w:cs="仿宋_GB2312"/>
          <w:kern w:val="0"/>
          <w:szCs w:val="32"/>
        </w:rPr>
        <w:t>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4</w:t>
      </w:r>
      <w:r>
        <w:rPr>
          <w:rFonts w:hint="eastAsia" w:ascii="仿宋_GB2312" w:hAnsi="仿宋_GB2312" w:cs="仿宋_GB2312"/>
          <w:szCs w:val="32"/>
          <w:u w:val="single"/>
          <w:lang w:val="en-US" w:eastAsia="zh-CN"/>
        </w:rPr>
        <w:t>5.78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1.10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4.00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公务车使用量减少</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 xml:space="preserve"> 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与</w:t>
      </w:r>
      <w:r>
        <w:rPr>
          <w:rFonts w:hint="eastAsia" w:ascii="仿宋_GB2312" w:hAnsi="仿宋_GB2312" w:cs="仿宋_GB2312"/>
          <w:szCs w:val="32"/>
          <w:u w:val="single"/>
          <w:lang w:val="en-US" w:eastAsia="zh-CN"/>
        </w:rPr>
        <w:t>2023年预算数相同</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default" w:ascii="黑体" w:hAnsi="黑体" w:eastAsia="黑体" w:cs="黑体"/>
          <w:szCs w:val="32"/>
          <w:lang w:val="en-US" w:eastAsia="zh-CN"/>
        </w:rPr>
      </w:pPr>
      <w:r>
        <w:rPr>
          <w:rFonts w:hint="eastAsia" w:ascii="仿宋_GB2312" w:hAnsi="仿宋_GB2312" w:cs="仿宋_GB2312"/>
          <w:szCs w:val="32"/>
          <w:lang w:eastAsia="zh-CN"/>
        </w:rPr>
        <w:t>本单位本</w:t>
      </w:r>
      <w:r>
        <w:rPr>
          <w:rFonts w:hint="eastAsia" w:ascii="仿宋_GB2312" w:hAnsi="仿宋_GB2312" w:eastAsia="仿宋_GB2312" w:cs="仿宋_GB2312"/>
          <w:szCs w:val="32"/>
        </w:rPr>
        <w:t>年</w:t>
      </w:r>
      <w:r>
        <w:rPr>
          <w:rFonts w:hint="eastAsia" w:ascii="仿宋_GB2312" w:hAnsi="仿宋_GB2312" w:cs="仿宋_GB2312"/>
          <w:szCs w:val="32"/>
          <w:lang w:eastAsia="zh-CN"/>
        </w:rPr>
        <w:t>度</w:t>
      </w:r>
      <w:r>
        <w:rPr>
          <w:rFonts w:hint="eastAsia" w:ascii="仿宋_GB2312" w:hAnsi="仿宋_GB2312" w:cs="仿宋_GB2312"/>
          <w:szCs w:val="32"/>
          <w:lang w:val="en-US" w:eastAsia="zh-CN"/>
        </w:rPr>
        <w:t>无政府性资金预算收入</w:t>
      </w:r>
      <w:r>
        <w:rPr>
          <w:rFonts w:hint="eastAsia" w:ascii="黑体" w:hAnsi="黑体" w:eastAsia="黑体" w:cs="黑体"/>
          <w:szCs w:val="32"/>
          <w:lang w:val="en-US" w:eastAsia="zh-CN"/>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default" w:ascii="仿宋_GB2312" w:hAnsi="仿宋_GB2312" w:cs="仿宋_GB2312"/>
          <w:szCs w:val="32"/>
          <w:highlight w:val="none"/>
          <w:lang w:val="en-US" w:eastAsia="zh-CN"/>
        </w:rPr>
      </w:pPr>
      <w:r>
        <w:rPr>
          <w:rFonts w:hint="eastAsia" w:ascii="仿宋_GB2312" w:hAnsi="仿宋_GB2312" w:cs="仿宋_GB2312"/>
          <w:szCs w:val="32"/>
          <w:highlight w:val="none"/>
          <w:lang w:val="en-US" w:eastAsia="zh-CN"/>
        </w:rPr>
        <w:t>本单位本年度无国有资本经营预算。</w:t>
      </w:r>
    </w:p>
    <w:p>
      <w:pPr>
        <w:ind w:firstLine="640"/>
        <w:rPr>
          <w:rFonts w:hint="eastAsia" w:ascii="仿宋_GB2312" w:hAnsi="仿宋_GB2312" w:eastAsia="仿宋_GB2312" w:cs="仿宋_GB2312"/>
          <w:szCs w:val="32"/>
          <w:highlight w:val="none"/>
        </w:rPr>
      </w:pPr>
    </w:p>
    <w:p>
      <w:pPr>
        <w:ind w:firstLine="640"/>
        <w:rPr>
          <w:rFonts w:hint="eastAsia" w:ascii="仿宋_GB2312" w:hAnsi="仿宋_GB2312" w:eastAsia="仿宋_GB2312" w:cs="仿宋_GB2312"/>
          <w:szCs w:val="32"/>
          <w:highlight w:val="none"/>
        </w:rPr>
      </w:pPr>
    </w:p>
    <w:p>
      <w:pPr>
        <w:ind w:firstLine="640"/>
        <w:rPr>
          <w:szCs w:val="32"/>
        </w:rPr>
      </w:pP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tabs>
          <w:tab w:val="left" w:pos="378"/>
        </w:tabs>
        <w:ind w:firstLine="640"/>
        <w:rPr>
          <w:rFonts w:hint="eastAsia" w:eastAsia="黑体"/>
          <w:szCs w:val="32"/>
        </w:rPr>
      </w:pPr>
    </w:p>
    <w:p>
      <w:pPr>
        <w:tabs>
          <w:tab w:val="left" w:pos="378"/>
        </w:tabs>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202</w:t>
      </w:r>
      <w:r>
        <w:rPr>
          <w:rFonts w:hint="eastAsia" w:ascii="仿宋" w:hAnsi="仿宋" w:eastAsia="仿宋" w:cs="仿宋"/>
          <w:color w:val="000000"/>
          <w:kern w:val="0"/>
          <w:sz w:val="31"/>
          <w:szCs w:val="31"/>
          <w:lang w:val="en-US" w:eastAsia="zh-CN" w:bidi="ar"/>
        </w:rPr>
        <w:t>4</w:t>
      </w:r>
      <w:r>
        <w:rPr>
          <w:rFonts w:ascii="仿宋" w:hAnsi="仿宋" w:eastAsia="仿宋" w:cs="仿宋"/>
          <w:color w:val="000000"/>
          <w:kern w:val="0"/>
          <w:sz w:val="31"/>
          <w:szCs w:val="31"/>
          <w:lang w:val="en-US" w:eastAsia="zh-CN" w:bidi="ar"/>
        </w:rPr>
        <w:t>年部门本级的机关运行经费财政拨款预算</w:t>
      </w:r>
      <w:r>
        <w:rPr>
          <w:rFonts w:hint="eastAsia" w:ascii="仿宋" w:hAnsi="仿宋" w:eastAsia="仿宋" w:cs="仿宋"/>
          <w:color w:val="000000"/>
          <w:kern w:val="0"/>
          <w:sz w:val="31"/>
          <w:szCs w:val="31"/>
          <w:u w:val="single"/>
          <w:lang w:val="en-US" w:eastAsia="zh-CN" w:bidi="ar"/>
        </w:rPr>
        <w:t>45.78</w:t>
      </w:r>
      <w:r>
        <w:rPr>
          <w:rFonts w:ascii="仿宋" w:hAnsi="仿宋" w:eastAsia="仿宋" w:cs="仿宋"/>
          <w:color w:val="000000"/>
          <w:kern w:val="0"/>
          <w:sz w:val="31"/>
          <w:szCs w:val="31"/>
          <w:lang w:val="en-US" w:eastAsia="zh-CN" w:bidi="ar"/>
        </w:rPr>
        <w:t>万元，</w:t>
      </w:r>
    </w:p>
    <w:p>
      <w:pPr>
        <w:keepNext w:val="0"/>
        <w:keepLines w:val="0"/>
        <w:widowControl/>
        <w:suppressLineNumbers w:val="0"/>
        <w:jc w:val="left"/>
      </w:pP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16.98</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58.96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，主要原因是</w:t>
      </w:r>
      <w:r>
        <w:rPr>
          <w:rFonts w:ascii="仿宋" w:hAnsi="仿宋" w:eastAsia="仿宋" w:cs="仿宋"/>
          <w:color w:val="000000"/>
          <w:kern w:val="0"/>
          <w:sz w:val="31"/>
          <w:szCs w:val="31"/>
          <w:u w:val="single"/>
          <w:lang w:val="en-US" w:eastAsia="zh-CN" w:bidi="ar"/>
        </w:rPr>
        <w:t>本年</w:t>
      </w:r>
      <w:r>
        <w:rPr>
          <w:rFonts w:hint="eastAsia" w:ascii="仿宋" w:hAnsi="仿宋" w:eastAsia="仿宋" w:cs="仿宋"/>
          <w:color w:val="000000"/>
          <w:kern w:val="0"/>
          <w:sz w:val="31"/>
          <w:szCs w:val="31"/>
          <w:u w:val="single"/>
          <w:lang w:val="en-US" w:eastAsia="zh-CN" w:bidi="ar"/>
        </w:rPr>
        <w:t>度</w:t>
      </w:r>
      <w:r>
        <w:rPr>
          <w:rFonts w:ascii="仿宋" w:hAnsi="仿宋" w:eastAsia="仿宋" w:cs="仿宋"/>
          <w:color w:val="000000"/>
          <w:kern w:val="0"/>
          <w:sz w:val="31"/>
          <w:szCs w:val="31"/>
          <w:u w:val="single"/>
          <w:lang w:val="en-US" w:eastAsia="zh-CN" w:bidi="ar"/>
        </w:rPr>
        <w:t>各</w:t>
      </w:r>
      <w:r>
        <w:rPr>
          <w:rFonts w:hint="eastAsia" w:ascii="仿宋" w:hAnsi="仿宋" w:eastAsia="仿宋" w:cs="仿宋"/>
          <w:color w:val="000000"/>
          <w:kern w:val="0"/>
          <w:sz w:val="31"/>
          <w:szCs w:val="31"/>
          <w:u w:val="single"/>
          <w:lang w:val="en-US" w:eastAsia="zh-CN" w:bidi="ar"/>
        </w:rPr>
        <w:t>项经费支出增加</w:t>
      </w:r>
      <w:r>
        <w:rPr>
          <w:rFonts w:hint="eastAsia" w:ascii="仿宋" w:hAnsi="仿宋" w:eastAsia="仿宋" w:cs="仿宋"/>
          <w:color w:val="000000"/>
          <w:kern w:val="0"/>
          <w:sz w:val="31"/>
          <w:szCs w:val="31"/>
          <w:lang w:val="en-US" w:eastAsia="zh-CN" w:bidi="ar"/>
        </w:rPr>
        <w:t>。</w:t>
      </w:r>
    </w:p>
    <w:p>
      <w:pPr>
        <w:numPr>
          <w:ilvl w:val="0"/>
          <w:numId w:val="1"/>
        </w:num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政府采购情况</w:t>
      </w:r>
    </w:p>
    <w:p>
      <w:pPr>
        <w:numPr>
          <w:ilvl w:val="0"/>
          <w:numId w:val="0"/>
        </w:numPr>
        <w:spacing w:line="540" w:lineRule="exac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本部门</w:t>
      </w:r>
      <w:r>
        <w:rPr>
          <w:rFonts w:ascii="仿宋" w:hAnsi="仿宋" w:eastAsia="仿宋" w:cs="仿宋"/>
          <w:color w:val="000000"/>
          <w:kern w:val="0"/>
          <w:sz w:val="31"/>
          <w:szCs w:val="31"/>
          <w:u w:val="none"/>
          <w:lang w:val="en-US" w:eastAsia="zh-CN" w:bidi="ar"/>
        </w:rPr>
        <w:t>本年</w:t>
      </w:r>
      <w:r>
        <w:rPr>
          <w:rFonts w:hint="eastAsia" w:ascii="仿宋" w:hAnsi="仿宋" w:eastAsia="仿宋" w:cs="仿宋"/>
          <w:color w:val="000000"/>
          <w:kern w:val="0"/>
          <w:sz w:val="31"/>
          <w:szCs w:val="31"/>
          <w:u w:val="none"/>
          <w:lang w:val="en-US" w:eastAsia="zh-CN" w:bidi="ar"/>
        </w:rPr>
        <w:t>度</w:t>
      </w:r>
      <w:r>
        <w:rPr>
          <w:rFonts w:hint="eastAsia" w:ascii="仿宋_GB2312" w:hAnsi="仿宋_GB2312" w:cs="仿宋_GB2312"/>
          <w:szCs w:val="32"/>
          <w:lang w:val="en-US" w:eastAsia="zh-CN"/>
        </w:rPr>
        <w:t>无政府采购支出。</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1500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81.96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81.96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4</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u w:val="single"/>
          <w:lang w:val="en-US" w:eastAsia="zh-CN"/>
        </w:rPr>
        <w:t>8</w:t>
      </w:r>
      <w:r>
        <w:rPr>
          <w:rFonts w:hint="eastAsia" w:ascii="仿宋_GB2312" w:hAnsi="仿宋_GB2312" w:cs="仿宋_GB2312"/>
          <w:szCs w:val="32"/>
          <w:u w:val="single"/>
          <w:lang w:val="en-US" w:eastAsia="zh-CN"/>
        </w:rPr>
        <w:t>1.96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48A30B7-2034-4320-92DA-8750716F9E78}"/>
  </w:font>
  <w:font w:name="黑体">
    <w:panose1 w:val="02010609060101010101"/>
    <w:charset w:val="86"/>
    <w:family w:val="auto"/>
    <w:pitch w:val="default"/>
    <w:sig w:usb0="800002BF" w:usb1="38CF7CFA" w:usb2="00000016" w:usb3="00000000" w:csb0="00040001" w:csb1="00000000"/>
    <w:embedRegular r:id="rId2" w:fontKey="{3FAE7B2B-957F-4DA7-BC4A-9B0826C264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26EE615-54C5-4ADD-BB61-940A7046183A}"/>
  </w:font>
  <w:font w:name="仿宋_GB2312">
    <w:altName w:val="仿宋"/>
    <w:panose1 w:val="02010609030101010101"/>
    <w:charset w:val="86"/>
    <w:family w:val="modern"/>
    <w:pitch w:val="default"/>
    <w:sig w:usb0="00000000" w:usb1="00000000" w:usb2="00000000" w:usb3="00000000" w:csb0="00040000" w:csb1="00000000"/>
    <w:embedRegular r:id="rId4" w:fontKey="{8A7CD346-881E-4EC6-82AE-BA6F847C120F}"/>
  </w:font>
  <w:font w:name="华文细黑">
    <w:panose1 w:val="02010600040101010101"/>
    <w:charset w:val="86"/>
    <w:family w:val="auto"/>
    <w:pitch w:val="default"/>
    <w:sig w:usb0="00000287" w:usb1="080F0000" w:usb2="00000000" w:usb3="00000000" w:csb0="0004009F" w:csb1="DFD70000"/>
    <w:embedRegular r:id="rId5" w:fontKey="{B3612BFB-F591-430E-8CF7-0EC38A12839C}"/>
  </w:font>
  <w:font w:name="方正小标宋简体">
    <w:panose1 w:val="02000000000000000000"/>
    <w:charset w:val="86"/>
    <w:family w:val="auto"/>
    <w:pitch w:val="default"/>
    <w:sig w:usb0="00000001" w:usb1="08000000" w:usb2="00000000" w:usb3="00000000" w:csb0="00040000" w:csb1="00000000"/>
    <w:embedRegular r:id="rId6" w:fontKey="{B0421DEC-B20C-46D3-83C0-06A957DF160C}"/>
  </w:font>
  <w:font w:name="仿宋">
    <w:panose1 w:val="02010609060101010101"/>
    <w:charset w:val="86"/>
    <w:family w:val="auto"/>
    <w:pitch w:val="default"/>
    <w:sig w:usb0="800002BF" w:usb1="38CF7CFA" w:usb2="00000016" w:usb3="00000000" w:csb0="00040001" w:csb1="00000000"/>
    <w:embedRegular r:id="rId7" w:fontKey="{BF1F15C9-3EEA-4016-A1F9-BF9F2157CDD7}"/>
  </w:font>
  <w:font w:name="楷体_GB2312">
    <w:altName w:val="楷体"/>
    <w:panose1 w:val="02010609030101010101"/>
    <w:charset w:val="86"/>
    <w:family w:val="modern"/>
    <w:pitch w:val="default"/>
    <w:sig w:usb0="00000000" w:usb1="00000000" w:usb2="00000000" w:usb3="00000000" w:csb0="00040000" w:csb1="00000000"/>
    <w:embedRegular r:id="rId8" w:fontKey="{D78D623D-969F-48E8-ACFF-19B9A6604C8E}"/>
  </w:font>
  <w:font w:name="楷体">
    <w:panose1 w:val="02010609060101010101"/>
    <w:charset w:val="86"/>
    <w:family w:val="auto"/>
    <w:pitch w:val="default"/>
    <w:sig w:usb0="800002BF" w:usb1="38CF7CFA" w:usb2="00000016" w:usb3="00000000" w:csb0="00040001" w:csb1="00000000"/>
    <w:embedRegular r:id="rId9" w:fontKey="{2AB4A53E-E1B0-452C-8D75-7691E9C080A5}"/>
  </w:font>
  <w:font w:name="Verdana">
    <w:panose1 w:val="020B0604030504040204"/>
    <w:charset w:val="00"/>
    <w:family w:val="auto"/>
    <w:pitch w:val="default"/>
    <w:sig w:usb0="A00006FF" w:usb1="4000205B" w:usb2="00000010" w:usb3="00000000" w:csb0="2000019F" w:csb1="00000000"/>
    <w:embedRegular r:id="rId10" w:fontKey="{1689E2B9-C954-4FCE-AFEA-DF1DB6AF09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abstractNum w:abstractNumId="1">
    <w:nsid w:val="796C954E"/>
    <w:multiLevelType w:val="singleLevel"/>
    <w:tmpl w:val="796C954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54BF2"/>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663C42"/>
    <w:rsid w:val="031D7D4B"/>
    <w:rsid w:val="04022755"/>
    <w:rsid w:val="0486486A"/>
    <w:rsid w:val="04954460"/>
    <w:rsid w:val="04F026C1"/>
    <w:rsid w:val="050D06DA"/>
    <w:rsid w:val="050F3BA7"/>
    <w:rsid w:val="053C6EDC"/>
    <w:rsid w:val="05513E94"/>
    <w:rsid w:val="056F5A6D"/>
    <w:rsid w:val="059B3770"/>
    <w:rsid w:val="05C018BB"/>
    <w:rsid w:val="063949A0"/>
    <w:rsid w:val="067960C1"/>
    <w:rsid w:val="06BD5BC7"/>
    <w:rsid w:val="06FA0DFD"/>
    <w:rsid w:val="07800176"/>
    <w:rsid w:val="07D21289"/>
    <w:rsid w:val="07F544B0"/>
    <w:rsid w:val="093F0D49"/>
    <w:rsid w:val="09A0082A"/>
    <w:rsid w:val="0A334D52"/>
    <w:rsid w:val="0ABA06FE"/>
    <w:rsid w:val="0B04049C"/>
    <w:rsid w:val="0B3111F1"/>
    <w:rsid w:val="0B5F5ADA"/>
    <w:rsid w:val="0B710869"/>
    <w:rsid w:val="0C2A5C84"/>
    <w:rsid w:val="0DA001B0"/>
    <w:rsid w:val="0DB6446C"/>
    <w:rsid w:val="0DEB170B"/>
    <w:rsid w:val="0E4C7841"/>
    <w:rsid w:val="0F1862C4"/>
    <w:rsid w:val="0F3E0406"/>
    <w:rsid w:val="0F8B592F"/>
    <w:rsid w:val="0FD62F63"/>
    <w:rsid w:val="107728C7"/>
    <w:rsid w:val="10AE7F82"/>
    <w:rsid w:val="10C93B35"/>
    <w:rsid w:val="11177619"/>
    <w:rsid w:val="112605C8"/>
    <w:rsid w:val="11AA3420"/>
    <w:rsid w:val="12E711B7"/>
    <w:rsid w:val="136D62BD"/>
    <w:rsid w:val="13F21722"/>
    <w:rsid w:val="14353475"/>
    <w:rsid w:val="1441443C"/>
    <w:rsid w:val="14C12787"/>
    <w:rsid w:val="15593E10"/>
    <w:rsid w:val="156264EB"/>
    <w:rsid w:val="159F7E25"/>
    <w:rsid w:val="15F848D0"/>
    <w:rsid w:val="160E1FA5"/>
    <w:rsid w:val="160F2600"/>
    <w:rsid w:val="17765BCA"/>
    <w:rsid w:val="17A027D8"/>
    <w:rsid w:val="18FF4051"/>
    <w:rsid w:val="1A817DF8"/>
    <w:rsid w:val="1ADC594E"/>
    <w:rsid w:val="1AEB5252"/>
    <w:rsid w:val="1BBB4BA7"/>
    <w:rsid w:val="1C852172"/>
    <w:rsid w:val="1CA40C0C"/>
    <w:rsid w:val="1CFF4A32"/>
    <w:rsid w:val="1D266050"/>
    <w:rsid w:val="1D303373"/>
    <w:rsid w:val="1D833200"/>
    <w:rsid w:val="1E2D59A2"/>
    <w:rsid w:val="1E3A3FD0"/>
    <w:rsid w:val="1EA27958"/>
    <w:rsid w:val="1EB55C07"/>
    <w:rsid w:val="1F022AED"/>
    <w:rsid w:val="1F351A10"/>
    <w:rsid w:val="1F957D37"/>
    <w:rsid w:val="1FA15E62"/>
    <w:rsid w:val="1FED47E9"/>
    <w:rsid w:val="1FF16DE9"/>
    <w:rsid w:val="201C7BDE"/>
    <w:rsid w:val="206816AC"/>
    <w:rsid w:val="219A525F"/>
    <w:rsid w:val="22A4003E"/>
    <w:rsid w:val="230F7587"/>
    <w:rsid w:val="23984063"/>
    <w:rsid w:val="23CE11F0"/>
    <w:rsid w:val="23EC61F6"/>
    <w:rsid w:val="244C543C"/>
    <w:rsid w:val="24624768"/>
    <w:rsid w:val="2539376C"/>
    <w:rsid w:val="254C6FAD"/>
    <w:rsid w:val="259B5BC5"/>
    <w:rsid w:val="25C7462E"/>
    <w:rsid w:val="25F62C4E"/>
    <w:rsid w:val="265718D7"/>
    <w:rsid w:val="26643D6C"/>
    <w:rsid w:val="26FE109D"/>
    <w:rsid w:val="27073E1E"/>
    <w:rsid w:val="27541A0C"/>
    <w:rsid w:val="27B04AB3"/>
    <w:rsid w:val="282D0BDB"/>
    <w:rsid w:val="28A63332"/>
    <w:rsid w:val="29C45F24"/>
    <w:rsid w:val="2B674404"/>
    <w:rsid w:val="2D4F45A5"/>
    <w:rsid w:val="2DF8796C"/>
    <w:rsid w:val="2EB22F18"/>
    <w:rsid w:val="2EE12108"/>
    <w:rsid w:val="2EED35E3"/>
    <w:rsid w:val="2F234AE5"/>
    <w:rsid w:val="2F245412"/>
    <w:rsid w:val="2F250383"/>
    <w:rsid w:val="2F63610B"/>
    <w:rsid w:val="300965A3"/>
    <w:rsid w:val="30730D6E"/>
    <w:rsid w:val="30B91A70"/>
    <w:rsid w:val="32CF2C5D"/>
    <w:rsid w:val="335402B5"/>
    <w:rsid w:val="339466B2"/>
    <w:rsid w:val="34555AF5"/>
    <w:rsid w:val="347831DE"/>
    <w:rsid w:val="35616772"/>
    <w:rsid w:val="35EA1663"/>
    <w:rsid w:val="364C598E"/>
    <w:rsid w:val="36CC2B0F"/>
    <w:rsid w:val="36E0191D"/>
    <w:rsid w:val="371A614D"/>
    <w:rsid w:val="38262F51"/>
    <w:rsid w:val="3838492F"/>
    <w:rsid w:val="387258D7"/>
    <w:rsid w:val="3887374F"/>
    <w:rsid w:val="38AF6637"/>
    <w:rsid w:val="39041A07"/>
    <w:rsid w:val="39043B77"/>
    <w:rsid w:val="393F0DCD"/>
    <w:rsid w:val="39670895"/>
    <w:rsid w:val="39822409"/>
    <w:rsid w:val="3A657F9A"/>
    <w:rsid w:val="3A9113D4"/>
    <w:rsid w:val="3AC54F32"/>
    <w:rsid w:val="3B144A0A"/>
    <w:rsid w:val="3B1B2A0D"/>
    <w:rsid w:val="3B7C071F"/>
    <w:rsid w:val="3BC92948"/>
    <w:rsid w:val="3BE370D4"/>
    <w:rsid w:val="3C29381E"/>
    <w:rsid w:val="3C711E1D"/>
    <w:rsid w:val="3C7F463D"/>
    <w:rsid w:val="3CAE3960"/>
    <w:rsid w:val="3D365BF6"/>
    <w:rsid w:val="3DEE62BF"/>
    <w:rsid w:val="3DF23324"/>
    <w:rsid w:val="3E2940EB"/>
    <w:rsid w:val="3EA14040"/>
    <w:rsid w:val="3EE8108D"/>
    <w:rsid w:val="405745EF"/>
    <w:rsid w:val="40B80EFF"/>
    <w:rsid w:val="41A35364"/>
    <w:rsid w:val="41C31686"/>
    <w:rsid w:val="42982B4E"/>
    <w:rsid w:val="436B1E42"/>
    <w:rsid w:val="43993170"/>
    <w:rsid w:val="44054362"/>
    <w:rsid w:val="449C5E6A"/>
    <w:rsid w:val="456D114B"/>
    <w:rsid w:val="45EB670F"/>
    <w:rsid w:val="46761547"/>
    <w:rsid w:val="46AB7C0D"/>
    <w:rsid w:val="46D44808"/>
    <w:rsid w:val="47A3636C"/>
    <w:rsid w:val="47CF49E6"/>
    <w:rsid w:val="4843587B"/>
    <w:rsid w:val="48674ED2"/>
    <w:rsid w:val="487708E6"/>
    <w:rsid w:val="488241D3"/>
    <w:rsid w:val="49645F71"/>
    <w:rsid w:val="499F5C68"/>
    <w:rsid w:val="4AF16062"/>
    <w:rsid w:val="4B646DDD"/>
    <w:rsid w:val="4B7F44F8"/>
    <w:rsid w:val="4BAC24C5"/>
    <w:rsid w:val="4BFA0656"/>
    <w:rsid w:val="4C5567C9"/>
    <w:rsid w:val="4D730507"/>
    <w:rsid w:val="4D741DD3"/>
    <w:rsid w:val="4DC93207"/>
    <w:rsid w:val="4E2A22FD"/>
    <w:rsid w:val="4E8D5761"/>
    <w:rsid w:val="4EF54A85"/>
    <w:rsid w:val="4F5F526E"/>
    <w:rsid w:val="4F6F75D9"/>
    <w:rsid w:val="501B3C66"/>
    <w:rsid w:val="504B40C5"/>
    <w:rsid w:val="50642410"/>
    <w:rsid w:val="50987DC2"/>
    <w:rsid w:val="50A4703E"/>
    <w:rsid w:val="5136104F"/>
    <w:rsid w:val="516C3C72"/>
    <w:rsid w:val="51E55C99"/>
    <w:rsid w:val="52071113"/>
    <w:rsid w:val="52447C09"/>
    <w:rsid w:val="525A440D"/>
    <w:rsid w:val="535E75EB"/>
    <w:rsid w:val="53AE2320"/>
    <w:rsid w:val="54741940"/>
    <w:rsid w:val="54810E66"/>
    <w:rsid w:val="54C2556E"/>
    <w:rsid w:val="55480EEF"/>
    <w:rsid w:val="56570E30"/>
    <w:rsid w:val="57AE5C26"/>
    <w:rsid w:val="57DD75A9"/>
    <w:rsid w:val="581234CD"/>
    <w:rsid w:val="58247055"/>
    <w:rsid w:val="58256ABD"/>
    <w:rsid w:val="59472AC7"/>
    <w:rsid w:val="59BD150F"/>
    <w:rsid w:val="59DD570D"/>
    <w:rsid w:val="59FF5EDC"/>
    <w:rsid w:val="5A084708"/>
    <w:rsid w:val="5AB343F7"/>
    <w:rsid w:val="5ABF50F2"/>
    <w:rsid w:val="5AF76904"/>
    <w:rsid w:val="5B052E7A"/>
    <w:rsid w:val="5B3D7F7E"/>
    <w:rsid w:val="5B7C7777"/>
    <w:rsid w:val="5B9462A0"/>
    <w:rsid w:val="5BA27E60"/>
    <w:rsid w:val="5BEC6771"/>
    <w:rsid w:val="5CA506B9"/>
    <w:rsid w:val="5CF27722"/>
    <w:rsid w:val="5CFD5FB2"/>
    <w:rsid w:val="5D2B52D8"/>
    <w:rsid w:val="5D5A7C63"/>
    <w:rsid w:val="5E256F6F"/>
    <w:rsid w:val="5F6235A9"/>
    <w:rsid w:val="60BD0047"/>
    <w:rsid w:val="614125C2"/>
    <w:rsid w:val="61447E20"/>
    <w:rsid w:val="624C5C52"/>
    <w:rsid w:val="63952BB5"/>
    <w:rsid w:val="63DF08E4"/>
    <w:rsid w:val="64127E15"/>
    <w:rsid w:val="64C04AFD"/>
    <w:rsid w:val="65DF6369"/>
    <w:rsid w:val="661A7B69"/>
    <w:rsid w:val="664909C1"/>
    <w:rsid w:val="66C63EB5"/>
    <w:rsid w:val="677772D0"/>
    <w:rsid w:val="679461D3"/>
    <w:rsid w:val="6858287E"/>
    <w:rsid w:val="69157114"/>
    <w:rsid w:val="691A443E"/>
    <w:rsid w:val="6A070584"/>
    <w:rsid w:val="6A80735F"/>
    <w:rsid w:val="6ACC5E47"/>
    <w:rsid w:val="6AD43ED1"/>
    <w:rsid w:val="6B11024D"/>
    <w:rsid w:val="6B7D5B36"/>
    <w:rsid w:val="6CF120A8"/>
    <w:rsid w:val="6D5520FF"/>
    <w:rsid w:val="6E600263"/>
    <w:rsid w:val="714213DD"/>
    <w:rsid w:val="717F272E"/>
    <w:rsid w:val="728027C6"/>
    <w:rsid w:val="72D54D7C"/>
    <w:rsid w:val="737664E0"/>
    <w:rsid w:val="73FE7ACC"/>
    <w:rsid w:val="74053F35"/>
    <w:rsid w:val="74556746"/>
    <w:rsid w:val="74AB7A24"/>
    <w:rsid w:val="757271FA"/>
    <w:rsid w:val="76BB79B1"/>
    <w:rsid w:val="76C17E06"/>
    <w:rsid w:val="76CA67BD"/>
    <w:rsid w:val="774E6400"/>
    <w:rsid w:val="775B0046"/>
    <w:rsid w:val="78796248"/>
    <w:rsid w:val="788A03B6"/>
    <w:rsid w:val="78992CEF"/>
    <w:rsid w:val="79700BEF"/>
    <w:rsid w:val="79F85634"/>
    <w:rsid w:val="7A090695"/>
    <w:rsid w:val="7A8D418E"/>
    <w:rsid w:val="7AE175F4"/>
    <w:rsid w:val="7B417685"/>
    <w:rsid w:val="7B5220F0"/>
    <w:rsid w:val="7BA169C0"/>
    <w:rsid w:val="7BB51BEE"/>
    <w:rsid w:val="7BE95D3C"/>
    <w:rsid w:val="7CAD595B"/>
    <w:rsid w:val="7CF6552C"/>
    <w:rsid w:val="7CF65D07"/>
    <w:rsid w:val="7D0D15B6"/>
    <w:rsid w:val="7D2975D1"/>
    <w:rsid w:val="7DCC0CD6"/>
    <w:rsid w:val="7DF74740"/>
    <w:rsid w:val="7E486D4A"/>
    <w:rsid w:val="7FC248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4</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2024-01-26T13:53:27Z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