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val="en-US" w:eastAsia="zh-CN"/>
        </w:rPr>
      </w:pPr>
      <w:r>
        <w:rPr>
          <w:rFonts w:hint="eastAsia" w:eastAsia="方正小标宋简体"/>
          <w:sz w:val="44"/>
          <w:szCs w:val="44"/>
          <w:u w:val="none"/>
          <w:lang w:val="en-US" w:eastAsia="zh-CN"/>
        </w:rPr>
        <w:t>通榆县八区街道综合服务中心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rPr>
          <w:rFonts w:eastAsia="黑体"/>
        </w:rPr>
      </w:pP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40" w:firstLineChars="200"/>
        <w:jc w:val="left"/>
        <w:rPr>
          <w:rFonts w:hint="eastAsia" w:ascii="仿宋_GB2312" w:hAnsi="仿宋_GB2312" w:eastAsia="仿宋_GB2312" w:cs="仿宋_GB2312"/>
          <w:color w:val="000000"/>
          <w:szCs w:val="32"/>
        </w:rPr>
      </w:pPr>
      <w:r>
        <w:rPr>
          <w:rFonts w:hint="eastAsia" w:ascii="Times New Roman" w:hAnsi="Times New Roman" w:eastAsia="仿宋_GB2312" w:cs="Times New Roman"/>
          <w:kern w:val="0"/>
          <w:sz w:val="32"/>
          <w:szCs w:val="32"/>
          <w:lang w:val="en-US" w:eastAsia="zh-CN" w:bidi="ar-SA"/>
        </w:rPr>
        <w:t>通榆县八区街道综合服务中心，为隶属于通榆县八区街道办事处的公益一类事业单位。承担文化、体育、劳动和社会保障、卫生健康、退役军人保障等服务工作;负责行政审批服务窗口具体事务性工作;完成街道党工委、办事处交办的其他任务。</w:t>
      </w:r>
    </w:p>
    <w:p>
      <w:pPr>
        <w:ind w:firstLine="640" w:firstLineChars="200"/>
      </w:pPr>
      <w:r>
        <w:rPr>
          <w:rFonts w:eastAsia="楷体_GB2312"/>
        </w:rPr>
        <w:t>二、机构设置</w:t>
      </w:r>
    </w:p>
    <w:p>
      <w:pPr>
        <w:pStyle w:val="51"/>
        <w:ind w:firstLine="640" w:firstLineChars="200"/>
        <w:rPr>
          <w:rFonts w:hint="eastAsia" w:eastAsia="仿宋_GB2312"/>
          <w:lang w:val="en-US" w:eastAsia="zh-CN"/>
        </w:rPr>
      </w:pPr>
      <w:r>
        <w:rPr>
          <w:rFonts w:hint="eastAsia" w:eastAsia="仿宋_GB2312"/>
          <w:lang w:val="en-US" w:eastAsia="zh-CN"/>
        </w:rPr>
        <w:t>根据所承担的工作职责和编制总量，通榆县八区街道综合服务中心设3个机构。</w:t>
      </w:r>
    </w:p>
    <w:p>
      <w:pPr>
        <w:pStyle w:val="51"/>
        <w:ind w:firstLine="640" w:firstLineChars="200"/>
        <w:rPr>
          <w:rFonts w:hint="eastAsia" w:eastAsia="仿宋_GB2312"/>
        </w:rPr>
      </w:pPr>
      <w:r>
        <w:rPr>
          <w:rFonts w:hint="eastAsia" w:eastAsia="仿宋_GB2312"/>
        </w:rPr>
        <w:t>(一)综合科。负责协助社区日常工作的开展;承担社会事务、公共服务等日常工作。牵头落实“最多跑一次”改革向基层延伸各项工作，负责便民服务“四个平台”的维护和管理，协助社区建设。承担辖区内下放权限行政审批服务事项办理和企业项目代办等社会民生事项服务，以及涉及多部门办理事项的综合协调、满意度测评等工作。承办街道党工委、办事处、上级业务部门交办的其他事项。</w:t>
      </w:r>
    </w:p>
    <w:p>
      <w:pPr>
        <w:pStyle w:val="51"/>
        <w:ind w:firstLine="640" w:firstLineChars="200"/>
        <w:rPr>
          <w:rFonts w:hint="eastAsia" w:eastAsia="仿宋_GB2312"/>
        </w:rPr>
      </w:pPr>
      <w:r>
        <w:rPr>
          <w:rFonts w:hint="eastAsia" w:eastAsia="仿宋_GB2312"/>
        </w:rPr>
        <w:t>(二)事务科。负责协助街道做好辖区内老旧小区改造、小区物业管理、辖区环境卫生、棚户区改造、协调拆迁拆违、和谐街道建设、社区建设等工作。承办街道党工委、办事处交办的其他事项。</w:t>
      </w:r>
    </w:p>
    <w:p>
      <w:pPr>
        <w:pStyle w:val="51"/>
        <w:ind w:firstLine="640" w:firstLineChars="200"/>
        <w:rPr>
          <w:rFonts w:eastAsia="楷体"/>
        </w:rPr>
      </w:pPr>
      <w:r>
        <w:rPr>
          <w:rFonts w:hint="eastAsia" w:eastAsia="仿宋_GB2312"/>
        </w:rPr>
        <w:t>(三)退役军人服务站。协助开展退役军人和其他优抚对象信息数据采集、资料管理、汇总分析等工作:协助做好信息服务管理工作</w:t>
      </w:r>
      <w:r>
        <w:rPr>
          <w:rFonts w:hint="eastAsia" w:eastAsia="仿宋_GB2312"/>
          <w:lang w:eastAsia="zh-CN"/>
        </w:rPr>
        <w:t>；</w:t>
      </w:r>
      <w:r>
        <w:rPr>
          <w:rFonts w:hint="eastAsia" w:eastAsia="仿宋_GB2312"/>
        </w:rPr>
        <w:t>完成退役军人事务局交办的其他工作。</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493.24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359.75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359.75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ascii="Arial" w:hAnsi="Arial" w:cs="Arial"/>
                <w:i w:val="0"/>
                <w:iCs w:val="0"/>
                <w:color w:val="000000"/>
                <w:kern w:val="2"/>
                <w:sz w:val="20"/>
                <w:szCs w:val="20"/>
                <w:u w:val="none"/>
                <w:lang w:val="en-US" w:eastAsia="zh-CN" w:bidi="ar-SA"/>
              </w:rPr>
              <w:t>493.24</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493.24</w:t>
            </w: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70.26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70.26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22.44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22.44</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40.79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40.79</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kern w:val="0"/>
                <w:sz w:val="20"/>
                <w:lang w:val="en-US" w:eastAsia="zh-CN"/>
              </w:rPr>
              <w:t>493.24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493.24</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bl>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730"/>
        <w:gridCol w:w="575"/>
        <w:gridCol w:w="613"/>
        <w:gridCol w:w="585"/>
        <w:gridCol w:w="390"/>
        <w:gridCol w:w="362"/>
        <w:gridCol w:w="388"/>
        <w:gridCol w:w="387"/>
        <w:gridCol w:w="100"/>
        <w:gridCol w:w="263"/>
        <w:gridCol w:w="351"/>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15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71"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7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8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1387" w:hRule="atLeast"/>
          <w:jc w:val="center"/>
        </w:trPr>
        <w:tc>
          <w:tcPr>
            <w:tcW w:w="1158" w:type="dxa"/>
            <w:gridSpan w:val="2"/>
            <w:tcBorders>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color w:val="000000"/>
                <w:sz w:val="20"/>
                <w:lang w:eastAsia="zh-CN"/>
              </w:rPr>
              <w:t>通榆县八区街道综合服务中心</w:t>
            </w:r>
          </w:p>
        </w:tc>
        <w:tc>
          <w:tcPr>
            <w:tcW w:w="57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493.24</w:t>
            </w:r>
          </w:p>
        </w:tc>
        <w:tc>
          <w:tcPr>
            <w:tcW w:w="61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493.24</w:t>
            </w:r>
          </w:p>
        </w:tc>
        <w:tc>
          <w:tcPr>
            <w:tcW w:w="5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493.24</w:t>
            </w:r>
          </w:p>
        </w:tc>
        <w:tc>
          <w:tcPr>
            <w:tcW w:w="39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6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8"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8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3"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5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729" w:hRule="atLeast"/>
          <w:jc w:val="center"/>
        </w:trPr>
        <w:tc>
          <w:tcPr>
            <w:tcW w:w="115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493.24</w:t>
            </w:r>
          </w:p>
        </w:tc>
        <w:tc>
          <w:tcPr>
            <w:tcW w:w="6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493.24</w:t>
            </w:r>
          </w:p>
        </w:tc>
        <w:tc>
          <w:tcPr>
            <w:tcW w:w="5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493.24</w:t>
            </w:r>
          </w:p>
        </w:tc>
        <w:tc>
          <w:tcPr>
            <w:tcW w:w="39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8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243"/>
              <w:gridCol w:w="1174"/>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243"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74"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7"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事业运行</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359.75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7"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w:t>
                  </w:r>
                  <w:r>
                    <w:rPr>
                      <w:rFonts w:hint="eastAsia" w:eastAsia="宋体"/>
                      <w:color w:val="000000"/>
                      <w:kern w:val="0"/>
                      <w:sz w:val="20"/>
                      <w:lang w:eastAsia="zh-CN"/>
                    </w:rPr>
                    <w:t>二、</w:t>
                  </w:r>
                  <w:r>
                    <w:rPr>
                      <w:rFonts w:hint="eastAsia" w:eastAsia="宋体"/>
                      <w:color w:val="000000"/>
                      <w:kern w:val="0"/>
                      <w:sz w:val="20"/>
                    </w:rPr>
                    <w:t>社会保障和就业支出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行政事业单位养老支出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其他行政事业单位养老支出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w:t>
                  </w:r>
                  <w:r>
                    <w:rPr>
                      <w:rFonts w:hint="eastAsia" w:eastAsia="宋体"/>
                      <w:color w:val="000000"/>
                      <w:kern w:val="0"/>
                      <w:sz w:val="20"/>
                    </w:rPr>
                    <w:t>卫生健康支出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8"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　　其他行政事业单位医疗支出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　住房改革支出</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住房公积金</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17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093" w:type="dxa"/>
        <w:jc w:val="center"/>
        <w:tblLayout w:type="fixed"/>
        <w:tblCellMar>
          <w:top w:w="0" w:type="dxa"/>
          <w:left w:w="108" w:type="dxa"/>
          <w:bottom w:w="0" w:type="dxa"/>
          <w:right w:w="108" w:type="dxa"/>
        </w:tblCellMar>
      </w:tblPr>
      <w:tblGrid>
        <w:gridCol w:w="10093"/>
      </w:tblGrid>
      <w:tr>
        <w:tblPrEx>
          <w:tblCellMar>
            <w:top w:w="0" w:type="dxa"/>
            <w:left w:w="108" w:type="dxa"/>
            <w:bottom w:w="0" w:type="dxa"/>
            <w:right w:w="108" w:type="dxa"/>
          </w:tblCellMar>
        </w:tblPrEx>
        <w:trPr>
          <w:trHeight w:val="873" w:hRule="atLeast"/>
          <w:jc w:val="center"/>
        </w:trPr>
        <w:tc>
          <w:tcPr>
            <w:tcW w:w="1009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715"/>
              <w:gridCol w:w="887"/>
              <w:gridCol w:w="941"/>
              <w:gridCol w:w="688"/>
              <w:gridCol w:w="1721"/>
              <w:gridCol w:w="864"/>
              <w:gridCol w:w="836"/>
              <w:gridCol w:w="850"/>
              <w:gridCol w:w="606"/>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71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8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4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68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71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8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4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60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38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493.24</w:t>
                  </w: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493.24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359.75</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359.75</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493.24</w:t>
                  </w: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493.24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70.26</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70.26</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22.44</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22.44</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40.79</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40.79</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493.24</w:t>
                  </w: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493.24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493.24</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493.24</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36"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528"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4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471" w:hRule="atLeast"/>
              </w:trPr>
              <w:tc>
                <w:tcPr>
                  <w:tcW w:w="17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493.24</w:t>
                  </w:r>
                  <w:r>
                    <w:rPr>
                      <w:rFonts w:eastAsia="黑体"/>
                      <w:kern w:val="0"/>
                      <w:sz w:val="20"/>
                    </w:rPr>
                    <w:t>　</w:t>
                  </w:r>
                </w:p>
              </w:tc>
              <w:tc>
                <w:tcPr>
                  <w:tcW w:w="94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493.24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493.24</w:t>
                  </w:r>
                </w:p>
              </w:tc>
              <w:tc>
                <w:tcPr>
                  <w:tcW w:w="83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493.24</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60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342.47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342.47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342.47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w:t>
                  </w:r>
                  <w:r>
                    <w:rPr>
                      <w:rFonts w:hint="eastAsia" w:eastAsia="宋体"/>
                      <w:color w:val="000000"/>
                      <w:kern w:val="0"/>
                      <w:sz w:val="20"/>
                      <w:lang w:eastAsia="zh-CN"/>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总计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5000" w:type="pct"/>
        <w:jc w:val="center"/>
        <w:tblLayout w:type="autofit"/>
        <w:tblCellMar>
          <w:top w:w="0" w:type="dxa"/>
          <w:left w:w="108" w:type="dxa"/>
          <w:bottom w:w="0" w:type="dxa"/>
          <w:right w:w="108" w:type="dxa"/>
        </w:tblCellMar>
      </w:tblPr>
      <w:tblGrid>
        <w:gridCol w:w="3179"/>
        <w:gridCol w:w="2221"/>
        <w:gridCol w:w="1704"/>
        <w:gridCol w:w="1843"/>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1777" w:type="pct"/>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1981" w:type="pct"/>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1777"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02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475.46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475.46</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477"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208.42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208.42</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5.26</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0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26.47</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26.47</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4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绩效工资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99.78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99.78</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rPr>
              <w:t>机关事业单位基本养老保险缴费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54.39</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54.39</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rPr>
              <w:t>职业年金缴费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13.49</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13.49</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rPr>
              <w:t>职工基本医疗保险缴费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21.76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21.76</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rPr>
              <w:t>其他社会保障缴费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3.06</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rPr>
              <w:t>住房公积金</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40.79</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40.79</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ab/>
            </w:r>
            <w:r>
              <w:rPr>
                <w:rFonts w:hint="eastAsia" w:eastAsia="宋体"/>
                <w:color w:val="000000"/>
                <w:sz w:val="20"/>
                <w:lang w:eastAsia="zh-CN"/>
              </w:rPr>
              <w:t>其他工资福利支出</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2.04</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2.04</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sz w:val="20"/>
                <w:lang w:val="en-US" w:eastAsia="zh-CN"/>
              </w:rPr>
              <w:t>二、</w:t>
            </w:r>
            <w:r>
              <w:rPr>
                <w:rFonts w:hint="eastAsia" w:eastAsia="宋体"/>
                <w:color w:val="000000"/>
                <w:sz w:val="20"/>
                <w:lang w:eastAsia="zh-CN"/>
              </w:rPr>
              <w:t>商品和服务支出</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17.28</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17.28</w:t>
            </w:r>
          </w:p>
        </w:tc>
      </w:tr>
      <w:tr>
        <w:tblPrEx>
          <w:tblCellMar>
            <w:top w:w="0" w:type="dxa"/>
            <w:left w:w="108" w:type="dxa"/>
            <w:bottom w:w="0" w:type="dxa"/>
            <w:right w:w="108" w:type="dxa"/>
          </w:tblCellMar>
        </w:tblPrEx>
        <w:trPr>
          <w:trHeight w:val="518"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办公费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11.71</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11.71</w:t>
            </w:r>
          </w:p>
        </w:tc>
      </w:tr>
      <w:tr>
        <w:tblPrEx>
          <w:tblCellMar>
            <w:top w:w="0" w:type="dxa"/>
            <w:left w:w="108" w:type="dxa"/>
            <w:bottom w:w="0" w:type="dxa"/>
            <w:right w:w="108" w:type="dxa"/>
          </w:tblCellMar>
        </w:tblPrEx>
        <w:trPr>
          <w:trHeight w:val="528"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咨询费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2.00</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503"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44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　维修（护）费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tabs>
                <w:tab w:val="left" w:pos="1110"/>
              </w:tabs>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　工会经费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2.57</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0.00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2.57</w:t>
            </w:r>
          </w:p>
        </w:tc>
      </w:tr>
      <w:tr>
        <w:tblPrEx>
          <w:tblCellMar>
            <w:top w:w="0" w:type="dxa"/>
            <w:left w:w="108" w:type="dxa"/>
            <w:bottom w:w="0" w:type="dxa"/>
            <w:right w:w="108" w:type="dxa"/>
          </w:tblCellMar>
        </w:tblPrEx>
        <w:trPr>
          <w:trHeight w:val="5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三、</w:t>
            </w:r>
            <w:r>
              <w:rPr>
                <w:rFonts w:hint="eastAsia" w:eastAsia="宋体"/>
                <w:color w:val="000000"/>
                <w:kern w:val="0"/>
                <w:sz w:val="20"/>
              </w:rPr>
              <w:t>对个人和家庭的补助</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c>
          <w:tcPr>
            <w:tcW w:w="1028"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退休费</w:t>
            </w:r>
          </w:p>
        </w:tc>
        <w:tc>
          <w:tcPr>
            <w:tcW w:w="1241"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952" w:type="pct"/>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c>
          <w:tcPr>
            <w:tcW w:w="1028" w:type="pct"/>
            <w:tcBorders>
              <w:top w:val="single" w:color="auto" w:sz="4" w:space="0"/>
              <w:left w:val="single" w:color="auto" w:sz="4" w:space="0"/>
              <w:bottom w:val="single" w:color="auto" w:sz="4" w:space="0"/>
              <w:right w:val="single" w:color="auto" w:sz="4" w:space="0"/>
            </w:tcBorders>
            <w:noWrap w:val="0"/>
            <w:vAlign w:val="top"/>
          </w:tcPr>
          <w:p>
            <w:pPr>
              <w:bidi w:val="0"/>
              <w:jc w:val="center"/>
              <w:rPr>
                <w:rFonts w:hint="default" w:ascii="Times New Roman" w:hAnsi="Times New Roman" w:eastAsia="仿宋_GB2312" w:cs="Times New Roman"/>
                <w:kern w:val="2"/>
                <w:sz w:val="32"/>
                <w:lang w:val="en-US" w:eastAsia="zh-CN" w:bidi="ar-SA"/>
              </w:rPr>
            </w:pPr>
            <w:r>
              <w:rPr>
                <w:rFonts w:hint="eastAsia" w:eastAsia="宋体"/>
                <w:kern w:val="0"/>
                <w:sz w:val="20"/>
                <w:lang w:val="en-US" w:eastAsia="zh-CN"/>
              </w:rPr>
              <w:t>0.00</w:t>
            </w:r>
          </w:p>
        </w:tc>
      </w:tr>
    </w:tbl>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rPr>
          <w:rFonts w:eastAsia="楷体"/>
          <w:kern w:val="0"/>
          <w:szCs w:val="32"/>
        </w:rPr>
      </w:pPr>
      <w:r>
        <w:rPr>
          <w:rFonts w:hAnsi="楷体" w:eastAsia="楷体"/>
        </w:rPr>
        <w:br w:type="page"/>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tbl>
            <w:tblPr>
              <w:tblStyle w:val="9"/>
              <w:tblpPr w:leftFromText="180" w:rightFromText="180" w:vertAnchor="page" w:horzAnchor="page" w:tblpX="-81" w:tblpY="-1637"/>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widowControl/>
              <w:ind w:firstLine="2520" w:firstLineChars="700"/>
              <w:jc w:val="both"/>
              <w:rPr>
                <w:rFonts w:hint="eastAsia" w:eastAsia="方正小标宋简体"/>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15.15</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三个社工岗辞职</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eastAsia="仿宋_GB2312"/>
          <w:szCs w:val="30"/>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万元。本年收入中，一般公共预算拨款收入</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359.75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70.26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22.44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40.79</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万元。基本支出中，人员经费</w:t>
      </w:r>
      <w:r>
        <w:rPr>
          <w:rFonts w:hint="eastAsia" w:ascii="仿宋_GB2312" w:hAnsi="仿宋_GB2312" w:cs="仿宋_GB2312"/>
          <w:szCs w:val="32"/>
          <w:lang w:val="en-US" w:eastAsia="zh-CN"/>
        </w:rPr>
        <w:t>475.96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96.50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17.28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359.75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72.94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人员工资及单位运行</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70.26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14.24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缴纳职工社保</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（类）</w:t>
      </w:r>
      <w:r>
        <w:rPr>
          <w:rFonts w:hint="eastAsia" w:ascii="仿宋_GB2312" w:hAnsi="仿宋_GB2312" w:eastAsia="仿宋_GB2312" w:cs="仿宋_GB2312"/>
          <w:kern w:val="0"/>
          <w:szCs w:val="32"/>
        </w:rPr>
        <w:t>支出</w:t>
      </w:r>
      <w:r>
        <w:rPr>
          <w:rFonts w:hint="eastAsia" w:ascii="仿宋_GB2312" w:hAnsi="仿宋_GB2312" w:cs="仿宋_GB2312"/>
          <w:szCs w:val="32"/>
          <w:lang w:val="en-US" w:eastAsia="zh-CN"/>
        </w:rPr>
        <w:t>22.44</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占4.55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缴纳职工医保</w:t>
      </w:r>
      <w:r>
        <w:rPr>
          <w:rFonts w:hint="eastAsia" w:ascii="仿宋_GB2312" w:hAnsi="仿宋_GB2312" w:eastAsia="仿宋_GB2312" w:cs="仿宋_GB2312"/>
          <w:szCs w:val="32"/>
        </w:rPr>
        <w:t>。</w:t>
      </w:r>
    </w:p>
    <w:p>
      <w:pPr>
        <w:spacing w:line="520" w:lineRule="exact"/>
        <w:ind w:firstLine="640" w:firstLineChars="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40.79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缴纳职工住房公积金</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475.96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17.28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本部门无一般公共预算财政拨款“三公”经费</w:t>
      </w:r>
      <w:r>
        <w:rPr>
          <w:rFonts w:hint="eastAsia" w:ascii="仿宋_GB2312" w:hAnsi="仿宋_GB2312" w:cs="仿宋_GB2312"/>
          <w:szCs w:val="32"/>
          <w:lang w:eastAsia="zh-CN"/>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cs="仿宋_GB2312"/>
          <w:szCs w:val="32"/>
          <w:lang w:eastAsia="zh-CN"/>
        </w:rPr>
      </w:pPr>
      <w:r>
        <w:rPr>
          <w:rFonts w:hint="eastAsia" w:ascii="仿宋_GB2312" w:hAnsi="仿宋_GB2312" w:eastAsia="仿宋_GB2312" w:cs="仿宋_GB2312"/>
          <w:szCs w:val="32"/>
        </w:rPr>
        <w:t>本部门无政府性基金预算拨款</w:t>
      </w:r>
      <w:r>
        <w:rPr>
          <w:rFonts w:hint="eastAsia" w:ascii="仿宋_GB2312" w:hAnsi="仿宋_GB2312" w:cs="仿宋_GB2312"/>
          <w:szCs w:val="32"/>
          <w:lang w:eastAsia="zh-CN"/>
        </w:rPr>
        <w:t>。</w:t>
      </w:r>
    </w:p>
    <w:p>
      <w:pPr>
        <w:ind w:firstLine="64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lang w:eastAsia="zh-CN"/>
        </w:rPr>
      </w:pPr>
      <w:r>
        <w:rPr>
          <w:rFonts w:hint="eastAsia" w:ascii="仿宋_GB2312" w:hAnsi="仿宋_GB2312" w:eastAsia="仿宋_GB2312" w:cs="仿宋_GB2312"/>
          <w:szCs w:val="32"/>
          <w:highlight w:val="none"/>
        </w:rPr>
        <w:t>本部门无国有资本经营预算拨款</w:t>
      </w:r>
      <w:r>
        <w:rPr>
          <w:rFonts w:hint="eastAsia" w:ascii="仿宋_GB2312" w:hAnsi="仿宋_GB2312" w:cs="仿宋_GB2312"/>
          <w:szCs w:val="32"/>
          <w:highlight w:val="none"/>
          <w:lang w:eastAsia="zh-CN"/>
        </w:rPr>
        <w:t>。</w:t>
      </w:r>
    </w:p>
    <w:p>
      <w:pPr>
        <w:ind w:firstLine="640" w:firstLineChars="200"/>
        <w:rPr>
          <w:rFonts w:eastAsia="黑体"/>
          <w:szCs w:val="32"/>
        </w:rPr>
      </w:pPr>
      <w:bookmarkStart w:id="0" w:name="_GoBack"/>
      <w:bookmarkEnd w:id="0"/>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通榆县八区街道综合服务中心1</w:t>
      </w:r>
      <w:r>
        <w:rPr>
          <w:rFonts w:hint="eastAsia" w:ascii="仿宋_GB2312" w:hAnsi="仿宋_GB2312" w:eastAsia="仿宋_GB2312" w:cs="仿宋_GB2312"/>
          <w:szCs w:val="32"/>
        </w:rPr>
        <w:t>家</w:t>
      </w:r>
      <w:r>
        <w:rPr>
          <w:rFonts w:hint="eastAsia" w:ascii="仿宋_GB2312" w:hAnsi="仿宋_GB2312" w:cs="仿宋_GB2312"/>
          <w:szCs w:val="32"/>
          <w:lang w:val="en-US" w:eastAsia="zh-CN"/>
        </w:rPr>
        <w:t>事业</w:t>
      </w:r>
      <w:r>
        <w:rPr>
          <w:rFonts w:hint="eastAsia" w:ascii="仿宋_GB2312" w:hAnsi="仿宋_GB2312" w:eastAsia="仿宋_GB2312" w:cs="仿宋_GB2312"/>
          <w:szCs w:val="32"/>
        </w:rPr>
        <w:t>单位</w:t>
      </w:r>
      <w:r>
        <w:rPr>
          <w:rFonts w:hint="eastAsia" w:ascii="仿宋_GB2312" w:hAnsi="仿宋_GB2312" w:cs="仿宋_GB2312"/>
          <w:szCs w:val="32"/>
          <w:lang w:val="en-US" w:eastAsia="zh-CN"/>
        </w:rPr>
        <w:t>事业</w:t>
      </w:r>
      <w:r>
        <w:rPr>
          <w:rFonts w:hint="eastAsia" w:ascii="仿宋_GB2312" w:hAnsi="仿宋_GB2312" w:eastAsia="仿宋_GB2312" w:cs="仿宋_GB2312"/>
          <w:szCs w:val="32"/>
        </w:rPr>
        <w:t>运行经费财政拨款预算</w:t>
      </w:r>
      <w:r>
        <w:rPr>
          <w:rFonts w:hint="eastAsia" w:ascii="仿宋_GB2312" w:hAnsi="仿宋_GB2312" w:cs="仿宋_GB2312"/>
          <w:szCs w:val="32"/>
          <w:lang w:val="en-US" w:eastAsia="zh-CN"/>
        </w:rPr>
        <w:t>493.24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减少15.15</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减少2.98</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三个社工岗辞职。</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2024年本部门无政府采购资金预算拨款。</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cs="仿宋_GB2312"/>
          <w:highlight w:val="none"/>
          <w:lang w:val="en-US" w:eastAsia="zh-CN"/>
        </w:rPr>
        <w:t>年</w:t>
      </w:r>
      <w:r>
        <w:rPr>
          <w:rFonts w:hint="eastAsia" w:ascii="仿宋_GB2312" w:hAnsi="仿宋_GB2312" w:eastAsia="仿宋_GB2312" w:cs="仿宋_GB2312"/>
          <w:highlight w:val="none"/>
        </w:rPr>
        <w:t>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5F6B9B"/>
    <w:rsid w:val="0486486A"/>
    <w:rsid w:val="04954460"/>
    <w:rsid w:val="04F026C1"/>
    <w:rsid w:val="050D06DA"/>
    <w:rsid w:val="050F3BA7"/>
    <w:rsid w:val="05513E94"/>
    <w:rsid w:val="056F5A6D"/>
    <w:rsid w:val="059B3770"/>
    <w:rsid w:val="063949A0"/>
    <w:rsid w:val="067960C1"/>
    <w:rsid w:val="06BD5BC7"/>
    <w:rsid w:val="07D21289"/>
    <w:rsid w:val="07F544B0"/>
    <w:rsid w:val="08E73603"/>
    <w:rsid w:val="09A0082A"/>
    <w:rsid w:val="0A334D52"/>
    <w:rsid w:val="0ABA06FE"/>
    <w:rsid w:val="0B5F5ADA"/>
    <w:rsid w:val="0B710869"/>
    <w:rsid w:val="0C2A5C84"/>
    <w:rsid w:val="0DA001B0"/>
    <w:rsid w:val="0DB6446C"/>
    <w:rsid w:val="0DEB170B"/>
    <w:rsid w:val="0E4C7841"/>
    <w:rsid w:val="0E99714E"/>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89270E7"/>
    <w:rsid w:val="199D3F96"/>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A7D04E1"/>
    <w:rsid w:val="2DF8796C"/>
    <w:rsid w:val="2EB22F18"/>
    <w:rsid w:val="2EE12108"/>
    <w:rsid w:val="2EED35E3"/>
    <w:rsid w:val="2F250383"/>
    <w:rsid w:val="2F63610B"/>
    <w:rsid w:val="300965A3"/>
    <w:rsid w:val="30730D6E"/>
    <w:rsid w:val="30B91A70"/>
    <w:rsid w:val="32CF2C5D"/>
    <w:rsid w:val="335402B5"/>
    <w:rsid w:val="339466B2"/>
    <w:rsid w:val="34555AF5"/>
    <w:rsid w:val="34627E5E"/>
    <w:rsid w:val="347F7CBC"/>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1F11D28"/>
    <w:rsid w:val="42982B4E"/>
    <w:rsid w:val="436B1E42"/>
    <w:rsid w:val="43993170"/>
    <w:rsid w:val="44054362"/>
    <w:rsid w:val="449C5E6A"/>
    <w:rsid w:val="456D114B"/>
    <w:rsid w:val="45EB670F"/>
    <w:rsid w:val="46AB7C0D"/>
    <w:rsid w:val="46D44808"/>
    <w:rsid w:val="47307948"/>
    <w:rsid w:val="47CF49E6"/>
    <w:rsid w:val="4843587B"/>
    <w:rsid w:val="48674ED2"/>
    <w:rsid w:val="487708E6"/>
    <w:rsid w:val="49645F71"/>
    <w:rsid w:val="499F5C68"/>
    <w:rsid w:val="4AF16062"/>
    <w:rsid w:val="4B646DDD"/>
    <w:rsid w:val="4B7F44F8"/>
    <w:rsid w:val="4BAC24C5"/>
    <w:rsid w:val="4BFA0656"/>
    <w:rsid w:val="4C522876"/>
    <w:rsid w:val="4C5567C9"/>
    <w:rsid w:val="4D730507"/>
    <w:rsid w:val="4D741DD3"/>
    <w:rsid w:val="4DBE3AFE"/>
    <w:rsid w:val="4DC93207"/>
    <w:rsid w:val="4E2A22FD"/>
    <w:rsid w:val="4E8D5761"/>
    <w:rsid w:val="4EE155F8"/>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8832FC"/>
    <w:rsid w:val="56C836F9"/>
    <w:rsid w:val="57AE5C26"/>
    <w:rsid w:val="57DD75A9"/>
    <w:rsid w:val="58256ABD"/>
    <w:rsid w:val="59472AC7"/>
    <w:rsid w:val="59BD150F"/>
    <w:rsid w:val="59DD570D"/>
    <w:rsid w:val="59FF5EDC"/>
    <w:rsid w:val="5A084708"/>
    <w:rsid w:val="5AB343F7"/>
    <w:rsid w:val="5ABF50F2"/>
    <w:rsid w:val="5ACB527F"/>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8FB5BB0"/>
    <w:rsid w:val="69157114"/>
    <w:rsid w:val="691A443E"/>
    <w:rsid w:val="6A80735F"/>
    <w:rsid w:val="6ACC5E47"/>
    <w:rsid w:val="6AD43ED1"/>
    <w:rsid w:val="6B11024D"/>
    <w:rsid w:val="6B7D5B36"/>
    <w:rsid w:val="6CF120A8"/>
    <w:rsid w:val="714213DD"/>
    <w:rsid w:val="717F272E"/>
    <w:rsid w:val="728027C6"/>
    <w:rsid w:val="72D54D7C"/>
    <w:rsid w:val="72F53670"/>
    <w:rsid w:val="737664E0"/>
    <w:rsid w:val="73FE7ACC"/>
    <w:rsid w:val="74053F35"/>
    <w:rsid w:val="74197246"/>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1C7EBF"/>
    <w:rsid w:val="7CAD595B"/>
    <w:rsid w:val="7CF65D07"/>
    <w:rsid w:val="7D2975D1"/>
    <w:rsid w:val="7DCC0CD6"/>
    <w:rsid w:val="7FD41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5349</Words>
  <Characters>6563</Characters>
  <Lines>71</Lines>
  <Paragraphs>20</Paragraphs>
  <TotalTime>5</TotalTime>
  <ScaleCrop>false</ScaleCrop>
  <LinksUpToDate>false</LinksUpToDate>
  <CharactersWithSpaces>7067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2024-01-30T08:35:36Z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F9FCA86C59FE4FAE82790B9CCC9ABCF1_13</vt:lpwstr>
  </property>
</Properties>
</file>