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none"/>
          <w:lang w:eastAsia="zh-CN"/>
        </w:rPr>
      </w:pPr>
      <w:r>
        <w:rPr>
          <w:rFonts w:hint="eastAsia" w:eastAsia="方正小标宋简体"/>
          <w:sz w:val="44"/>
          <w:szCs w:val="44"/>
          <w:u w:val="none"/>
          <w:lang w:eastAsia="zh-CN"/>
        </w:rPr>
        <w:t>通榆县迎新街道办事处汇总</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一</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贯彻党的路线,方针，政策，和国家的法律，法规执行县委，县政府的决议，决定，加强民主政治，加强基础组织建设。</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二</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统筹落实街道发展的重大决策和街道建设规划，参与辖区公共服务设施建设规划编制，推动辖区健康，有序，可持续发展。</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三</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组织实施与居民生活密切相关的卫生，文化体育，社区教育，为老服务等社区公共服务，协助做好人力资源社会保障，民政，残联，计划生育等相关政策的落实工作。</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四</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综合协调辖区内的城市管理，人口管理，社会管理，安全管理，住宅小区和房屋管理等地区，综合性工作。</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五</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动员社会力量参与街道治理，整合辖区内社会力量，形成社区公共治合力，为社区发展服务，推动社区公益慈善事业发展。</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六</w:t>
      </w:r>
      <w:r>
        <w:rPr>
          <w:rFonts w:hint="eastAsia" w:ascii="仿宋_GB2312" w:hAnsi="仿宋" w:eastAsia="仿宋_GB2312" w:cs="仿宋"/>
          <w:sz w:val="32"/>
          <w:szCs w:val="32"/>
        </w:rPr>
        <w:t>）指导居民委员会等基层群众性自制组织建设，健全自制平台，组织社区居民和单位参与社区建设和管理。</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七</w:t>
      </w:r>
      <w:r>
        <w:rPr>
          <w:rFonts w:hint="eastAsia" w:ascii="仿宋_GB2312" w:hAnsi="仿宋" w:eastAsia="仿宋_GB2312" w:cs="仿宋"/>
          <w:sz w:val="32"/>
          <w:szCs w:val="32"/>
        </w:rPr>
        <w:t>）承担辖区社会治安综合治理工作，反应社区民意，化解矛盾纠纷，维护社区平安，</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八</w:t>
      </w:r>
      <w:r>
        <w:rPr>
          <w:rFonts w:hint="eastAsia" w:ascii="仿宋_GB2312" w:hAnsi="仿宋" w:eastAsia="仿宋_GB2312" w:cs="仿宋"/>
          <w:sz w:val="32"/>
          <w:szCs w:val="32"/>
        </w:rPr>
        <w:t>）做好国防教育和兵役等工作。</w:t>
      </w:r>
    </w:p>
    <w:p>
      <w:pPr>
        <w:spacing w:line="576" w:lineRule="exact"/>
        <w:ind w:firstLine="608" w:firstLineChars="190"/>
        <w:rPr>
          <w:rFonts w:hint="eastAsia" w:ascii="仿宋_GB2312" w:hAnsi="仿宋" w:eastAsia="仿宋_GB2312" w:cs="仿宋"/>
          <w:sz w:val="32"/>
          <w:szCs w:val="32"/>
        </w:rPr>
      </w:pP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九</w:t>
      </w:r>
      <w:r>
        <w:rPr>
          <w:rFonts w:hint="eastAsia" w:ascii="仿宋_GB2312" w:hAnsi="仿宋" w:eastAsia="仿宋_GB2312" w:cs="仿宋"/>
          <w:sz w:val="32"/>
          <w:szCs w:val="32"/>
        </w:rPr>
        <w:t>）法律，法规，规章规定的其他职能和县委，县政府交办的其他事项。</w:t>
      </w:r>
    </w:p>
    <w:p>
      <w:pPr>
        <w:ind w:firstLine="640" w:firstLineChars="200"/>
      </w:pPr>
      <w:r>
        <w:rPr>
          <w:rFonts w:eastAsia="楷体_GB2312"/>
        </w:rPr>
        <w:t>二、机构设置</w:t>
      </w:r>
    </w:p>
    <w:p>
      <w:pPr>
        <w:spacing w:line="576" w:lineRule="exact"/>
        <w:ind w:firstLine="608" w:firstLineChars="190"/>
        <w:rPr>
          <w:rFonts w:hint="eastAsia" w:eastAsia="仿宋_GB2312"/>
          <w:sz w:val="32"/>
          <w:szCs w:val="32"/>
          <w:lang w:eastAsia="zh-CN"/>
        </w:rPr>
      </w:pPr>
      <w:r>
        <w:rPr>
          <w:rFonts w:eastAsia="仿宋_GB2312"/>
          <w:sz w:val="32"/>
          <w:szCs w:val="32"/>
        </w:rPr>
        <w:t>根据上述职责，</w:t>
      </w:r>
      <w:r>
        <w:rPr>
          <w:rFonts w:hint="eastAsia" w:eastAsia="仿宋_GB2312"/>
          <w:sz w:val="32"/>
          <w:szCs w:val="32"/>
          <w:u w:val="single"/>
          <w:lang w:val="en-US" w:eastAsia="zh-CN"/>
        </w:rPr>
        <w:t>通榆县迎新街道办事处</w:t>
      </w:r>
      <w:r>
        <w:rPr>
          <w:rFonts w:eastAsia="仿宋_GB2312"/>
          <w:sz w:val="32"/>
          <w:szCs w:val="32"/>
        </w:rPr>
        <w:t>内设</w:t>
      </w:r>
      <w:r>
        <w:rPr>
          <w:rFonts w:hint="eastAsia" w:eastAsia="仿宋_GB2312"/>
          <w:sz w:val="32"/>
          <w:szCs w:val="32"/>
          <w:u w:val="single"/>
          <w:lang w:val="en-US" w:eastAsia="zh-CN"/>
        </w:rPr>
        <w:t>7</w:t>
      </w:r>
      <w:r>
        <w:rPr>
          <w:rFonts w:eastAsia="仿宋_GB2312"/>
          <w:sz w:val="32"/>
          <w:szCs w:val="32"/>
        </w:rPr>
        <w:t>个机构，分别为</w:t>
      </w:r>
      <w:r>
        <w:rPr>
          <w:rFonts w:hint="eastAsia"/>
          <w:sz w:val="32"/>
          <w:szCs w:val="32"/>
          <w:lang w:eastAsia="zh-CN"/>
        </w:rPr>
        <w:t>：</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一）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二）党建工作办公室。负责党的政治建设、组织建设和宣传、意识形态、统战工作，统筹推进区域化党建、“两新”组织党建、社区党建工作。承担机关党务、党风廉政建设和反腐败等工作。统筹推进辖区人才工作。负责指导工会、共青团、妇联等群团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三）平安建设办公室（应急管理办公室）。负责平安建设、综合治理、维护稳定、“多网合一”等工作。组织协调开展邪教防范、法治宣传、社区戒毒、社区矫正、刑满释放人员安置帮教工作。指导督促辖区单位和居民落实安全生产和消防安全等工作。受理人民群众来信来访、开展矛盾纠纷调处化解。组织协调有关部门共同解决辖区内的治安问题。加强国防教育，组织开展防空、防震工作，负责安全生产、应急事件应对预案的制订和执行等工作。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四）社会事务办公室（退役军人事务办公室）。具体承担社会事务和公共服务等工作职责。落实人力社保、医保、退役军人、民政、保障性住房、教育、文化、体育、卫生健康、人口计生、残联、红十字等领域的有关政策和工作的落实。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（五）财政经济办公室。</w:t>
      </w:r>
      <w:r>
        <w:rPr>
          <w:rFonts w:hint="eastAsia" w:ascii="仿宋_GB2312" w:hAnsi="仿宋" w:eastAsia="仿宋_GB2312" w:cs="仿宋"/>
          <w:sz w:val="32"/>
          <w:szCs w:val="32"/>
        </w:rPr>
        <w:t>负责编制本街道产业发展规划，优化投资环境，协调解决经济发展中的相关问题，做好企业管理和服务工作；统筹协调市监、财税、工信、审计、统计、粮商等部门的管理工作；编制和执行街道财政预（决）算计划，统管街道财务、机关及所属单位财务运行、财务管理等工作。</w:t>
      </w:r>
      <w:r>
        <w:rPr>
          <w:rFonts w:hint="eastAsia" w:ascii="仿宋_GB2312" w:hAnsi="Times New Roman" w:eastAsia="仿宋_GB2312"/>
          <w:sz w:val="32"/>
          <w:szCs w:val="32"/>
        </w:rPr>
        <w:t>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eastAsia="仿宋_GB2312"/>
          <w:sz w:val="32"/>
          <w:szCs w:val="32"/>
        </w:rPr>
        <w:t>（六）公共管理办公室。</w:t>
      </w:r>
      <w:r>
        <w:rPr>
          <w:rFonts w:hint="eastAsia" w:ascii="仿宋_GB2312" w:hAnsi="仿宋" w:eastAsia="仿宋_GB2312"/>
          <w:sz w:val="32"/>
          <w:szCs w:val="32"/>
        </w:rPr>
        <w:t>统筹落实街道发展的重大决策和街道建设规划，参与辖区公共服务设施建设规划编制；负责贯彻落实城市建设管理法律法规，统筹抓好辖区基础设施建设管理、环境整治等工作；指导监督物业服务企业按照合同约定提供服务；落实对 “弃管”小区物业的临时托管；</w:t>
      </w:r>
      <w:r>
        <w:rPr>
          <w:rFonts w:hint="eastAsia" w:ascii="仿宋_GB2312" w:hAnsi="Times New Roman" w:eastAsia="仿宋_GB2312"/>
          <w:sz w:val="32"/>
          <w:szCs w:val="32"/>
        </w:rPr>
        <w:t>承办街道党工委、办事处交办的其他事项。</w:t>
      </w:r>
    </w:p>
    <w:p>
      <w:pPr>
        <w:spacing w:line="576" w:lineRule="exact"/>
        <w:ind w:firstLine="608" w:firstLineChars="190"/>
        <w:rPr>
          <w:rFonts w:hint="eastAsia" w:ascii="仿宋_GB2312" w:hAnsi="Times New Roman" w:eastAsia="仿宋_GB2312"/>
          <w:sz w:val="32"/>
          <w:szCs w:val="32"/>
        </w:rPr>
      </w:pPr>
      <w:r>
        <w:rPr>
          <w:rFonts w:hint="eastAsia" w:ascii="仿宋_GB2312" w:hAnsi="Times New Roman" w:eastAsia="仿宋_GB2312"/>
          <w:sz w:val="32"/>
          <w:szCs w:val="32"/>
        </w:rPr>
        <w:t>（七）综合行政执法办公室。负责统筹组织协调辖区内派驻和基层执法力量实行联合执法，牵头建立综合行政执法平台工作，代表街道办事处履行明确赋予或授权的行政执法职责。承办街道党工委、办事处交办的其他事项。</w:t>
      </w:r>
    </w:p>
    <w:p>
      <w:pPr>
        <w:pStyle w:val="51"/>
        <w:ind w:firstLine="640" w:firstLineChars="200"/>
        <w:rPr>
          <w:rFonts w:eastAsia="仿宋_GB2312"/>
          <w:sz w:val="32"/>
          <w:szCs w:val="32"/>
        </w:rPr>
      </w:pPr>
      <w:r>
        <w:rPr>
          <w:rFonts w:eastAsia="仿宋_GB2312"/>
          <w:sz w:val="32"/>
          <w:szCs w:val="32"/>
        </w:rPr>
        <w:t>下设</w:t>
      </w:r>
      <w:r>
        <w:rPr>
          <w:rFonts w:hint="eastAsia" w:eastAsia="仿宋_GB2312"/>
          <w:sz w:val="32"/>
          <w:szCs w:val="32"/>
          <w:u w:val="single"/>
          <w:lang w:val="en-US" w:eastAsia="zh-CN"/>
        </w:rPr>
        <w:t>2</w:t>
      </w:r>
      <w:r>
        <w:rPr>
          <w:rFonts w:eastAsia="仿宋_GB2312"/>
          <w:sz w:val="32"/>
          <w:szCs w:val="32"/>
        </w:rPr>
        <w:t>家预算单位，分别为</w:t>
      </w:r>
      <w:r>
        <w:rPr>
          <w:rFonts w:hint="eastAsia" w:eastAsia="仿宋_GB2312"/>
          <w:sz w:val="32"/>
          <w:szCs w:val="32"/>
          <w:lang w:val="en-US" w:eastAsia="zh-CN"/>
        </w:rPr>
        <w:t>通榆县迎新街道办事处和通榆县迎新街道综合服务中心</w:t>
      </w:r>
      <w:r>
        <w:rPr>
          <w:rFonts w:eastAsia="仿宋_GB2312"/>
          <w:sz w:val="32"/>
          <w:szCs w:val="3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773.39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594.91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30.71</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773.39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773.39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773.39</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773.39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ascii="Times New Roman" w:hAnsi="Times New Roman" w:eastAsia="宋体" w:cs="Times New Roman"/>
                <w:color w:val="000000"/>
                <w:kern w:val="2"/>
                <w:sz w:val="20"/>
                <w:lang w:val="en-US" w:eastAsia="zh-CN" w:bidi="ar-SA"/>
              </w:rPr>
            </w:pPr>
            <w:r>
              <w:rPr>
                <w:rFonts w:hint="eastAsia" w:eastAsia="宋体"/>
                <w:color w:val="000000"/>
                <w:sz w:val="20"/>
                <w:lang w:eastAsia="zh-CN"/>
              </w:rPr>
              <w:t>通榆县迎新街道办事处</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773.39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773.39</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773.39</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 xml:space="preserve">  通榆县迎新街道办事处</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322.30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322.30</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322.30</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 xml:space="preserve">  通榆县迎新街道综合服务中心</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451.09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451.09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ascii="Times New Roman" w:hAnsi="Times New Roman" w:eastAsia="宋体" w:cs="Times New Roman"/>
                <w:color w:val="000000"/>
                <w:kern w:val="2"/>
                <w:sz w:val="20"/>
                <w:shd w:val="clear" w:color="auto" w:fill="FFFFFF"/>
                <w:lang w:val="en-US" w:eastAsia="zh-CN" w:bidi="ar-SA"/>
              </w:rPr>
            </w:pPr>
            <w:r>
              <w:rPr>
                <w:rFonts w:hint="eastAsia" w:eastAsia="宋体"/>
                <w:color w:val="000000"/>
                <w:sz w:val="20"/>
                <w:shd w:val="clear" w:color="auto" w:fill="FFFFFF"/>
                <w:lang w:val="en-US" w:eastAsia="zh-CN"/>
              </w:rPr>
              <w:t>451.09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773.39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773.39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773.39</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594.91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594.91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lang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72.99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left="0" w:leftChars="0"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eastAsia="zh-CN"/>
                    </w:rPr>
                    <w:t>三</w:t>
                  </w:r>
                  <w:r>
                    <w:rPr>
                      <w:rFonts w:eastAsia="宋体"/>
                      <w:color w:val="000000"/>
                      <w:kern w:val="0"/>
                      <w:sz w:val="20"/>
                    </w:rPr>
                    <w:t>、</w:t>
                  </w:r>
                  <w:r>
                    <w:rPr>
                      <w:rFonts w:hint="eastAsia" w:eastAsia="宋体"/>
                      <w:color w:val="000000"/>
                      <w:kern w:val="0"/>
                      <w:sz w:val="20"/>
                      <w:lang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30.71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w:t>
                  </w: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19.90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693.03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594.91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93.03</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30.71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54.74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773.39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773.39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773.39</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773.39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466.19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594.91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514.55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466.19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265.88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185.53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153.49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32.04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329.02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312.70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16.32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lang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72.99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72.99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17.87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left="0" w:leftChars="0" w:firstLine="600" w:firstLineChars="300"/>
                    <w:jc w:val="left"/>
                    <w:rPr>
                      <w:rFonts w:eastAsia="宋体"/>
                      <w:color w:val="000000"/>
                      <w:kern w:val="0"/>
                      <w:sz w:val="20"/>
                    </w:rPr>
                  </w:pPr>
                  <w:r>
                    <w:rPr>
                      <w:rFonts w:hint="eastAsia"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eastAsia="zh-CN"/>
                    </w:rPr>
                    <w:t>三</w:t>
                  </w:r>
                  <w:r>
                    <w:rPr>
                      <w:rFonts w:eastAsia="宋体"/>
                      <w:color w:val="000000"/>
                      <w:kern w:val="0"/>
                      <w:sz w:val="20"/>
                    </w:rPr>
                    <w:t>、</w:t>
                  </w:r>
                  <w:r>
                    <w:rPr>
                      <w:rFonts w:hint="eastAsia" w:eastAsia="宋体"/>
                      <w:color w:val="000000"/>
                      <w:kern w:val="0"/>
                      <w:sz w:val="20"/>
                      <w:lang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30.71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 xml:space="preserve">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eastAsia="宋体"/>
                      <w:color w:val="000000"/>
                      <w:kern w:val="0"/>
                      <w:sz w:val="20"/>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eastAsia="宋体"/>
                      <w:color w:val="000000"/>
                      <w:kern w:val="0"/>
                      <w:sz w:val="20"/>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0.77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 xml:space="preserve">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54.74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773.39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693.03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644.67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48.36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80.36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644.67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644.67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259.16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259.16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56.44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56.44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91.72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91.72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72.99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54.74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54.74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3.73</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48.36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48.36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24.32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24.32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rPr>
            </w:pPr>
            <w:r>
              <w:rPr>
                <w:rFonts w:hint="eastAsia" w:eastAsia="宋体"/>
                <w:color w:val="000000"/>
                <w:kern w:val="0"/>
                <w:sz w:val="20"/>
                <w:lang w:val="en-US" w:eastAsia="zh-CN"/>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rPr>
            </w:pPr>
            <w:r>
              <w:rPr>
                <w:rFonts w:hint="eastAsia" w:eastAsia="宋体"/>
                <w:color w:val="000000"/>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4.90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4.90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11.64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11.64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ind w:firstLine="640" w:firstLineChars="200"/>
        <w:rPr>
          <w:rFonts w:eastAsia="楷体"/>
          <w:kern w:val="0"/>
          <w:szCs w:val="32"/>
        </w:rPr>
      </w:pPr>
    </w:p>
    <w:p>
      <w:pPr>
        <w:ind w:firstLine="640" w:firstLineChars="200"/>
        <w:rPr>
          <w:rFonts w:eastAsia="楷体"/>
          <w:kern w:val="0"/>
          <w:szCs w:val="32"/>
        </w:rPr>
      </w:pP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363"/>
        <w:gridCol w:w="1375"/>
        <w:gridCol w:w="625"/>
        <w:gridCol w:w="387"/>
        <w:gridCol w:w="441"/>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5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7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2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38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16"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5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738"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387"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16"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53" w:type="dxa"/>
            <w:vMerge w:val="continue"/>
            <w:noWrap w:val="0"/>
            <w:vAlign w:val="center"/>
          </w:tcPr>
          <w:p>
            <w:pPr>
              <w:autoSpaceDN w:val="0"/>
              <w:jc w:val="center"/>
              <w:textAlignment w:val="center"/>
              <w:rPr>
                <w:rFonts w:ascii="Calibri" w:hAnsi="Calibri" w:eastAsia="华文细黑"/>
                <w:color w:val="000000"/>
                <w:sz w:val="20"/>
                <w:szCs w:val="22"/>
              </w:rPr>
            </w:pPr>
          </w:p>
        </w:tc>
        <w:tc>
          <w:tcPr>
            <w:tcW w:w="13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3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25" w:type="dxa"/>
            <w:vMerge w:val="continue"/>
            <w:noWrap w:val="0"/>
            <w:vAlign w:val="center"/>
          </w:tcPr>
          <w:p>
            <w:pPr>
              <w:autoSpaceDN w:val="0"/>
              <w:jc w:val="center"/>
              <w:textAlignment w:val="center"/>
              <w:rPr>
                <w:rFonts w:ascii="Calibri" w:hAnsi="Calibri" w:eastAsia="华文细黑"/>
                <w:color w:val="000000"/>
                <w:sz w:val="20"/>
                <w:szCs w:val="22"/>
              </w:rPr>
            </w:pPr>
          </w:p>
        </w:tc>
        <w:tc>
          <w:tcPr>
            <w:tcW w:w="387" w:type="dxa"/>
            <w:vMerge w:val="continue"/>
            <w:noWrap w:val="0"/>
            <w:vAlign w:val="center"/>
          </w:tcPr>
          <w:p>
            <w:pPr>
              <w:autoSpaceDN w:val="0"/>
              <w:jc w:val="center"/>
              <w:textAlignment w:val="center"/>
              <w:rPr>
                <w:rFonts w:ascii="Calibri" w:hAnsi="Calibri" w:eastAsia="华文细黑"/>
                <w:color w:val="000000"/>
                <w:sz w:val="20"/>
                <w:szCs w:val="22"/>
              </w:rPr>
            </w:pPr>
          </w:p>
        </w:tc>
        <w:tc>
          <w:tcPr>
            <w:tcW w:w="44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exact"/>
          <w:jc w:val="center"/>
        </w:trPr>
        <w:tc>
          <w:tcPr>
            <w:tcW w:w="653"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专项业务支出</w:t>
            </w:r>
          </w:p>
        </w:tc>
        <w:tc>
          <w:tcPr>
            <w:tcW w:w="1363"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迎新街道办事处2024年社区办公费</w:t>
            </w:r>
          </w:p>
        </w:tc>
        <w:tc>
          <w:tcPr>
            <w:tcW w:w="625"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w:t>
            </w:r>
          </w:p>
        </w:tc>
        <w:tc>
          <w:tcPr>
            <w:tcW w:w="387"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24.00</w:t>
            </w:r>
          </w:p>
        </w:tc>
        <w:tc>
          <w:tcPr>
            <w:tcW w:w="441"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24.00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exact"/>
          <w:jc w:val="center"/>
        </w:trPr>
        <w:tc>
          <w:tcPr>
            <w:tcW w:w="65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迎新街道办事处2024年社区取暖费</w:t>
            </w:r>
          </w:p>
        </w:tc>
        <w:tc>
          <w:tcPr>
            <w:tcW w:w="62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w:t>
            </w:r>
          </w:p>
        </w:tc>
        <w:tc>
          <w:tcPr>
            <w:tcW w:w="387"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20.00</w:t>
            </w:r>
          </w:p>
        </w:tc>
        <w:tc>
          <w:tcPr>
            <w:tcW w:w="441"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20.00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exact"/>
          <w:jc w:val="center"/>
        </w:trPr>
        <w:tc>
          <w:tcPr>
            <w:tcW w:w="65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迎新街道办事处2024年社区服务群众专项经费</w:t>
            </w:r>
          </w:p>
        </w:tc>
        <w:tc>
          <w:tcPr>
            <w:tcW w:w="62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w:t>
            </w:r>
          </w:p>
        </w:tc>
        <w:tc>
          <w:tcPr>
            <w:tcW w:w="387"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15.00</w:t>
            </w:r>
          </w:p>
        </w:tc>
        <w:tc>
          <w:tcPr>
            <w:tcW w:w="441"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15.00</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exact"/>
          <w:jc w:val="center"/>
        </w:trPr>
        <w:tc>
          <w:tcPr>
            <w:tcW w:w="65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迎新街道办事处2024年社工师补助</w:t>
            </w:r>
          </w:p>
        </w:tc>
        <w:tc>
          <w:tcPr>
            <w:tcW w:w="62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w:t>
            </w:r>
          </w:p>
        </w:tc>
        <w:tc>
          <w:tcPr>
            <w:tcW w:w="387"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2.32</w:t>
            </w:r>
          </w:p>
        </w:tc>
        <w:tc>
          <w:tcPr>
            <w:tcW w:w="441"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2.32</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exact"/>
          <w:jc w:val="center"/>
        </w:trPr>
        <w:tc>
          <w:tcPr>
            <w:tcW w:w="65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专项业务支出</w:t>
            </w:r>
          </w:p>
        </w:tc>
        <w:tc>
          <w:tcPr>
            <w:tcW w:w="136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迎新街道办事处2024年部门预算</w:t>
            </w:r>
          </w:p>
        </w:tc>
        <w:tc>
          <w:tcPr>
            <w:tcW w:w="1375"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olor w:val="000000"/>
                <w:sz w:val="20"/>
                <w:szCs w:val="22"/>
                <w:lang w:val="en-US" w:eastAsia="zh-CN"/>
              </w:rPr>
              <w:t>迎新街道办事处2024年辅助岗位人员工资</w:t>
            </w:r>
          </w:p>
        </w:tc>
        <w:tc>
          <w:tcPr>
            <w:tcW w:w="625"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迎新街道办事处</w:t>
            </w:r>
          </w:p>
        </w:tc>
        <w:tc>
          <w:tcPr>
            <w:tcW w:w="387"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19.04</w:t>
            </w:r>
          </w:p>
        </w:tc>
        <w:tc>
          <w:tcPr>
            <w:tcW w:w="441" w:type="dxa"/>
            <w:noWrap w:val="0"/>
            <w:vAlign w:val="center"/>
          </w:tcPr>
          <w:p>
            <w:pPr>
              <w:autoSpaceDN w:val="0"/>
              <w:jc w:val="center"/>
              <w:textAlignment w:val="center"/>
              <w:rPr>
                <w:rFonts w:hint="eastAsia"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19.04</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exact"/>
          <w:jc w:val="center"/>
        </w:trPr>
        <w:tc>
          <w:tcPr>
            <w:tcW w:w="653"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363" w:type="dxa"/>
            <w:noWrap w:val="0"/>
            <w:vAlign w:val="center"/>
          </w:tcPr>
          <w:p>
            <w:pPr>
              <w:autoSpaceDN w:val="0"/>
              <w:jc w:val="center"/>
              <w:textAlignment w:val="center"/>
              <w:rPr>
                <w:rFonts w:ascii="Calibri" w:hAnsi="Calibri" w:eastAsia="华文细黑"/>
                <w:color w:val="000000"/>
                <w:sz w:val="20"/>
                <w:szCs w:val="22"/>
              </w:rPr>
            </w:pPr>
          </w:p>
        </w:tc>
        <w:tc>
          <w:tcPr>
            <w:tcW w:w="1375" w:type="dxa"/>
            <w:noWrap w:val="0"/>
            <w:vAlign w:val="center"/>
          </w:tcPr>
          <w:p>
            <w:pPr>
              <w:spacing w:line="700" w:lineRule="exact"/>
              <w:jc w:val="center"/>
              <w:rPr>
                <w:rFonts w:ascii="Calibri" w:hAnsi="Calibri" w:eastAsia="楷体"/>
                <w:kern w:val="0"/>
                <w:szCs w:val="32"/>
              </w:rPr>
            </w:pPr>
          </w:p>
        </w:tc>
        <w:tc>
          <w:tcPr>
            <w:tcW w:w="625" w:type="dxa"/>
            <w:noWrap w:val="0"/>
            <w:vAlign w:val="center"/>
          </w:tcPr>
          <w:p>
            <w:pPr>
              <w:spacing w:line="700" w:lineRule="exact"/>
              <w:jc w:val="center"/>
              <w:rPr>
                <w:rFonts w:ascii="Calibri" w:hAnsi="Calibri" w:eastAsia="楷体"/>
                <w:kern w:val="0"/>
                <w:szCs w:val="32"/>
              </w:rPr>
            </w:pPr>
          </w:p>
        </w:tc>
        <w:tc>
          <w:tcPr>
            <w:tcW w:w="387"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80.36</w:t>
            </w:r>
          </w:p>
        </w:tc>
        <w:tc>
          <w:tcPr>
            <w:tcW w:w="441" w:type="dxa"/>
            <w:noWrap w:val="0"/>
            <w:vAlign w:val="center"/>
          </w:tcPr>
          <w:p>
            <w:pPr>
              <w:autoSpaceDN w:val="0"/>
              <w:jc w:val="center"/>
              <w:textAlignment w:val="center"/>
              <w:rPr>
                <w:rFonts w:hint="default" w:ascii="Calibri" w:hAnsi="Calibri" w:eastAsia="华文细黑"/>
                <w:color w:val="000000"/>
                <w:sz w:val="20"/>
                <w:szCs w:val="22"/>
                <w:lang w:val="en-US" w:eastAsia="zh-CN"/>
              </w:rPr>
            </w:pPr>
            <w:r>
              <w:rPr>
                <w:rFonts w:hint="eastAsia" w:ascii="Calibri" w:hAnsi="Calibri" w:eastAsia="华文细黑"/>
                <w:color w:val="000000"/>
                <w:sz w:val="20"/>
                <w:szCs w:val="22"/>
                <w:lang w:val="en-US" w:eastAsia="zh-CN"/>
              </w:rPr>
              <w:t>80.36</w:t>
            </w: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Calibri" w:hAnsi="Calibri" w:eastAsia="华文细黑"/>
                <w:color w:val="000000"/>
                <w:sz w:val="20"/>
                <w:szCs w:val="22"/>
                <w:lang w:val="en-US" w:eastAsia="zh-CN"/>
              </w:rPr>
              <w:t>迎新街道办事处2024年部门预算</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指标1：社区数量</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指标2：富强社区供暖面积</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指标3：繁荣（文明社区）供暖面积</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指标4：街道办公楼数量</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指标5：社区数量</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指标6：社工师补助人数</w:t>
            </w:r>
          </w:p>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指标7：辅助岗人数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指标1：=4个</w:t>
            </w:r>
          </w:p>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指标2：≥1096.036平米</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指标3：≥1252.35平米</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指标4：=1栋</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指标5：=3个</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指标6：=8人</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指标7：=5人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指标1：对经费开展情况验收合格率</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指标2：供暖合格率</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指标3：经费使用情况验收合格率</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指标4：社工师发放补助准确性</w:t>
            </w:r>
          </w:p>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指标5：发放工资准确性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指标1：≥95%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指标2：≥90%</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指标3：≥90%</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w:t>
            </w: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100%</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指标5：</w:t>
            </w:r>
            <w:r>
              <w:rPr>
                <w:rFonts w:ascii="Arial" w:hAnsi="Arial" w:eastAsia="Arial" w:cs="Arial"/>
                <w:i w:val="0"/>
                <w:iCs w:val="0"/>
                <w:caps w:val="0"/>
                <w:color w:val="333333"/>
                <w:spacing w:val="0"/>
                <w:sz w:val="21"/>
                <w:szCs w:val="21"/>
                <w:shd w:val="clear" w:fill="FFFFFF"/>
              </w:rPr>
              <w:t>≥</w:t>
            </w:r>
            <w:r>
              <w:rPr>
                <w:rFonts w:hint="eastAsia" w:ascii="Arial" w:hAnsi="Arial" w:eastAsia="宋体" w:cs="Arial"/>
                <w:i w:val="0"/>
                <w:iCs w:val="0"/>
                <w:caps w:val="0"/>
                <w:color w:val="333333"/>
                <w:spacing w:val="0"/>
                <w:sz w:val="21"/>
                <w:szCs w:val="21"/>
                <w:shd w:val="clear" w:fill="FFFFFF"/>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指标1：每个社区办公费</w:t>
            </w:r>
          </w:p>
          <w:p>
            <w:pPr>
              <w:autoSpaceDN w:val="0"/>
              <w:jc w:val="both"/>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指标2：取暖费单价</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指标3：电取暖费用</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指标4：各社区服务群众专项经费</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指标5：社工师补助每月成本</w:t>
            </w:r>
          </w:p>
          <w:p>
            <w:pPr>
              <w:autoSpaceDN w:val="0"/>
              <w:jc w:val="both"/>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指标6：辅助岗每月工资</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指标7：每月缴纳五险一金金额</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指标1：≤60000元</w:t>
            </w:r>
          </w:p>
          <w:p>
            <w:pPr>
              <w:autoSpaceDN w:val="0"/>
              <w:jc w:val="both"/>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指标2：≤26.5元/平米</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指标3：≤30000元/年/栋</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指标4：≤50000元</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指标5：≤200元/人/月</w:t>
            </w:r>
          </w:p>
          <w:p>
            <w:pPr>
              <w:autoSpaceDN w:val="0"/>
              <w:jc w:val="both"/>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指标6：≤2000元</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指标7：≤1173元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指标1：办公经费使用的及时性</w:t>
            </w:r>
          </w:p>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指标2：供暖及时性</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指标3：服务群众及时性</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指标4：社工师补助发放及时性</w:t>
            </w:r>
          </w:p>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指标5：发放及时性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指标1：≥98%</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指标4：≥98%</w:t>
            </w:r>
          </w:p>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指标5：≥98%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指标1：保证日常工作顺利开展</w:t>
            </w:r>
          </w:p>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指标2：保证日常工作顺利开展</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指标3：保证服务群众工作正常开展</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指标4：领取人员生活保障程度</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指标5：领取人员生活保障程度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指标1：≥98%</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指标4：≥95%</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指标5：≥90%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指标1：工作人员满意程度</w:t>
            </w:r>
          </w:p>
          <w:p>
            <w:pPr>
              <w:autoSpaceDN w:val="0"/>
              <w:jc w:val="left"/>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指标2：工作人员满意程度</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指标3：群众满意程度</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指标4：职工满意程度</w:t>
            </w:r>
          </w:p>
          <w:p>
            <w:pPr>
              <w:autoSpaceDN w:val="0"/>
              <w:jc w:val="left"/>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指标5：辅助岗满意度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指标1：≥98%</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指标2：≥95%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指标3：≥95%</w:t>
            </w:r>
          </w:p>
          <w:p>
            <w:pPr>
              <w:autoSpaceDN w:val="0"/>
              <w:jc w:val="left"/>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指标4：≥98%</w:t>
            </w:r>
          </w:p>
          <w:p>
            <w:pPr>
              <w:autoSpaceDN w:val="0"/>
              <w:jc w:val="both"/>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指标5：≥95%</w:t>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 xml:space="preserve"> 102.13 </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办事处</w:t>
      </w:r>
      <w:r>
        <w:rPr>
          <w:rFonts w:hint="eastAsia"/>
          <w:szCs w:val="32"/>
          <w:u w:val="single"/>
          <w:lang w:val="en-US" w:eastAsia="zh-CN"/>
        </w:rPr>
        <w:t>项目资金增</w:t>
      </w:r>
      <w:r>
        <w:rPr>
          <w:rFonts w:hint="eastAsia"/>
          <w:color w:val="000000"/>
          <w:szCs w:val="32"/>
          <w:u w:val="single"/>
          <w:lang w:val="en-US" w:eastAsia="zh-CN"/>
        </w:rPr>
        <w:t>加</w:t>
      </w:r>
      <w:r>
        <w:rPr>
          <w:rFonts w:hint="eastAsia" w:ascii="仿宋_GB2312" w:hAnsi="仿宋_GB2312" w:cs="仿宋_GB2312"/>
          <w:szCs w:val="32"/>
          <w:u w:val="single"/>
          <w:lang w:val="en-US" w:eastAsia="zh-CN"/>
        </w:rPr>
        <w:t>；综合服务中心新进9名基层专干，增加经费</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eastAsia="楷体"/>
          <w:szCs w:val="30"/>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100 </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left="320" w:leftChars="100" w:firstLine="320" w:firstLineChars="1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 693.03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89.61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80.36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10.39 </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 xml:space="preserve"> 773.39 </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594.91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93.03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u w:val="single"/>
          <w:lang w:val="en-US" w:eastAsia="zh-CN"/>
        </w:rPr>
        <w:t xml:space="preserve"> </w:t>
      </w:r>
      <w:r>
        <w:rPr>
          <w:rFonts w:hint="eastAsia" w:ascii="仿宋_GB2312" w:hAnsi="仿宋_GB2312" w:cs="仿宋_GB2312"/>
          <w:szCs w:val="32"/>
          <w:u w:val="single"/>
          <w:lang w:val="en-US" w:eastAsia="zh-CN"/>
        </w:rPr>
        <w:t xml:space="preserve">30.71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 xml:space="preserve"> </w:t>
      </w:r>
      <w:r>
        <w:rPr>
          <w:rFonts w:hint="eastAsia" w:ascii="仿宋_GB2312" w:hAnsi="仿宋_GB2312" w:cs="仿宋_GB2312"/>
          <w:szCs w:val="32"/>
          <w:u w:val="single"/>
          <w:lang w:val="en-US" w:eastAsia="zh-CN"/>
        </w:rPr>
        <w:t xml:space="preserve">54.74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773.39</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 xml:space="preserve">693.03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89.61</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 xml:space="preserve"> 80.36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10.39 </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644.67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93.02 </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 xml:space="preserve"> 48.36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6.98 </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 xml:space="preserve"> 594.91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76.92 </w:t>
      </w:r>
      <w:r>
        <w:rPr>
          <w:rFonts w:hint="eastAsia" w:ascii="仿宋_GB2312" w:hAnsi="仿宋_GB2312" w:eastAsia="仿宋_GB2312" w:cs="仿宋_GB2312"/>
          <w:szCs w:val="32"/>
        </w:rPr>
        <w:t>%，主要用于</w:t>
      </w:r>
      <w:r>
        <w:rPr>
          <w:rFonts w:hint="eastAsia"/>
          <w:szCs w:val="32"/>
          <w:u w:val="single"/>
          <w:lang w:val="en-US" w:eastAsia="zh-CN"/>
        </w:rPr>
        <w:t>人员经费以及办公经费等</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 xml:space="preserve"> 93.03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12.03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单位职工基本养老保险支出和职业年金支出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30.71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 </w:t>
      </w:r>
      <w:r>
        <w:rPr>
          <w:rFonts w:hint="eastAsia" w:ascii="仿宋_GB2312" w:hAnsi="仿宋_GB2312" w:cs="仿宋_GB2312"/>
          <w:szCs w:val="32"/>
          <w:u w:val="single"/>
          <w:lang w:val="en-US" w:eastAsia="zh-CN"/>
        </w:rPr>
        <w:t xml:space="preserve">3.97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单位职工基本医疗保险支出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 xml:space="preserve"> 54.74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 7.08 </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单位职工</w:t>
      </w:r>
      <w:r>
        <w:rPr>
          <w:rFonts w:hint="eastAsia" w:ascii="仿宋_GB2312" w:hAnsi="仿宋_GB2312" w:cs="仿宋_GB2312"/>
          <w:szCs w:val="32"/>
          <w:u w:val="single"/>
          <w:lang w:val="en-US" w:eastAsia="zh-CN"/>
        </w:rPr>
        <w:t>住房公积金</w:t>
      </w:r>
      <w:r>
        <w:rPr>
          <w:rFonts w:hint="eastAsia" w:ascii="仿宋_GB2312" w:hAnsi="仿宋_GB2312" w:cs="仿宋_GB2312"/>
          <w:szCs w:val="32"/>
          <w:u w:val="single"/>
          <w:lang w:eastAsia="zh-CN"/>
        </w:rPr>
        <w:t>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693.03</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644.67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48.36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w:t>
      </w:r>
      <w:r>
        <w:rPr>
          <w:rFonts w:hint="eastAsia" w:ascii="仿宋_GB2312" w:hAnsi="仿宋_GB2312" w:cs="仿宋_GB2312"/>
          <w:szCs w:val="32"/>
          <w:lang w:eastAsia="zh-CN"/>
        </w:rPr>
        <w:t>通榆县迎新街道办事处</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eastAsia="zh-CN"/>
        </w:rPr>
        <w:t>通榆县迎新街道综合服务中心</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u w:val="single"/>
          <w:lang w:val="en-US" w:eastAsia="zh-CN"/>
        </w:rPr>
        <w:t>773.39</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102.13</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15.21</w:t>
      </w:r>
      <w:r>
        <w:rPr>
          <w:rFonts w:hint="eastAsia" w:ascii="仿宋_GB2312" w:hAnsi="仿宋_GB2312" w:eastAsia="仿宋_GB2312" w:cs="仿宋_GB2312"/>
          <w:szCs w:val="32"/>
          <w:u w:val="single"/>
        </w:rPr>
        <w:t>_</w:t>
      </w:r>
      <w:r>
        <w:rPr>
          <w:rFonts w:hint="eastAsia" w:ascii="仿宋_GB2312" w:hAnsi="仿宋_GB2312" w:eastAsia="仿宋_GB2312" w:cs="仿宋_GB2312"/>
          <w:szCs w:val="32"/>
        </w:rPr>
        <w:t>%，主要原因是</w:t>
      </w:r>
      <w:r>
        <w:rPr>
          <w:rFonts w:hint="eastAsia" w:ascii="仿宋_GB2312" w:hAnsi="仿宋_GB2312" w:cs="仿宋_GB2312"/>
          <w:szCs w:val="32"/>
          <w:u w:val="single"/>
          <w:lang w:val="en-US" w:eastAsia="zh-CN"/>
        </w:rPr>
        <w:t>办事处</w:t>
      </w:r>
      <w:r>
        <w:rPr>
          <w:rFonts w:hint="eastAsia"/>
          <w:szCs w:val="32"/>
          <w:u w:val="single"/>
          <w:lang w:val="en-US" w:eastAsia="zh-CN"/>
        </w:rPr>
        <w:t>项目资金增</w:t>
      </w:r>
      <w:r>
        <w:rPr>
          <w:rFonts w:hint="eastAsia"/>
          <w:color w:val="000000"/>
          <w:szCs w:val="32"/>
          <w:u w:val="single"/>
          <w:lang w:val="en-US" w:eastAsia="zh-CN"/>
        </w:rPr>
        <w:t>加</w:t>
      </w:r>
      <w:r>
        <w:rPr>
          <w:rFonts w:hint="eastAsia" w:ascii="仿宋_GB2312" w:hAnsi="仿宋_GB2312" w:cs="仿宋_GB2312"/>
          <w:szCs w:val="32"/>
          <w:u w:val="single"/>
          <w:lang w:val="en-US" w:eastAsia="zh-CN"/>
        </w:rPr>
        <w:t>；综合服务中心新进9名基层专干，增加经费</w:t>
      </w:r>
      <w:r>
        <w:rPr>
          <w:rFonts w:hint="eastAsia" w:ascii="仿宋_GB2312" w:hAnsi="仿宋_GB2312" w:eastAsia="仿宋_GB2312" w:cs="仿宋_GB2312"/>
          <w:szCs w:val="32"/>
        </w:rPr>
        <w:t>。</w:t>
      </w:r>
    </w:p>
    <w:p>
      <w:pPr>
        <w:numPr>
          <w:ilvl w:val="0"/>
          <w:numId w:val="1"/>
        </w:num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80.36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5</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80.36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1</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80.36</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BB9D0"/>
    <w:multiLevelType w:val="singleLevel"/>
    <w:tmpl w:val="0E8BB9D0"/>
    <w:lvl w:ilvl="0" w:tentative="0">
      <w:start w:val="2"/>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DC2DD6"/>
    <w:rsid w:val="031D7D4B"/>
    <w:rsid w:val="03DD7F34"/>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69E79F7"/>
    <w:rsid w:val="1726334C"/>
    <w:rsid w:val="17765BCA"/>
    <w:rsid w:val="17A027D8"/>
    <w:rsid w:val="1A085187"/>
    <w:rsid w:val="1A817DF8"/>
    <w:rsid w:val="1ADC594E"/>
    <w:rsid w:val="1AEB5252"/>
    <w:rsid w:val="1C852172"/>
    <w:rsid w:val="1CA40C0C"/>
    <w:rsid w:val="1CFF4A32"/>
    <w:rsid w:val="1D833200"/>
    <w:rsid w:val="1E2D59A2"/>
    <w:rsid w:val="1E3A3FD0"/>
    <w:rsid w:val="1EB55C07"/>
    <w:rsid w:val="1F351A10"/>
    <w:rsid w:val="1FED47E9"/>
    <w:rsid w:val="206816AC"/>
    <w:rsid w:val="20D504B9"/>
    <w:rsid w:val="21E24C19"/>
    <w:rsid w:val="22A4003E"/>
    <w:rsid w:val="23984063"/>
    <w:rsid w:val="23CE11F0"/>
    <w:rsid w:val="23EC61F6"/>
    <w:rsid w:val="244C543C"/>
    <w:rsid w:val="24624768"/>
    <w:rsid w:val="24A316AE"/>
    <w:rsid w:val="2539376C"/>
    <w:rsid w:val="254C6FAD"/>
    <w:rsid w:val="259B5BC5"/>
    <w:rsid w:val="25C7462E"/>
    <w:rsid w:val="25F62C4E"/>
    <w:rsid w:val="261F21D6"/>
    <w:rsid w:val="265718D7"/>
    <w:rsid w:val="26643D6C"/>
    <w:rsid w:val="26FE109D"/>
    <w:rsid w:val="27073E1E"/>
    <w:rsid w:val="27B04AB3"/>
    <w:rsid w:val="27FF5E1C"/>
    <w:rsid w:val="28706D19"/>
    <w:rsid w:val="28A63332"/>
    <w:rsid w:val="29C45F24"/>
    <w:rsid w:val="2D4A18E7"/>
    <w:rsid w:val="2DB17BB8"/>
    <w:rsid w:val="2DF8796C"/>
    <w:rsid w:val="2EB22F18"/>
    <w:rsid w:val="2EE12108"/>
    <w:rsid w:val="2EED35E3"/>
    <w:rsid w:val="2F250383"/>
    <w:rsid w:val="2F63610B"/>
    <w:rsid w:val="300965A3"/>
    <w:rsid w:val="30730D6E"/>
    <w:rsid w:val="30823A8E"/>
    <w:rsid w:val="30AE6631"/>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3D0CDD"/>
    <w:rsid w:val="3B7C071F"/>
    <w:rsid w:val="3BC92948"/>
    <w:rsid w:val="3BE370D4"/>
    <w:rsid w:val="3C29381E"/>
    <w:rsid w:val="3C711E1D"/>
    <w:rsid w:val="3C7F463D"/>
    <w:rsid w:val="3CAE3960"/>
    <w:rsid w:val="3D365BF6"/>
    <w:rsid w:val="3DA70690"/>
    <w:rsid w:val="3DF23324"/>
    <w:rsid w:val="3E693B97"/>
    <w:rsid w:val="3EA14040"/>
    <w:rsid w:val="3EE8108D"/>
    <w:rsid w:val="405745EF"/>
    <w:rsid w:val="40786313"/>
    <w:rsid w:val="40B80EFF"/>
    <w:rsid w:val="41A35364"/>
    <w:rsid w:val="41C31686"/>
    <w:rsid w:val="422624CB"/>
    <w:rsid w:val="42982B4E"/>
    <w:rsid w:val="436B1E42"/>
    <w:rsid w:val="43993170"/>
    <w:rsid w:val="44054362"/>
    <w:rsid w:val="449C5E6A"/>
    <w:rsid w:val="456D114B"/>
    <w:rsid w:val="45EB670F"/>
    <w:rsid w:val="46AB7C0D"/>
    <w:rsid w:val="46D44808"/>
    <w:rsid w:val="479B7487"/>
    <w:rsid w:val="47CF49E6"/>
    <w:rsid w:val="4843587B"/>
    <w:rsid w:val="48674ED2"/>
    <w:rsid w:val="486E3357"/>
    <w:rsid w:val="487708E6"/>
    <w:rsid w:val="49645F71"/>
    <w:rsid w:val="499F5C68"/>
    <w:rsid w:val="4AF16062"/>
    <w:rsid w:val="4B646DDD"/>
    <w:rsid w:val="4B7F44F8"/>
    <w:rsid w:val="4B9D30D2"/>
    <w:rsid w:val="4BAC24C5"/>
    <w:rsid w:val="4BFA0656"/>
    <w:rsid w:val="4C5567C9"/>
    <w:rsid w:val="4D730507"/>
    <w:rsid w:val="4D741DD3"/>
    <w:rsid w:val="4DC93207"/>
    <w:rsid w:val="4E2A22FD"/>
    <w:rsid w:val="4E8D5761"/>
    <w:rsid w:val="4EF54A85"/>
    <w:rsid w:val="4F6F75D9"/>
    <w:rsid w:val="501B3C66"/>
    <w:rsid w:val="502F3E5C"/>
    <w:rsid w:val="504B40C5"/>
    <w:rsid w:val="508D7BB9"/>
    <w:rsid w:val="50987DC2"/>
    <w:rsid w:val="50A4703E"/>
    <w:rsid w:val="5136104F"/>
    <w:rsid w:val="51B318A1"/>
    <w:rsid w:val="51E55C99"/>
    <w:rsid w:val="52071113"/>
    <w:rsid w:val="522462FB"/>
    <w:rsid w:val="52447C09"/>
    <w:rsid w:val="525A440D"/>
    <w:rsid w:val="52C1334E"/>
    <w:rsid w:val="544607AB"/>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AFA5E4B"/>
    <w:rsid w:val="5B052E7A"/>
    <w:rsid w:val="5B0D21D1"/>
    <w:rsid w:val="5B3D7F7E"/>
    <w:rsid w:val="5B7C7777"/>
    <w:rsid w:val="5B9462A0"/>
    <w:rsid w:val="5BEC6771"/>
    <w:rsid w:val="5CA506B9"/>
    <w:rsid w:val="5CFD5FB2"/>
    <w:rsid w:val="5D2B52D8"/>
    <w:rsid w:val="5D5A7C63"/>
    <w:rsid w:val="5E256F6F"/>
    <w:rsid w:val="5F6235A9"/>
    <w:rsid w:val="60DB227B"/>
    <w:rsid w:val="614125C2"/>
    <w:rsid w:val="624C5C52"/>
    <w:rsid w:val="62764951"/>
    <w:rsid w:val="63952BB5"/>
    <w:rsid w:val="63DF08E4"/>
    <w:rsid w:val="64127E15"/>
    <w:rsid w:val="64C04AFD"/>
    <w:rsid w:val="65222B6E"/>
    <w:rsid w:val="661A7B69"/>
    <w:rsid w:val="664909C1"/>
    <w:rsid w:val="66C63EB5"/>
    <w:rsid w:val="677772D0"/>
    <w:rsid w:val="679461D3"/>
    <w:rsid w:val="6858287E"/>
    <w:rsid w:val="69157114"/>
    <w:rsid w:val="691A443E"/>
    <w:rsid w:val="6A80735F"/>
    <w:rsid w:val="6ACC5E47"/>
    <w:rsid w:val="6AD43ED1"/>
    <w:rsid w:val="6B11024D"/>
    <w:rsid w:val="6B7D5B36"/>
    <w:rsid w:val="6C007039"/>
    <w:rsid w:val="6CF120A8"/>
    <w:rsid w:val="6F6433BE"/>
    <w:rsid w:val="712D6B22"/>
    <w:rsid w:val="714213DD"/>
    <w:rsid w:val="717F272E"/>
    <w:rsid w:val="728027C6"/>
    <w:rsid w:val="72AB41A3"/>
    <w:rsid w:val="72D54D7C"/>
    <w:rsid w:val="733A300B"/>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36</Pages>
  <Words>9538</Words>
  <Characters>11521</Characters>
  <Lines>71</Lines>
  <Paragraphs>20</Paragraphs>
  <TotalTime>240</TotalTime>
  <ScaleCrop>false</ScaleCrop>
  <LinksUpToDate>false</LinksUpToDate>
  <CharactersWithSpaces>12309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2024-02-06T01:20:55Z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34C1C609F40D47E198AF38ACA5AE698D_13</vt:lpwstr>
  </property>
</Properties>
</file>