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u w:val="single"/>
        </w:rPr>
      </w:pPr>
      <w:r>
        <w:rPr>
          <w:rFonts w:hint="eastAsia" w:eastAsia="方正小标宋简体"/>
          <w:sz w:val="44"/>
          <w:szCs w:val="44"/>
          <w:u w:val="single"/>
          <w:lang w:eastAsia="zh-CN"/>
        </w:rPr>
        <w:t>通榆县新发乡人民政府</w:t>
      </w:r>
      <w:r>
        <w:rPr>
          <w:rFonts w:eastAsia="方正小标宋简体"/>
          <w:sz w:val="44"/>
          <w:szCs w:val="44"/>
          <w:u w:val="single"/>
        </w:rPr>
        <w:t>（</w:t>
      </w:r>
      <w:r>
        <w:rPr>
          <w:rFonts w:hint="eastAsia" w:eastAsia="方正小标宋简体"/>
          <w:sz w:val="44"/>
          <w:szCs w:val="44"/>
          <w:u w:val="single"/>
          <w:lang w:eastAsia="zh-CN"/>
        </w:rPr>
        <w:t>汇总</w:t>
      </w:r>
      <w:r>
        <w:rPr>
          <w:rFonts w:eastAsia="方正小标宋简体"/>
          <w:sz w:val="44"/>
          <w:szCs w:val="44"/>
          <w:u w:val="single"/>
        </w:rPr>
        <w:t>）</w:t>
      </w:r>
    </w:p>
    <w:p>
      <w:pPr>
        <w:jc w:val="center"/>
        <w:rPr>
          <w:rFonts w:eastAsia="方正小标宋简体"/>
          <w:sz w:val="44"/>
          <w:szCs w:val="44"/>
        </w:rPr>
      </w:pP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b w:val="0"/>
          <w:bCs/>
          <w:color w:val="auto"/>
          <w:sz w:val="32"/>
          <w:szCs w:val="32"/>
          <w:lang w:eastAsia="zh-CN"/>
        </w:rPr>
      </w:pPr>
      <w:r>
        <w:rPr>
          <w:rFonts w:hint="eastAsia"/>
          <w:b w:val="0"/>
          <w:bCs/>
          <w:color w:val="auto"/>
          <w:sz w:val="32"/>
          <w:szCs w:val="32"/>
          <w:lang w:eastAsia="zh-CN"/>
        </w:rPr>
        <w:t>(一)加强党的建设。落实基层党建工作责任制，坚持和完善党的全面领导，加强党的组织体系建设，增强党的政治领导力、思想引领力、群众组织力、社会号召力。统筹抓好辖区内新领域新业态新群体党建工作，强化党的政治建设、思想建设、组织建设、作风建设、纪律建设，把制度建设贯穿其中。深入推进反腐败斗争，加强基层意识形态工作。</w:t>
      </w:r>
    </w:p>
    <w:p>
      <w:pPr>
        <w:ind w:firstLine="640" w:firstLineChars="200"/>
        <w:rPr>
          <w:rFonts w:hint="eastAsia"/>
          <w:b w:val="0"/>
          <w:bCs/>
          <w:color w:val="auto"/>
          <w:sz w:val="32"/>
          <w:szCs w:val="32"/>
          <w:lang w:eastAsia="zh-CN"/>
        </w:rPr>
      </w:pPr>
      <w:r>
        <w:rPr>
          <w:rFonts w:hint="eastAsia"/>
          <w:b w:val="0"/>
          <w:bCs/>
          <w:color w:val="auto"/>
          <w:sz w:val="32"/>
          <w:szCs w:val="32"/>
          <w:lang w:eastAsia="zh-CN"/>
        </w:rPr>
        <w:t>(二)统筹区域发展。统筹落实辖区发展的重大决策和辖区建设规划，参与辖区公共服务设施建设规划，推动辖区健康、有序、可持续发展。合理确定经济发展职能，把经济工作重心转移到推进产业升级、促进经济结构调整和经济增长方式转变上来。统筹做好企业服务工作，营造良好营商环境。实施乡村振兴战略各项政策，规范“三资”管理工作。</w:t>
      </w:r>
    </w:p>
    <w:p>
      <w:pPr>
        <w:ind w:firstLine="640" w:firstLineChars="200"/>
        <w:rPr>
          <w:rFonts w:hint="eastAsia"/>
          <w:b w:val="0"/>
          <w:bCs/>
          <w:color w:val="auto"/>
          <w:sz w:val="32"/>
          <w:szCs w:val="32"/>
          <w:lang w:eastAsia="zh-CN"/>
        </w:rPr>
      </w:pPr>
      <w:r>
        <w:rPr>
          <w:rFonts w:hint="eastAsia"/>
          <w:b w:val="0"/>
          <w:bCs/>
          <w:color w:val="auto"/>
          <w:sz w:val="32"/>
          <w:szCs w:val="32"/>
          <w:lang w:eastAsia="zh-CN"/>
        </w:rPr>
        <w:t>(三)组织公共服务。推进政府职能由“管理型”向“服务型”转变，积极推进基本公共服务均等化。推动优质公共服务资源向村延伸。创新公共服务供给方式，加快建立政府主导、社会参与、公办民办并举的公共服务供给模式，加大政府购买服务力度。组织实施与群众生活密切相关的各项公共服务，落实人力社保、民政、教育、文化、体育、卫生健康等各领域相关政策。</w:t>
      </w:r>
    </w:p>
    <w:p>
      <w:pPr>
        <w:ind w:firstLine="640" w:firstLineChars="200"/>
        <w:rPr>
          <w:rFonts w:hint="eastAsia"/>
          <w:b w:val="0"/>
          <w:bCs/>
          <w:color w:val="auto"/>
          <w:sz w:val="32"/>
          <w:szCs w:val="32"/>
          <w:lang w:eastAsia="zh-CN"/>
        </w:rPr>
      </w:pPr>
      <w:r>
        <w:rPr>
          <w:rFonts w:hint="eastAsia"/>
          <w:b w:val="0"/>
          <w:bCs/>
          <w:color w:val="auto"/>
          <w:sz w:val="32"/>
          <w:szCs w:val="32"/>
          <w:lang w:eastAsia="zh-CN"/>
        </w:rPr>
        <w:t>(四)实施综合管理。负责对辖区内城镇管理、人口管理、社会管理等综合性工作，承担组织领导、推进实施、综合协调和监督检查职能。统筹协调部门派驻机构的日常管理。突出基层治理职责，着力解决城镇化发展进程中的各种问题。加强和完善经济发展、综合执法、应急管理、自然资源管理、市场监管、生态环境保护等方面职能。负责对辖区内物业管理的监督指导，对辖区内住宅小区开展综合管理。</w:t>
      </w:r>
    </w:p>
    <w:p>
      <w:pPr>
        <w:ind w:firstLine="640" w:firstLineChars="200"/>
        <w:rPr>
          <w:rFonts w:hint="eastAsia"/>
          <w:b w:val="0"/>
          <w:bCs/>
          <w:color w:val="auto"/>
          <w:sz w:val="32"/>
          <w:szCs w:val="32"/>
          <w:lang w:eastAsia="zh-CN"/>
        </w:rPr>
      </w:pPr>
      <w:r>
        <w:rPr>
          <w:rFonts w:hint="eastAsia"/>
          <w:b w:val="0"/>
          <w:bCs/>
          <w:color w:val="auto"/>
          <w:sz w:val="32"/>
          <w:szCs w:val="32"/>
          <w:lang w:eastAsia="zh-CN"/>
        </w:rPr>
        <w:t>(五)动员社会参与。坚持以基层党建引领基层治理，动员指导辖区内各类单位、社会组织和村等社会力量参与社会治理，引导辖区单位履行社会责任，整合辖区内各种社会力量为乡、村发展服务。做实做强由党建引领的基层共治基本单元，构建党组织统一领导、各类组织积极协同、广大群众广泛参与的基层治理体系。</w:t>
      </w:r>
    </w:p>
    <w:p>
      <w:pPr>
        <w:ind w:firstLine="640" w:firstLineChars="200"/>
        <w:rPr>
          <w:rFonts w:hint="eastAsia"/>
          <w:b w:val="0"/>
          <w:bCs/>
          <w:color w:val="auto"/>
          <w:sz w:val="32"/>
          <w:szCs w:val="32"/>
          <w:lang w:eastAsia="zh-CN"/>
        </w:rPr>
      </w:pPr>
      <w:r>
        <w:rPr>
          <w:rFonts w:hint="eastAsia"/>
          <w:b w:val="0"/>
          <w:bCs/>
          <w:color w:val="auto"/>
          <w:sz w:val="32"/>
          <w:szCs w:val="32"/>
          <w:lang w:eastAsia="zh-CN"/>
        </w:rPr>
        <w:t>(六)领导基层自治。发挥村党组织在基层群众自治组织建设中的领导核心作用，完善党领导下的基层社会治理体系，推进社会主义基层协商民主建设，做好组织群众、宣传群众、凝聚群众、服务群众工作，发挥村(居)民在基层社会治理中的主体作用，提高基层自治整体水平。</w:t>
      </w:r>
    </w:p>
    <w:p>
      <w:pPr>
        <w:ind w:firstLine="640" w:firstLineChars="200"/>
        <w:rPr>
          <w:rFonts w:hint="eastAsia"/>
          <w:b w:val="0"/>
          <w:bCs/>
          <w:color w:val="auto"/>
          <w:sz w:val="32"/>
          <w:szCs w:val="32"/>
          <w:lang w:eastAsia="zh-CN"/>
        </w:rPr>
      </w:pPr>
      <w:r>
        <w:rPr>
          <w:rFonts w:hint="eastAsia"/>
          <w:b w:val="0"/>
          <w:bCs/>
          <w:color w:val="auto"/>
          <w:sz w:val="32"/>
          <w:szCs w:val="32"/>
          <w:lang w:eastAsia="zh-CN"/>
        </w:rPr>
        <w:t>(七)维护安全稳定。落实安全稳定工作部署。负责辖区平安建设、综合治理、安全生产管理等有关工作，处理群众来信来访，有效化解各类矛盾纠纷等。坚持重心下移、力量下沉、保障下倾，实现辖区安全监管执法和综合治理网格化、一体化，提高公共安全体系精细化水平。</w:t>
      </w:r>
    </w:p>
    <w:p>
      <w:pPr>
        <w:ind w:firstLine="640" w:firstLineChars="200"/>
        <w:rPr>
          <w:rFonts w:hint="eastAsia"/>
          <w:b w:val="0"/>
          <w:bCs/>
          <w:color w:val="auto"/>
          <w:sz w:val="32"/>
          <w:szCs w:val="32"/>
          <w:lang w:eastAsia="zh-CN"/>
        </w:rPr>
      </w:pPr>
      <w:r>
        <w:rPr>
          <w:rFonts w:hint="eastAsia"/>
          <w:b w:val="0"/>
          <w:bCs/>
          <w:color w:val="auto"/>
          <w:sz w:val="32"/>
          <w:szCs w:val="32"/>
          <w:lang w:eastAsia="zh-CN"/>
        </w:rPr>
        <w:t>(八)深化“放管服”改革和“最多跑一次”改革。依托乡便民服务平台，推进审批服务事项向便民服务中心集中，保障便民服务中心的审批服务事项到位、权限到位。推进乡便民服务平台标准化建设，加快实现政务服务马上办、网上办、就近办、一次办，提升政务服务质量.</w:t>
      </w:r>
    </w:p>
    <w:p>
      <w:pPr>
        <w:ind w:firstLine="640" w:firstLineChars="200"/>
        <w:rPr>
          <w:rFonts w:hint="eastAsia"/>
          <w:b w:val="0"/>
          <w:bCs/>
          <w:color w:val="auto"/>
          <w:sz w:val="32"/>
          <w:szCs w:val="32"/>
          <w:lang w:eastAsia="zh-CN"/>
        </w:rPr>
      </w:pPr>
      <w:r>
        <w:rPr>
          <w:rFonts w:hint="eastAsia"/>
          <w:b w:val="0"/>
          <w:bCs/>
          <w:color w:val="auto"/>
          <w:sz w:val="32"/>
          <w:szCs w:val="32"/>
          <w:lang w:eastAsia="zh-CN"/>
        </w:rPr>
        <w:t>(九)完成法律、法规、规章规定的其他事项和县委、县政府交办的其他任务。</w:t>
      </w:r>
    </w:p>
    <w:p>
      <w:pPr>
        <w:ind w:firstLine="640" w:firstLineChars="200"/>
        <w:rPr>
          <w:rFonts w:eastAsia="楷体_GB2312"/>
        </w:rPr>
      </w:pPr>
    </w:p>
    <w:p>
      <w:pPr>
        <w:ind w:firstLine="640" w:firstLineChars="200"/>
        <w:rPr>
          <w:rFonts w:hint="eastAsia" w:eastAsia="仿宋_GB2312"/>
          <w:color w:val="auto"/>
        </w:rPr>
      </w:pPr>
      <w:r>
        <w:rPr>
          <w:rFonts w:eastAsia="楷体_GB2312"/>
        </w:rPr>
        <w:t>二、机构设置</w:t>
      </w:r>
      <w:r>
        <w:rPr>
          <w:rFonts w:hint="eastAsia" w:eastAsia="仿宋_GB2312"/>
          <w:color w:val="auto"/>
        </w:rPr>
        <w:t>新发乡党委、政府设下列综合性办事机构:</w:t>
      </w:r>
    </w:p>
    <w:p>
      <w:pPr>
        <w:ind w:firstLine="640" w:firstLineChars="200"/>
        <w:rPr>
          <w:rFonts w:hint="eastAsia" w:eastAsia="仿宋_GB2312"/>
          <w:color w:val="auto"/>
        </w:rPr>
      </w:pPr>
      <w:r>
        <w:rPr>
          <w:rFonts w:hint="eastAsia" w:eastAsia="仿宋_GB2312"/>
          <w:color w:val="auto"/>
        </w:rPr>
        <w:t>(一)综合办公室。负责机关日常运转工作，承担机关会务、文书、信息、保密、档案、机构编制、人事、资产管理、后勤保障等工作。负责重大事项和工作部署的落实、督办、检查工作。负责牵头推进“放管服”改革和“最多跑一次”改革，统筹协调下放审批服务事项的承接工作。承办乡党委、政府交办的其他事项。</w:t>
      </w:r>
    </w:p>
    <w:p>
      <w:pPr>
        <w:ind w:firstLine="640" w:firstLineChars="200"/>
        <w:rPr>
          <w:rFonts w:hint="eastAsia" w:eastAsia="仿宋_GB2312"/>
          <w:color w:val="auto"/>
        </w:rPr>
      </w:pPr>
      <w:r>
        <w:rPr>
          <w:rFonts w:hint="eastAsia" w:eastAsia="仿宋_GB2312"/>
          <w:color w:val="auto"/>
        </w:rPr>
        <w:t>(二)党建工作办公室。负责党的政治建设、组织建设和宣传、意识形态、统战工作，统筹推进区域化党建、“两新”组织党建、村级党建工作。承担机关党务、党风廉政建设和反腐败等工作，统筹推进辖区人才工作。负责指导工会、共青团、妇联等群团工作。承办乡党委、政府交办的其他事项。</w:t>
      </w:r>
    </w:p>
    <w:p>
      <w:pPr>
        <w:ind w:firstLine="640" w:firstLineChars="200"/>
        <w:rPr>
          <w:rFonts w:hint="eastAsia" w:eastAsia="仿宋_GB2312"/>
          <w:color w:val="auto"/>
        </w:rPr>
      </w:pPr>
      <w:r>
        <w:rPr>
          <w:rFonts w:hint="eastAsia" w:eastAsia="仿宋_GB2312"/>
          <w:color w:val="auto"/>
        </w:rPr>
        <w:t>(三)平安建设办公室(应急管理办公室)。负责平安建设、综合治理、维护稳定、“多网合一”等工作。协调开展邪教防范、法治宣传、社区戒毒、社区矫正、刑满释放人员安置帮教工作。指导督促辖区单位和村(居)民落实消防等工作。受理人民群众来信来访、开展矛盾纠纷调处化解。组织协调有关部门共同解决辖区内的治安问题。负责安全生产、应急事件应对预案的制订和执行等工作。承办乡党委、政府交办的其他事项。</w:t>
      </w:r>
    </w:p>
    <w:p>
      <w:pPr>
        <w:ind w:firstLine="640" w:firstLineChars="200"/>
        <w:rPr>
          <w:rFonts w:hint="eastAsia" w:eastAsia="仿宋_GB2312"/>
          <w:color w:val="auto"/>
        </w:rPr>
      </w:pPr>
      <w:r>
        <w:rPr>
          <w:rFonts w:hint="eastAsia" w:eastAsia="仿宋_GB2312"/>
          <w:color w:val="auto"/>
        </w:rPr>
        <w:t>(四)社会事务办公室(退役军人事务办公室)。具体承担社会事务和公共服务等工作职责。落实人力社保、医保、退役军人、民政、教育、文化、体育、卫生健康、人口计生、残联、红十字等领域的有关政策。承办乡党委、政府交办的其他事项。</w:t>
      </w:r>
    </w:p>
    <w:p>
      <w:pPr>
        <w:ind w:firstLine="640" w:firstLineChars="200"/>
        <w:rPr>
          <w:rFonts w:hint="eastAsia" w:eastAsia="仿宋_GB2312"/>
          <w:color w:val="auto"/>
        </w:rPr>
      </w:pPr>
      <w:r>
        <w:rPr>
          <w:rFonts w:hint="eastAsia" w:eastAsia="仿宋_GB2312"/>
          <w:color w:val="auto"/>
        </w:rPr>
        <w:t>(五)农业农村办公室。落实农业农村发展和乡村振兴战略相关政策。推进农业、林业、水利产业发展和资源开发保护利用工作。指导监督农村“三资”管理规范化建设工作。按职责分工承担辖区内防汛抗旱、森林防火等技术服务工作。承办乡党委、政府交办的其他事项。</w:t>
      </w:r>
    </w:p>
    <w:p>
      <w:pPr>
        <w:ind w:firstLine="640" w:firstLineChars="200"/>
        <w:rPr>
          <w:rFonts w:hint="eastAsia" w:eastAsia="仿宋_GB2312"/>
          <w:color w:val="auto"/>
        </w:rPr>
      </w:pPr>
      <w:r>
        <w:rPr>
          <w:rFonts w:hint="eastAsia" w:eastAsia="仿宋_GB2312"/>
          <w:color w:val="auto"/>
        </w:rPr>
        <w:t>(六)综合行政执法办公室。负责统筹组织协调指挥辖区内派驻和基层执法力量实行综合行政执法，牵头建立综合行政执法平台工作，代表乡政府履行明确赋予或授权的行政执法职责。承办乡党委、政府交办的其他事项。</w:t>
      </w:r>
    </w:p>
    <w:p>
      <w:pPr>
        <w:ind w:firstLine="640" w:firstLineChars="200"/>
        <w:rPr>
          <w:rFonts w:hint="eastAsia" w:eastAsia="仿宋_GB2312"/>
          <w:color w:val="auto"/>
        </w:rPr>
      </w:pPr>
      <w:r>
        <w:rPr>
          <w:rFonts w:hint="eastAsia" w:eastAsia="仿宋_GB2312"/>
          <w:color w:val="auto"/>
        </w:rPr>
        <w:t>(七)财政经济办公室。研究本区域经济发展战略，组织编制中长期发展规划和年度计划，立足本地资源和区位条件，优化经济发展环境，培育壮大骨干企业，形成地域产业特色。贯彻执行有关财政法律、法规和财经制度，负责编制和执行乡财政预(决)算计划，统管乡财务，指导并监督集体的财务管理。负责机关及所属单位财务运行、财务管理、惠农(扶贫)资金补贴发放等工作;承办乡党委、政府交办的其他事项。</w:t>
      </w:r>
    </w:p>
    <w:p>
      <w:pPr>
        <w:ind w:firstLine="640" w:firstLineChars="200"/>
        <w:rPr>
          <w:rFonts w:hint="eastAsia" w:eastAsia="仿宋_GB2312"/>
          <w:color w:val="auto"/>
        </w:rPr>
      </w:pPr>
      <w:r>
        <w:rPr>
          <w:rFonts w:hint="eastAsia" w:eastAsia="仿宋_GB2312"/>
          <w:color w:val="auto"/>
        </w:rPr>
        <w:t>(八)扶贫工作办公室。负责贯彻执行党和国家及省、市、县关于扶贫开发工作方针、政策和法律、法规;负责辖区精准扶贫工作的组织协调、指导、监督管理、统计、动态监测、脱贫巩固、宣传等工作;与行业部门积极配合，做好扶贫政策落实、脱贫攻坚项目谋划、实施等工作。承办乡党委、政府交办的其他事项。乡人大、纪检监察、人武、工会、共青团、妇联等组织按有关规定设置并开展工作。</w:t>
      </w:r>
    </w:p>
    <w:p>
      <w:pPr>
        <w:ind w:firstLine="640" w:firstLineChars="200"/>
        <w:rPr>
          <w:rFonts w:hint="eastAsia" w:ascii="仿宋_GB2312" w:hAnsi="仿宋_GB2312" w:eastAsia="仿宋_GB2312" w:cs="仿宋_GB2312"/>
          <w:color w:val="000000"/>
          <w:sz w:val="21"/>
          <w:szCs w:val="21"/>
        </w:rPr>
      </w:pPr>
      <w:r>
        <w:rPr>
          <w:rFonts w:hint="eastAsia" w:ascii="仿宋_GB2312" w:hAnsi="仿宋_GB2312" w:eastAsia="仿宋_GB2312" w:cs="仿宋_GB2312"/>
          <w:color w:val="000000"/>
          <w:szCs w:val="32"/>
        </w:rPr>
        <w:t>（按照部门“三定”方案表述）</w:t>
      </w:r>
    </w:p>
    <w:p>
      <w:pPr>
        <w:ind w:firstLine="640" w:firstLineChars="200"/>
      </w:pPr>
      <w:r>
        <w:rPr>
          <w:rFonts w:eastAsia="楷体_GB2312"/>
        </w:rPr>
        <w:t>二、机构设置</w:t>
      </w:r>
    </w:p>
    <w:p>
      <w:pPr>
        <w:pStyle w:val="51"/>
        <w:ind w:firstLine="640" w:firstLineChars="200"/>
        <w:rPr>
          <w:rFonts w:eastAsia="仿宋_GB2312"/>
        </w:rPr>
      </w:pPr>
      <w:r>
        <w:rPr>
          <w:rFonts w:eastAsia="仿宋_GB2312"/>
        </w:rPr>
        <w:t>根据上述职责</w:t>
      </w:r>
      <w:r>
        <w:rPr>
          <w:rFonts w:ascii="Times New Roman" w:hAnsi="Times New Roman" w:eastAsia="仿宋_GB2312" w:cs="Times New Roman"/>
        </w:rPr>
        <w:t>，</w:t>
      </w:r>
      <w:r>
        <w:rPr>
          <w:rFonts w:hint="eastAsia" w:ascii="Times New Roman" w:hAnsi="Times New Roman" w:eastAsia="仿宋_GB2312" w:cs="Times New Roman"/>
          <w:lang w:eastAsia="zh-CN"/>
        </w:rPr>
        <w:t>通榆县新发乡人民政府</w:t>
      </w:r>
      <w:r>
        <w:rPr>
          <w:rFonts w:ascii="Times New Roman" w:hAnsi="Times New Roman" w:eastAsia="仿宋_GB2312" w:cs="Times New Roman"/>
        </w:rPr>
        <w:t>部门内</w:t>
      </w:r>
      <w:r>
        <w:rPr>
          <w:rFonts w:eastAsia="仿宋_GB2312"/>
        </w:rPr>
        <w:t>设</w:t>
      </w:r>
      <w:r>
        <w:rPr>
          <w:rFonts w:eastAsia="仿宋_GB2312"/>
          <w:u w:val="single"/>
        </w:rPr>
        <w:t xml:space="preserve"> </w:t>
      </w:r>
      <w:r>
        <w:rPr>
          <w:rFonts w:hint="eastAsia" w:eastAsia="仿宋_GB2312"/>
          <w:u w:val="single"/>
          <w:lang w:val="en-US" w:eastAsia="zh-CN"/>
        </w:rPr>
        <w:t>2</w:t>
      </w:r>
      <w:r>
        <w:rPr>
          <w:rFonts w:eastAsia="仿宋_GB2312"/>
          <w:u w:val="single"/>
        </w:rPr>
        <w:t xml:space="preserve"> </w:t>
      </w:r>
      <w:r>
        <w:rPr>
          <w:rFonts w:eastAsia="仿宋_GB2312"/>
        </w:rPr>
        <w:t>个机构，分别为</w:t>
      </w:r>
      <w:r>
        <w:rPr>
          <w:rFonts w:hint="eastAsia" w:eastAsia="仿宋_GB2312"/>
          <w:lang w:eastAsia="zh-CN"/>
        </w:rPr>
        <w:t>通榆县新发乡人民政府、通榆县新发乡综合服务中心</w:t>
      </w:r>
      <w:r>
        <w:rPr>
          <w:rFonts w:eastAsia="仿宋_GB2312"/>
        </w:rPr>
        <w:t>。</w:t>
      </w: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985.81</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985.81</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692.67</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692.67</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985.81</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985.81</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104.27</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104.27</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96.42</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96.42</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57.65</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57.65</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w:t>
            </w:r>
            <w:r>
              <w:rPr>
                <w:rFonts w:hint="eastAsia" w:ascii="仿宋_GB2312"/>
                <w:b w:val="0"/>
                <w:bCs/>
                <w:color w:val="000000"/>
                <w:kern w:val="0"/>
                <w:sz w:val="20"/>
                <w:lang w:val="en-US" w:eastAsia="zh-CN"/>
              </w:rPr>
              <w:t>卫生健康支出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default" w:eastAsia="宋体"/>
                <w:sz w:val="20"/>
                <w:lang w:val="en-US" w:eastAsia="zh-CN"/>
              </w:rPr>
            </w:pPr>
            <w:r>
              <w:rPr>
                <w:rFonts w:hint="eastAsia" w:eastAsia="宋体"/>
                <w:sz w:val="20"/>
                <w:lang w:val="en-US" w:eastAsia="zh-CN"/>
              </w:rPr>
              <w:t>34.80</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sz w:val="20"/>
                <w:lang w:val="en-US" w:eastAsia="zh-CN"/>
              </w:rPr>
            </w:pPr>
            <w:r>
              <w:rPr>
                <w:rFonts w:hint="eastAsia" w:eastAsia="宋体"/>
                <w:sz w:val="20"/>
                <w:lang w:val="en-US" w:eastAsia="zh-CN"/>
              </w:rPr>
              <w:t>34.80</w:t>
            </w: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985.81</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985.81</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985.81</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985.81</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985.81</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985.81</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985.81</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985.81</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eastAsia="宋体"/>
                <w:color w:val="000000"/>
                <w:sz w:val="20"/>
              </w:rPr>
            </w:pPr>
            <w:r>
              <w:rPr>
                <w:rFonts w:hint="eastAsia" w:eastAsia="宋体"/>
                <w:color w:val="000000"/>
                <w:sz w:val="20"/>
                <w:lang w:eastAsia="zh-CN"/>
              </w:rPr>
              <w:t>通榆县新发乡人民政府</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985.81</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color w:val="000000"/>
                <w:sz w:val="20"/>
                <w:lang w:val="en-US" w:eastAsia="zh-CN"/>
              </w:rPr>
              <w:t>985.81</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hint="eastAsia" w:eastAsia="宋体"/>
                <w:color w:val="000000"/>
                <w:sz w:val="20"/>
                <w:lang w:val="en-US" w:eastAsia="zh-CN"/>
              </w:rPr>
              <w:t>985.81</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985.81</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985.81</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985.81</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center"/>
                    <w:rPr>
                      <w:rFonts w:eastAsia="华文细黑"/>
                      <w:color w:val="000000"/>
                      <w:kern w:val="0"/>
                      <w:sz w:val="20"/>
                    </w:rPr>
                  </w:pPr>
                </w:p>
              </w:tc>
              <w:tc>
                <w:tcPr>
                  <w:tcW w:w="1297" w:type="dxa"/>
                  <w:tcBorders>
                    <w:bottom w:val="single" w:color="000000" w:sz="4" w:space="0"/>
                  </w:tcBorders>
                  <w:noWrap w:val="0"/>
                  <w:vAlign w:val="center"/>
                </w:tcPr>
                <w:p>
                  <w:pPr>
                    <w:widowControl/>
                    <w:jc w:val="center"/>
                    <w:rPr>
                      <w:rFonts w:eastAsia="华文细黑"/>
                      <w:color w:val="000000"/>
                      <w:kern w:val="0"/>
                      <w:sz w:val="20"/>
                    </w:rPr>
                  </w:pPr>
                </w:p>
              </w:tc>
              <w:tc>
                <w:tcPr>
                  <w:tcW w:w="1297" w:type="dxa"/>
                  <w:gridSpan w:val="2"/>
                  <w:tcBorders>
                    <w:bottom w:val="single" w:color="000000" w:sz="4" w:space="0"/>
                  </w:tcBorders>
                  <w:noWrap w:val="0"/>
                  <w:vAlign w:val="center"/>
                </w:tcPr>
                <w:p>
                  <w:pPr>
                    <w:widowControl/>
                    <w:jc w:val="center"/>
                    <w:rPr>
                      <w:rFonts w:eastAsia="华文细黑"/>
                      <w:color w:val="000000"/>
                      <w:kern w:val="0"/>
                      <w:sz w:val="20"/>
                    </w:rPr>
                  </w:pPr>
                </w:p>
              </w:tc>
              <w:tc>
                <w:tcPr>
                  <w:tcW w:w="1297" w:type="dxa"/>
                  <w:tcBorders>
                    <w:bottom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24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宋体"/>
                      <w:color w:val="000000"/>
                      <w:kern w:val="0"/>
                      <w:sz w:val="20"/>
                      <w:lang w:val="en-US" w:eastAsia="zh-CN"/>
                    </w:rPr>
                    <w:t>一、</w:t>
                  </w:r>
                  <w:r>
                    <w:rPr>
                      <w:rFonts w:hint="eastAsia" w:eastAsia="宋体"/>
                      <w:color w:val="000000"/>
                      <w:kern w:val="0"/>
                      <w:sz w:val="20"/>
                    </w:rPr>
                    <w:t>一般公共服务支出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692.27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616.64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76.03</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宋体"/>
                      <w:color w:val="000000"/>
                      <w:kern w:val="0"/>
                      <w:sz w:val="20"/>
                    </w:rPr>
                    <w:t>政府办公厅（室）及相关机构事务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692.27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616.64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76.03</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宋体"/>
                      <w:color w:val="000000"/>
                      <w:kern w:val="0"/>
                      <w:sz w:val="20"/>
                      <w:lang w:eastAsia="zh-CN"/>
                    </w:rPr>
                  </w:pPr>
                  <w:r>
                    <w:rPr>
                      <w:rFonts w:hint="eastAsia" w:eastAsia="宋体"/>
                      <w:color w:val="000000"/>
                      <w:kern w:val="0"/>
                      <w:sz w:val="20"/>
                      <w:lang w:eastAsia="zh-CN"/>
                    </w:rPr>
                    <w:t>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376.43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300.40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76.03</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事业运行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tabs>
                      <w:tab w:val="left" w:pos="589"/>
                    </w:tabs>
                    <w:jc w:val="center"/>
                    <w:rPr>
                      <w:rFonts w:eastAsia="宋体"/>
                      <w:color w:val="000000"/>
                      <w:kern w:val="0"/>
                      <w:sz w:val="20"/>
                    </w:rPr>
                  </w:pPr>
                  <w:r>
                    <w:rPr>
                      <w:rFonts w:hint="eastAsia" w:eastAsia="宋体"/>
                      <w:color w:val="000000"/>
                      <w:kern w:val="0"/>
                      <w:sz w:val="20"/>
                      <w:lang w:eastAsia="zh-CN"/>
                    </w:rPr>
                    <w:t>316</w:t>
                  </w:r>
                  <w:r>
                    <w:rPr>
                      <w:rFonts w:hint="eastAsia" w:eastAsia="宋体"/>
                      <w:color w:val="000000"/>
                      <w:kern w:val="0"/>
                      <w:sz w:val="20"/>
                      <w:lang w:val="en-US" w:eastAsia="zh-CN"/>
                    </w:rPr>
                    <w:t>.24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316.24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二、</w:t>
                  </w:r>
                  <w:r>
                    <w:rPr>
                      <w:rFonts w:hint="eastAsia" w:eastAsia="宋体"/>
                      <w:color w:val="000000"/>
                      <w:kern w:val="0"/>
                      <w:sz w:val="20"/>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tabs>
                      <w:tab w:val="left" w:pos="385"/>
                    </w:tabs>
                    <w:jc w:val="center"/>
                    <w:rPr>
                      <w:rFonts w:hint="default" w:eastAsia="宋体"/>
                      <w:color w:val="000000"/>
                      <w:kern w:val="0"/>
                      <w:sz w:val="20"/>
                      <w:lang w:val="en-US"/>
                    </w:rPr>
                  </w:pPr>
                  <w:r>
                    <w:rPr>
                      <w:rFonts w:hint="eastAsia" w:eastAsia="宋体"/>
                      <w:color w:val="000000"/>
                      <w:kern w:val="0"/>
                      <w:sz w:val="20"/>
                      <w:lang w:val="en-US" w:eastAsia="zh-CN"/>
                    </w:rPr>
                    <w:t>104.27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104.27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center"/>
                    <w:rPr>
                      <w:rFonts w:eastAsia="宋体"/>
                      <w:color w:val="000000"/>
                      <w:kern w:val="0"/>
                      <w:sz w:val="20"/>
                    </w:rPr>
                  </w:pPr>
                  <w:r>
                    <w:rPr>
                      <w:rFonts w:hint="eastAsia" w:eastAsia="宋体"/>
                      <w:color w:val="000000"/>
                      <w:kern w:val="0"/>
                      <w:sz w:val="20"/>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104.27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104.27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center"/>
                    <w:rPr>
                      <w:rFonts w:eastAsia="宋体"/>
                      <w:color w:val="000000"/>
                      <w:kern w:val="0"/>
                      <w:sz w:val="20"/>
                    </w:rPr>
                  </w:pPr>
                  <w:r>
                    <w:rPr>
                      <w:rFonts w:hint="eastAsia" w:eastAsia="宋体"/>
                      <w:color w:val="000000"/>
                      <w:kern w:val="0"/>
                      <w:sz w:val="20"/>
                    </w:rPr>
                    <w:t>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82.41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82.41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19.91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19.91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华文细黑"/>
                      <w:color w:val="000000"/>
                      <w:kern w:val="0"/>
                      <w:sz w:val="20"/>
                    </w:rPr>
                    <w:t>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tabs>
                      <w:tab w:val="left" w:pos="589"/>
                    </w:tabs>
                    <w:jc w:val="center"/>
                    <w:rPr>
                      <w:rFonts w:eastAsia="宋体"/>
                      <w:color w:val="000000"/>
                      <w:kern w:val="0"/>
                      <w:sz w:val="20"/>
                    </w:rPr>
                  </w:pPr>
                  <w:r>
                    <w:rPr>
                      <w:rFonts w:hint="eastAsia" w:eastAsia="宋体"/>
                      <w:color w:val="000000"/>
                      <w:kern w:val="0"/>
                      <w:sz w:val="20"/>
                      <w:lang w:val="en-US" w:eastAsia="zh-CN"/>
                    </w:rPr>
                    <w:t>1.95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tabs>
                      <w:tab w:val="left" w:pos="294"/>
                    </w:tabs>
                    <w:jc w:val="center"/>
                    <w:rPr>
                      <w:rFonts w:eastAsia="宋体"/>
                      <w:color w:val="000000"/>
                      <w:kern w:val="0"/>
                      <w:sz w:val="20"/>
                    </w:rPr>
                  </w:pPr>
                  <w:r>
                    <w:rPr>
                      <w:rFonts w:hint="eastAsia" w:eastAsia="宋体"/>
                      <w:color w:val="000000"/>
                      <w:kern w:val="0"/>
                      <w:sz w:val="20"/>
                      <w:lang w:val="en-US" w:eastAsia="zh-CN"/>
                    </w:rPr>
                    <w:t>1.95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rPr>
                  </w:pPr>
                  <w:r>
                    <w:rPr>
                      <w:rFonts w:hint="eastAsia" w:eastAsia="华文细黑"/>
                      <w:color w:val="000000"/>
                      <w:kern w:val="0"/>
                      <w:sz w:val="20"/>
                      <w:lang w:val="en-US" w:eastAsia="zh-CN"/>
                    </w:rPr>
                    <w:t>三、</w:t>
                  </w:r>
                  <w:r>
                    <w:rPr>
                      <w:rFonts w:hint="eastAsia" w:eastAsia="华文细黑"/>
                      <w:color w:val="000000"/>
                      <w:kern w:val="0"/>
                      <w:sz w:val="20"/>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tabs>
                      <w:tab w:val="left" w:pos="409"/>
                    </w:tabs>
                    <w:jc w:val="center"/>
                    <w:rPr>
                      <w:rFonts w:hint="default" w:eastAsia="宋体"/>
                      <w:color w:val="000000"/>
                      <w:kern w:val="0"/>
                      <w:sz w:val="20"/>
                      <w:lang w:val="en-US" w:eastAsia="zh-CN"/>
                    </w:rPr>
                  </w:pPr>
                  <w:r>
                    <w:rPr>
                      <w:rFonts w:hint="eastAsia" w:eastAsia="宋体"/>
                      <w:color w:val="000000"/>
                      <w:kern w:val="0"/>
                      <w:sz w:val="20"/>
                      <w:lang w:val="en-US" w:eastAsia="zh-CN"/>
                    </w:rPr>
                    <w:t>34.80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34.80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rPr>
                  </w:pPr>
                  <w:r>
                    <w:rPr>
                      <w:rFonts w:hint="eastAsia" w:eastAsia="华文细黑"/>
                      <w:color w:val="000000"/>
                      <w:kern w:val="0"/>
                      <w:sz w:val="20"/>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34.80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34.80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华文细黑" w:cs="Times New Roman"/>
                      <w:color w:val="000000"/>
                      <w:kern w:val="0"/>
                      <w:sz w:val="20"/>
                      <w:lang w:val="en-US" w:eastAsia="zh-CN" w:bidi="ar-SA"/>
                    </w:rPr>
                  </w:pPr>
                  <w:r>
                    <w:rPr>
                      <w:rFonts w:hint="eastAsia" w:eastAsia="华文细黑"/>
                      <w:color w:val="000000"/>
                      <w:kern w:val="0"/>
                      <w:sz w:val="20"/>
                      <w:lang w:eastAsia="zh-CN"/>
                    </w:rPr>
                    <w:t>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16.16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16.16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rPr>
                  </w:pPr>
                  <w:r>
                    <w:rPr>
                      <w:rFonts w:hint="eastAsia" w:eastAsia="华文细黑"/>
                      <w:color w:val="000000"/>
                      <w:kern w:val="0"/>
                      <w:sz w:val="20"/>
                    </w:rPr>
                    <w:t>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rPr>
                    <w:t>17</w:t>
                  </w:r>
                  <w:r>
                    <w:rPr>
                      <w:rFonts w:hint="eastAsia" w:eastAsia="宋体"/>
                      <w:color w:val="000000"/>
                      <w:kern w:val="0"/>
                      <w:sz w:val="20"/>
                      <w:lang w:val="en-US" w:eastAsia="zh-CN"/>
                    </w:rPr>
                    <w:t>.</w:t>
                  </w:r>
                  <w:r>
                    <w:rPr>
                      <w:rFonts w:hint="eastAsia" w:eastAsia="宋体"/>
                      <w:color w:val="000000"/>
                      <w:kern w:val="0"/>
                      <w:sz w:val="20"/>
                    </w:rPr>
                    <w:t>85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rPr>
                    <w:t>17</w:t>
                  </w:r>
                  <w:r>
                    <w:rPr>
                      <w:rFonts w:hint="eastAsia" w:eastAsia="宋体"/>
                      <w:color w:val="000000"/>
                      <w:kern w:val="0"/>
                      <w:sz w:val="20"/>
                      <w:lang w:val="en-US" w:eastAsia="zh-CN"/>
                    </w:rPr>
                    <w:t>.</w:t>
                  </w:r>
                  <w:r>
                    <w:rPr>
                      <w:rFonts w:hint="eastAsia" w:eastAsia="宋体"/>
                      <w:color w:val="000000"/>
                      <w:kern w:val="0"/>
                      <w:sz w:val="20"/>
                    </w:rPr>
                    <w:t>85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rPr>
                  </w:pPr>
                  <w:r>
                    <w:rPr>
                      <w:rFonts w:hint="eastAsia" w:eastAsia="华文细黑"/>
                      <w:color w:val="000000"/>
                      <w:kern w:val="0"/>
                      <w:sz w:val="20"/>
                    </w:rPr>
                    <w:t>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0.79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0.79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rPr>
                  </w:pPr>
                  <w:r>
                    <w:rPr>
                      <w:rFonts w:hint="eastAsia" w:eastAsia="华文细黑"/>
                      <w:color w:val="000000"/>
                      <w:kern w:val="0"/>
                      <w:sz w:val="20"/>
                      <w:lang w:val="en-US" w:eastAsia="zh-CN"/>
                    </w:rPr>
                    <w:t>四、</w:t>
                  </w:r>
                  <w:r>
                    <w:rPr>
                      <w:rFonts w:hint="eastAsia" w:eastAsia="华文细黑"/>
                      <w:color w:val="000000"/>
                      <w:kern w:val="0"/>
                      <w:sz w:val="20"/>
                    </w:rPr>
                    <w:t>农林水支出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rPr>
                    <w:t>96</w:t>
                  </w:r>
                  <w:r>
                    <w:rPr>
                      <w:rFonts w:hint="eastAsia" w:eastAsia="宋体"/>
                      <w:color w:val="000000"/>
                      <w:kern w:val="0"/>
                      <w:sz w:val="20"/>
                      <w:lang w:val="en-US" w:eastAsia="zh-CN"/>
                    </w:rPr>
                    <w:t>.</w:t>
                  </w:r>
                  <w:r>
                    <w:rPr>
                      <w:rFonts w:hint="eastAsia" w:eastAsia="宋体"/>
                      <w:color w:val="000000"/>
                      <w:kern w:val="0"/>
                      <w:sz w:val="20"/>
                    </w:rPr>
                    <w:t>42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96</w:t>
                  </w:r>
                  <w:r>
                    <w:rPr>
                      <w:rFonts w:hint="eastAsia" w:eastAsia="宋体"/>
                      <w:color w:val="000000"/>
                      <w:kern w:val="0"/>
                      <w:sz w:val="20"/>
                      <w:lang w:val="en-US" w:eastAsia="zh-CN"/>
                    </w:rPr>
                    <w:t>.</w:t>
                  </w:r>
                  <w:r>
                    <w:rPr>
                      <w:rFonts w:hint="eastAsia" w:eastAsia="宋体"/>
                      <w:color w:val="000000"/>
                      <w:kern w:val="0"/>
                      <w:sz w:val="20"/>
                    </w:rPr>
                    <w:t>42</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rPr>
                  </w:pPr>
                  <w:r>
                    <w:rPr>
                      <w:rFonts w:hint="eastAsia" w:eastAsia="华文细黑"/>
                      <w:color w:val="000000"/>
                      <w:kern w:val="0"/>
                      <w:sz w:val="20"/>
                    </w:rPr>
                    <w:t>农村综合改革</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rPr>
                    <w:t>96</w:t>
                  </w:r>
                  <w:r>
                    <w:rPr>
                      <w:rFonts w:hint="eastAsia" w:eastAsia="宋体"/>
                      <w:color w:val="000000"/>
                      <w:kern w:val="0"/>
                      <w:sz w:val="20"/>
                      <w:lang w:val="en-US" w:eastAsia="zh-CN"/>
                    </w:rPr>
                    <w:t>.</w:t>
                  </w:r>
                  <w:r>
                    <w:rPr>
                      <w:rFonts w:hint="eastAsia" w:eastAsia="宋体"/>
                      <w:color w:val="000000"/>
                      <w:kern w:val="0"/>
                      <w:sz w:val="20"/>
                    </w:rPr>
                    <w:t>42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96</w:t>
                  </w:r>
                  <w:r>
                    <w:rPr>
                      <w:rFonts w:hint="eastAsia" w:eastAsia="宋体"/>
                      <w:color w:val="000000"/>
                      <w:kern w:val="0"/>
                      <w:sz w:val="20"/>
                      <w:lang w:val="en-US" w:eastAsia="zh-CN"/>
                    </w:rPr>
                    <w:t>.</w:t>
                  </w:r>
                  <w:r>
                    <w:rPr>
                      <w:rFonts w:hint="eastAsia" w:eastAsia="宋体"/>
                      <w:color w:val="000000"/>
                      <w:kern w:val="0"/>
                      <w:sz w:val="20"/>
                    </w:rPr>
                    <w:t>42</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rPr>
                  </w:pPr>
                  <w:r>
                    <w:rPr>
                      <w:rFonts w:hint="eastAsia" w:eastAsia="华文细黑"/>
                      <w:color w:val="000000"/>
                      <w:kern w:val="0"/>
                      <w:sz w:val="20"/>
                    </w:rPr>
                    <w:t>对村民委员会和村党支部的补助</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rPr>
                    <w:t>96</w:t>
                  </w:r>
                  <w:r>
                    <w:rPr>
                      <w:rFonts w:hint="eastAsia" w:eastAsia="宋体"/>
                      <w:color w:val="000000"/>
                      <w:kern w:val="0"/>
                      <w:sz w:val="20"/>
                      <w:lang w:val="en-US" w:eastAsia="zh-CN"/>
                    </w:rPr>
                    <w:t>.</w:t>
                  </w:r>
                  <w:r>
                    <w:rPr>
                      <w:rFonts w:hint="eastAsia" w:eastAsia="宋体"/>
                      <w:color w:val="000000"/>
                      <w:kern w:val="0"/>
                      <w:sz w:val="20"/>
                    </w:rPr>
                    <w:t>42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96</w:t>
                  </w:r>
                  <w:r>
                    <w:rPr>
                      <w:rFonts w:hint="eastAsia" w:eastAsia="宋体"/>
                      <w:color w:val="000000"/>
                      <w:kern w:val="0"/>
                      <w:sz w:val="20"/>
                      <w:lang w:val="en-US" w:eastAsia="zh-CN"/>
                    </w:rPr>
                    <w:t>.</w:t>
                  </w:r>
                  <w:r>
                    <w:rPr>
                      <w:rFonts w:hint="eastAsia" w:eastAsia="宋体"/>
                      <w:color w:val="000000"/>
                      <w:kern w:val="0"/>
                      <w:sz w:val="20"/>
                    </w:rPr>
                    <w:t>42</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rPr>
                  </w:pPr>
                  <w:r>
                    <w:rPr>
                      <w:rFonts w:hint="eastAsia" w:eastAsia="华文细黑"/>
                      <w:color w:val="000000"/>
                      <w:kern w:val="0"/>
                      <w:sz w:val="20"/>
                      <w:lang w:val="en-US" w:eastAsia="zh-CN"/>
                    </w:rPr>
                    <w:t>五、</w:t>
                  </w:r>
                  <w:r>
                    <w:rPr>
                      <w:rFonts w:hint="eastAsia" w:eastAsia="华文细黑"/>
                      <w:color w:val="000000"/>
                      <w:kern w:val="0"/>
                      <w:sz w:val="20"/>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57.65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57.65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rPr>
                  </w:pPr>
                  <w:r>
                    <w:rPr>
                      <w:rFonts w:hint="eastAsia" w:eastAsia="华文细黑"/>
                      <w:color w:val="000000"/>
                      <w:kern w:val="0"/>
                      <w:sz w:val="20"/>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57.65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57.65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rPr>
                  </w:pPr>
                  <w:r>
                    <w:rPr>
                      <w:rFonts w:hint="eastAsia" w:eastAsia="华文细黑"/>
                      <w:color w:val="000000"/>
                      <w:kern w:val="0"/>
                      <w:sz w:val="20"/>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57.65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57.65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eastAsia="华文细黑"/>
                      <w:color w:val="000000"/>
                      <w:kern w:val="0"/>
                      <w:sz w:val="20"/>
                    </w:rPr>
                  </w:pPr>
                  <w:r>
                    <w:rPr>
                      <w:rFonts w:hint="eastAsia" w:eastAsia="华文细黑"/>
                      <w:color w:val="000000"/>
                      <w:kern w:val="0"/>
                      <w:sz w:val="20"/>
                      <w:lang w:val="en-US" w:eastAsia="zh-CN"/>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985.81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813.36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tabs>
                      <w:tab w:val="left" w:pos="404"/>
                    </w:tabs>
                    <w:jc w:val="center"/>
                    <w:rPr>
                      <w:rFonts w:hint="default" w:eastAsia="宋体"/>
                      <w:color w:val="000000"/>
                      <w:kern w:val="0"/>
                      <w:sz w:val="20"/>
                      <w:lang w:val="en-US"/>
                    </w:rPr>
                  </w:pPr>
                  <w:r>
                    <w:rPr>
                      <w:rFonts w:hint="eastAsia" w:eastAsia="宋体"/>
                      <w:color w:val="000000"/>
                      <w:kern w:val="0"/>
                      <w:sz w:val="20"/>
                      <w:lang w:val="en-US" w:eastAsia="zh-CN"/>
                    </w:rPr>
                    <w:t>172.45</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bl>
          <w:p>
            <w:pPr>
              <w:widowControl/>
              <w:jc w:val="center"/>
              <w:rPr>
                <w:rFonts w:eastAsia="方正小标宋简体"/>
                <w:kern w:val="0"/>
                <w:sz w:val="44"/>
                <w:szCs w:val="44"/>
              </w:rPr>
            </w:pPr>
          </w:p>
        </w:tc>
      </w:tr>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widowControl/>
              <w:jc w:val="center"/>
              <w:rPr>
                <w:rFonts w:eastAsia="方正小标宋简体"/>
                <w:kern w:val="0"/>
                <w:sz w:val="44"/>
                <w:szCs w:val="44"/>
              </w:rPr>
            </w:pPr>
          </w:p>
        </w:tc>
      </w:tr>
    </w:tbl>
    <w:p>
      <w:pPr>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985.81</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985.81</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692.67</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692.67</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985.81</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985.81</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104.27</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104.27</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w:t>
                  </w:r>
                  <w:r>
                    <w:rPr>
                      <w:rFonts w:hint="eastAsia" w:ascii="宋体" w:hAnsi="宋体" w:eastAsia="宋体" w:cs="宋体"/>
                      <w:b w:val="0"/>
                      <w:bCs/>
                      <w:kern w:val="0"/>
                      <w:sz w:val="20"/>
                      <w:lang w:val="en-US" w:eastAsia="zh-CN"/>
                    </w:rPr>
                    <w:t>卫生健康支出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34.80</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34.80</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96.42</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96.42</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57.65</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57.65</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985.81</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985.81</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985.81</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985.81</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985.81</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985.81</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985.81</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985.81</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45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rPr>
                      <w:rFonts w:eastAsia="华文细黑"/>
                      <w:color w:val="000000"/>
                      <w:kern w:val="0"/>
                      <w:sz w:val="20"/>
                    </w:rPr>
                  </w:pPr>
                  <w:r>
                    <w:rPr>
                      <w:rFonts w:eastAsia="宋体"/>
                      <w:color w:val="000000"/>
                      <w:kern w:val="0"/>
                      <w:sz w:val="20"/>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692.67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692.67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692.67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75.18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76.03</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w:t>
                  </w:r>
                  <w:r>
                    <w:rPr>
                      <w:rFonts w:hint="eastAsia" w:eastAsia="宋体"/>
                      <w:color w:val="000000"/>
                      <w:kern w:val="0"/>
                      <w:sz w:val="20"/>
                    </w:rPr>
                    <w:t>　政府办公厅（室）及相关机构事务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692.67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692.67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692.67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75.18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76.03</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ascii="Times New Roman" w:hAnsi="Times New Roman" w:eastAsia="宋体" w:cs="Times New Roman"/>
                      <w:color w:val="000000"/>
                      <w:kern w:val="0"/>
                      <w:sz w:val="20"/>
                      <w:lang w:val="en-US" w:eastAsia="zh-CN" w:bidi="ar-SA"/>
                    </w:rPr>
                  </w:pPr>
                  <w:r>
                    <w:rPr>
                      <w:rFonts w:eastAsia="宋体"/>
                      <w:color w:val="000000"/>
                      <w:kern w:val="0"/>
                      <w:sz w:val="20"/>
                    </w:rPr>
                    <w:t xml:space="preserve">      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376.43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300.40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254.02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46.38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76.03</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r>
                    <w:rPr>
                      <w:rFonts w:hint="eastAsia" w:eastAsia="宋体"/>
                      <w:color w:val="000000"/>
                      <w:kern w:val="0"/>
                      <w:sz w:val="20"/>
                      <w:lang w:val="en-US" w:eastAsia="zh-CN"/>
                    </w:rPr>
                    <w:t>事业</w:t>
                  </w:r>
                  <w:r>
                    <w:rPr>
                      <w:rFonts w:eastAsia="宋体"/>
                      <w:color w:val="000000"/>
                      <w:kern w:val="0"/>
                      <w:sz w:val="20"/>
                    </w:rPr>
                    <w:t>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316.24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316.24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287.44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28.80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二、社会保障和就业支出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104.27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104.27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104.27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hint="eastAsia" w:eastAsia="宋体"/>
                      <w:color w:val="000000"/>
                      <w:kern w:val="0"/>
                      <w:sz w:val="20"/>
                    </w:rPr>
                    <w:t>　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104.27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104.27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104.27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hint="eastAsia" w:eastAsia="宋体"/>
                      <w:color w:val="000000"/>
                      <w:kern w:val="0"/>
                      <w:sz w:val="20"/>
                    </w:rPr>
                    <w:t>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82.41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82.41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82.41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rPr>
                    <w:t>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19.91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19.91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19.91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华文细黑"/>
                      <w:color w:val="000000"/>
                      <w:kern w:val="0"/>
                      <w:sz w:val="20"/>
                    </w:rPr>
                    <w:t>　　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1.95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1.95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1.95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eastAsia="华文细黑"/>
                      <w:color w:val="000000"/>
                      <w:kern w:val="0"/>
                      <w:sz w:val="20"/>
                    </w:rPr>
                  </w:pPr>
                  <w:r>
                    <w:rPr>
                      <w:rFonts w:hint="eastAsia" w:eastAsia="华文细黑"/>
                      <w:color w:val="000000"/>
                      <w:kern w:val="0"/>
                      <w:sz w:val="20"/>
                      <w:lang w:val="en-US" w:eastAsia="zh-CN"/>
                    </w:rPr>
                    <w:t>三、卫生健康支出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34.80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34.80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34.80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华文细黑"/>
                      <w:color w:val="000000"/>
                      <w:kern w:val="0"/>
                      <w:sz w:val="20"/>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34.80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34.80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34.80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imes New Roman" w:hAnsi="Times New Roman" w:eastAsia="华文细黑" w:cs="Times New Roman"/>
                      <w:color w:val="000000"/>
                      <w:kern w:val="0"/>
                      <w:sz w:val="20"/>
                      <w:lang w:val="en-US" w:eastAsia="zh-CN" w:bidi="ar-SA"/>
                    </w:rPr>
                  </w:pPr>
                  <w:r>
                    <w:rPr>
                      <w:rFonts w:hint="eastAsia" w:eastAsia="华文细黑"/>
                      <w:color w:val="000000"/>
                      <w:kern w:val="0"/>
                      <w:sz w:val="20"/>
                      <w:lang w:eastAsia="zh-CN"/>
                    </w:rPr>
                    <w:t>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16.16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16.16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16.16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华文细黑"/>
                      <w:color w:val="000000"/>
                      <w:kern w:val="0"/>
                      <w:sz w:val="20"/>
                    </w:rPr>
                    <w:t>　　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17.85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17.85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17.85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华文细黑"/>
                      <w:color w:val="000000"/>
                      <w:kern w:val="0"/>
                      <w:sz w:val="20"/>
                    </w:rPr>
                    <w:t>　　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0.79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0.79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0.79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eastAsia="华文细黑"/>
                      <w:color w:val="000000"/>
                      <w:kern w:val="0"/>
                      <w:sz w:val="20"/>
                    </w:rPr>
                  </w:pPr>
                  <w:r>
                    <w:rPr>
                      <w:rFonts w:hint="eastAsia" w:eastAsia="华文细黑"/>
                      <w:color w:val="000000"/>
                      <w:kern w:val="0"/>
                      <w:sz w:val="20"/>
                      <w:lang w:val="en-US" w:eastAsia="zh-CN"/>
                    </w:rPr>
                    <w:t>四、农林水支出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96.42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96.42</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华文细黑"/>
                      <w:color w:val="000000"/>
                      <w:kern w:val="0"/>
                      <w:sz w:val="20"/>
                    </w:rPr>
                    <w:t>农村综合改革</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96.42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96.42</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华文细黑"/>
                      <w:color w:val="000000"/>
                      <w:kern w:val="0"/>
                      <w:sz w:val="20"/>
                    </w:rPr>
                    <w:t>对村民委员会和村党支部的补助</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96.42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96.42</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eastAsia="华文细黑"/>
                      <w:color w:val="000000"/>
                      <w:kern w:val="0"/>
                      <w:sz w:val="20"/>
                    </w:rPr>
                  </w:pPr>
                  <w:r>
                    <w:rPr>
                      <w:rFonts w:hint="eastAsia" w:eastAsia="华文细黑"/>
                      <w:color w:val="000000"/>
                      <w:kern w:val="0"/>
                      <w:sz w:val="20"/>
                      <w:lang w:val="en-US" w:eastAsia="zh-CN"/>
                    </w:rPr>
                    <w:t>五、住房保障支出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57.65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57.65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57.65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华文细黑"/>
                      <w:color w:val="000000"/>
                      <w:kern w:val="0"/>
                      <w:sz w:val="20"/>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57.65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57.65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57.65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华文细黑"/>
                      <w:color w:val="000000"/>
                      <w:kern w:val="0"/>
                      <w:sz w:val="20"/>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57.65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57.65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57.65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hint="eastAsia" w:eastAsia="华文细黑"/>
                      <w:color w:val="000000"/>
                      <w:kern w:val="0"/>
                      <w:sz w:val="20"/>
                      <w:lang w:val="en-US" w:eastAsia="zh-CN"/>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985.81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813.36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738.18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75.18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r>
                    <w:rPr>
                      <w:rFonts w:hint="eastAsia" w:eastAsia="宋体"/>
                      <w:color w:val="000000"/>
                      <w:kern w:val="0"/>
                      <w:sz w:val="20"/>
                      <w:lang w:val="en-US" w:eastAsia="zh-CN"/>
                    </w:rPr>
                    <w:t>172.45</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eastAsia="宋体"/>
                <w:color w:val="000000"/>
                <w:kern w:val="0"/>
                <w:sz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eastAsia="宋体"/>
                <w:kern w:val="0"/>
                <w:sz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515"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rPr>
            </w:pPr>
            <w:r>
              <w:rPr>
                <w:rFonts w:hint="eastAsia" w:eastAsia="宋体"/>
                <w:kern w:val="0"/>
                <w:sz w:val="21"/>
                <w:szCs w:val="21"/>
                <w:lang w:val="en-US" w:eastAsia="zh-CN"/>
              </w:rPr>
              <w:t>728.86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r>
              <w:rPr>
                <w:rFonts w:hint="eastAsia" w:eastAsia="宋体"/>
                <w:kern w:val="0"/>
                <w:sz w:val="21"/>
                <w:szCs w:val="21"/>
                <w:lang w:val="en-US" w:eastAsia="zh-CN"/>
              </w:rPr>
              <w:t>728.86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43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rPr>
            </w:pPr>
            <w:r>
              <w:rPr>
                <w:rFonts w:hint="eastAsia" w:eastAsia="宋体"/>
                <w:kern w:val="0"/>
                <w:sz w:val="21"/>
                <w:szCs w:val="21"/>
                <w:lang w:val="en-US" w:eastAsia="zh-CN"/>
              </w:rPr>
              <w:t>248.62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r>
              <w:rPr>
                <w:rFonts w:hint="eastAsia" w:eastAsia="宋体"/>
                <w:kern w:val="0"/>
                <w:sz w:val="21"/>
                <w:szCs w:val="21"/>
                <w:lang w:val="en-US" w:eastAsia="zh-CN"/>
              </w:rPr>
              <w:t>248.62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44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rPr>
            </w:pPr>
            <w:r>
              <w:rPr>
                <w:rFonts w:hint="eastAsia" w:eastAsia="宋体"/>
                <w:kern w:val="0"/>
                <w:sz w:val="21"/>
                <w:szCs w:val="21"/>
                <w:lang w:val="en-US" w:eastAsia="zh-CN"/>
              </w:rPr>
              <w:t>119.47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lang w:val="en-US"/>
              </w:rPr>
            </w:pPr>
            <w:r>
              <w:rPr>
                <w:rFonts w:hint="eastAsia"/>
                <w:sz w:val="21"/>
                <w:szCs w:val="21"/>
                <w:lang w:val="en-US" w:eastAsia="zh-CN"/>
              </w:rPr>
              <w:t>119.47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365"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rPr>
            </w:pPr>
            <w:r>
              <w:rPr>
                <w:rFonts w:hint="eastAsia" w:eastAsia="宋体"/>
                <w:kern w:val="0"/>
                <w:sz w:val="21"/>
                <w:szCs w:val="21"/>
                <w:lang w:val="en-US" w:eastAsia="zh-CN"/>
              </w:rPr>
              <w:t>78.01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lang w:val="en-US"/>
              </w:rPr>
            </w:pPr>
            <w:r>
              <w:rPr>
                <w:rFonts w:hint="eastAsia"/>
                <w:sz w:val="21"/>
                <w:szCs w:val="21"/>
                <w:lang w:val="en-US" w:eastAsia="zh-CN"/>
              </w:rPr>
              <w:t>78.01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545"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ind w:firstLine="200" w:firstLineChars="100"/>
              <w:jc w:val="both"/>
              <w:textAlignment w:val="center"/>
              <w:rPr>
                <w:rFonts w:hint="eastAsia" w:ascii="Verdana" w:hAnsi="Verdana" w:eastAsia="仿宋_GB2312" w:cs="Verdana"/>
                <w:i w:val="0"/>
                <w:iCs w:val="0"/>
                <w:color w:val="000000"/>
                <w:kern w:val="2"/>
                <w:sz w:val="24"/>
                <w:szCs w:val="24"/>
                <w:u w:val="none"/>
                <w:lang w:val="en-US" w:eastAsia="zh-CN" w:bidi="ar-SA"/>
              </w:rPr>
            </w:pPr>
            <w:r>
              <w:rPr>
                <w:rFonts w:hint="default" w:ascii="Verdana" w:hAnsi="Verdana" w:eastAsia="宋体" w:cs="Verdana"/>
                <w:i w:val="0"/>
                <w:iCs w:val="0"/>
                <w:color w:val="000000"/>
                <w:kern w:val="0"/>
                <w:sz w:val="20"/>
                <w:szCs w:val="20"/>
                <w:u w:val="none"/>
                <w:lang w:val="en-US" w:eastAsia="zh-CN" w:bidi="ar"/>
              </w:rPr>
              <w:t>　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79.66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Times New Roman" w:hAnsi="Times New Roman" w:eastAsia="仿宋_GB2312" w:cs="Times New Roman"/>
                <w:kern w:val="2"/>
                <w:sz w:val="20"/>
                <w:szCs w:val="20"/>
                <w:lang w:val="en-US" w:eastAsia="zh-CN" w:bidi="ar-SA"/>
              </w:rPr>
            </w:pPr>
            <w:r>
              <w:rPr>
                <w:rFonts w:hint="eastAsia"/>
                <w:sz w:val="20"/>
                <w:szCs w:val="20"/>
                <w:lang w:val="en-US" w:eastAsia="zh-CN"/>
              </w:rPr>
              <w:t>79.66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545"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lang w:eastAsia="zh-CN"/>
              </w:rPr>
              <w:t>机关事业单位养老保险费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rPr>
            </w:pPr>
            <w:r>
              <w:rPr>
                <w:rFonts w:hint="eastAsia" w:eastAsia="宋体"/>
                <w:kern w:val="0"/>
                <w:sz w:val="21"/>
                <w:szCs w:val="21"/>
                <w:lang w:val="en-US" w:eastAsia="zh-CN"/>
              </w:rPr>
              <w:t>84.40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lang w:val="en-US"/>
              </w:rPr>
            </w:pPr>
            <w:r>
              <w:rPr>
                <w:rFonts w:hint="eastAsia"/>
                <w:sz w:val="21"/>
                <w:szCs w:val="21"/>
                <w:lang w:val="en-US" w:eastAsia="zh-CN"/>
              </w:rPr>
              <w:t>82.40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5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lang w:eastAsia="zh-CN"/>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rPr>
            </w:pPr>
            <w:r>
              <w:rPr>
                <w:rFonts w:hint="eastAsia" w:eastAsia="宋体"/>
                <w:kern w:val="0"/>
                <w:sz w:val="21"/>
                <w:szCs w:val="21"/>
                <w:lang w:val="en-US" w:eastAsia="zh-CN"/>
              </w:rPr>
              <w:t>19.91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lang w:val="en-US"/>
              </w:rPr>
            </w:pPr>
            <w:r>
              <w:rPr>
                <w:rFonts w:hint="eastAsia"/>
                <w:sz w:val="21"/>
                <w:szCs w:val="21"/>
                <w:lang w:val="en-US" w:eastAsia="zh-CN"/>
              </w:rPr>
              <w:t>19.91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455"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lang w:eastAsia="zh-CN"/>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rPr>
            </w:pPr>
            <w:r>
              <w:rPr>
                <w:rFonts w:hint="eastAsia" w:eastAsia="宋体"/>
                <w:kern w:val="0"/>
                <w:sz w:val="21"/>
                <w:szCs w:val="21"/>
                <w:lang w:val="en-US" w:eastAsia="zh-CN"/>
              </w:rPr>
              <w:t>34.01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lang w:val="en-US"/>
              </w:rPr>
            </w:pPr>
            <w:r>
              <w:rPr>
                <w:rFonts w:hint="eastAsia"/>
                <w:sz w:val="21"/>
                <w:szCs w:val="21"/>
                <w:lang w:val="en-US" w:eastAsia="zh-CN"/>
              </w:rPr>
              <w:t>34.01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485"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lang w:eastAsia="zh-CN"/>
              </w:rPr>
              <w:t>其他社会保险缴费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rPr>
            </w:pPr>
            <w:r>
              <w:rPr>
                <w:rFonts w:hint="eastAsia" w:eastAsia="宋体"/>
                <w:kern w:val="0"/>
                <w:sz w:val="21"/>
                <w:szCs w:val="21"/>
                <w:lang w:val="en-US" w:eastAsia="zh-CN"/>
              </w:rPr>
              <w:t>2.74</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lang w:val="en-US"/>
              </w:rPr>
            </w:pPr>
            <w:r>
              <w:rPr>
                <w:rFonts w:hint="eastAsia"/>
                <w:sz w:val="21"/>
                <w:szCs w:val="21"/>
                <w:lang w:val="en-US" w:eastAsia="zh-CN"/>
              </w:rPr>
              <w:t>2.74</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right"/>
            </w:pPr>
          </w:p>
        </w:tc>
      </w:tr>
      <w:tr>
        <w:tblPrEx>
          <w:tblCellMar>
            <w:top w:w="0" w:type="dxa"/>
            <w:left w:w="108" w:type="dxa"/>
            <w:bottom w:w="0" w:type="dxa"/>
            <w:right w:w="108" w:type="dxa"/>
          </w:tblCellMar>
        </w:tblPrEx>
        <w:trPr>
          <w:trHeight w:val="425"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lang w:eastAsia="zh-CN"/>
              </w:rPr>
              <w:t>住房公积金</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57.69</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lang w:val="en-US"/>
              </w:rPr>
            </w:pPr>
            <w:r>
              <w:rPr>
                <w:rFonts w:hint="eastAsia"/>
                <w:sz w:val="21"/>
                <w:szCs w:val="21"/>
                <w:lang w:val="en-US" w:eastAsia="zh-CN"/>
              </w:rPr>
              <w:t>57.69</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r>
      <w:tr>
        <w:tblPrEx>
          <w:tblCellMar>
            <w:top w:w="0" w:type="dxa"/>
            <w:left w:w="108" w:type="dxa"/>
            <w:bottom w:w="0" w:type="dxa"/>
            <w:right w:w="108" w:type="dxa"/>
          </w:tblCellMar>
        </w:tblPrEx>
        <w:trPr>
          <w:trHeight w:val="425"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lang w:eastAsia="zh-CN"/>
              </w:rPr>
              <w:t>其他工资福利支出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rPr>
            </w:pPr>
            <w:r>
              <w:rPr>
                <w:rFonts w:hint="eastAsia" w:eastAsia="宋体"/>
                <w:kern w:val="0"/>
                <w:sz w:val="21"/>
                <w:szCs w:val="21"/>
                <w:lang w:val="en-US" w:eastAsia="zh-CN"/>
              </w:rPr>
              <w:t>6.39</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lang w:val="en-US"/>
              </w:rPr>
            </w:pPr>
            <w:r>
              <w:rPr>
                <w:rFonts w:hint="eastAsia"/>
                <w:sz w:val="21"/>
                <w:szCs w:val="21"/>
                <w:lang w:val="en-US" w:eastAsia="zh-CN"/>
              </w:rPr>
              <w:t>6.39</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r>
      <w:tr>
        <w:tblPrEx>
          <w:tblCellMar>
            <w:top w:w="0" w:type="dxa"/>
            <w:left w:w="108" w:type="dxa"/>
            <w:bottom w:w="0" w:type="dxa"/>
            <w:right w:w="108" w:type="dxa"/>
          </w:tblCellMar>
        </w:tblPrEx>
        <w:trPr>
          <w:trHeight w:val="53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eastAsia="宋体"/>
                <w:color w:val="000000"/>
                <w:kern w:val="0"/>
                <w:sz w:val="20"/>
              </w:rPr>
            </w:pPr>
            <w:r>
              <w:rPr>
                <w:rFonts w:hint="eastAsia" w:eastAsia="宋体"/>
                <w:color w:val="000000"/>
                <w:kern w:val="0"/>
                <w:sz w:val="20"/>
                <w:lang w:eastAsia="zh-CN"/>
              </w:rPr>
              <w:t>二、商品和服务支出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rPr>
            </w:pPr>
            <w:r>
              <w:rPr>
                <w:rFonts w:hint="eastAsia" w:eastAsia="宋体"/>
                <w:kern w:val="0"/>
                <w:sz w:val="21"/>
                <w:szCs w:val="21"/>
                <w:lang w:val="en-US" w:eastAsia="zh-CN"/>
              </w:rPr>
              <w:t>75.18</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lang w:val="en-US"/>
              </w:rPr>
            </w:pPr>
            <w:r>
              <w:rPr>
                <w:rFonts w:hint="eastAsia"/>
                <w:sz w:val="21"/>
                <w:szCs w:val="21"/>
                <w:lang w:val="en-US" w:eastAsia="zh-CN"/>
              </w:rPr>
              <w:t>75.18</w:t>
            </w:r>
          </w:p>
        </w:tc>
      </w:tr>
      <w:tr>
        <w:tblPrEx>
          <w:tblCellMar>
            <w:top w:w="0" w:type="dxa"/>
            <w:left w:w="108" w:type="dxa"/>
            <w:bottom w:w="0" w:type="dxa"/>
            <w:right w:w="108" w:type="dxa"/>
          </w:tblCellMar>
        </w:tblPrEx>
        <w:trPr>
          <w:trHeight w:val="38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lang w:eastAsia="zh-CN"/>
              </w:rPr>
              <w:t>办公费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rPr>
            </w:pPr>
            <w:r>
              <w:rPr>
                <w:rFonts w:hint="eastAsia" w:eastAsia="宋体"/>
                <w:kern w:val="0"/>
                <w:sz w:val="21"/>
                <w:szCs w:val="21"/>
                <w:lang w:val="en-US" w:eastAsia="zh-CN"/>
              </w:rPr>
              <w:t>50.30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lang w:val="en-US"/>
              </w:rPr>
            </w:pPr>
            <w:r>
              <w:rPr>
                <w:rFonts w:hint="eastAsia"/>
                <w:sz w:val="21"/>
                <w:szCs w:val="21"/>
                <w:lang w:val="en-US" w:eastAsia="zh-CN"/>
              </w:rPr>
              <w:t>50.30</w:t>
            </w:r>
          </w:p>
        </w:tc>
      </w:tr>
      <w:tr>
        <w:tblPrEx>
          <w:tblCellMar>
            <w:top w:w="0" w:type="dxa"/>
            <w:left w:w="108" w:type="dxa"/>
            <w:bottom w:w="0" w:type="dxa"/>
            <w:right w:w="108" w:type="dxa"/>
          </w:tblCellMar>
        </w:tblPrEx>
        <w:trPr>
          <w:trHeight w:val="425"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rPr>
              <w:t>差旅费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0.50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ascii="Times New Roman" w:hAnsi="Times New Roman" w:eastAsia="仿宋_GB2312" w:cs="Times New Roman"/>
                <w:kern w:val="2"/>
                <w:sz w:val="20"/>
                <w:szCs w:val="20"/>
                <w:lang w:val="en-US" w:eastAsia="zh-CN" w:bidi="ar-SA"/>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仿宋_GB2312" w:cs="Times New Roman"/>
                <w:kern w:val="2"/>
                <w:sz w:val="20"/>
                <w:szCs w:val="20"/>
                <w:lang w:val="en-US" w:eastAsia="zh-CN" w:bidi="ar-SA"/>
              </w:rPr>
            </w:pPr>
            <w:r>
              <w:rPr>
                <w:rFonts w:hint="eastAsia"/>
                <w:sz w:val="20"/>
                <w:szCs w:val="20"/>
                <w:lang w:val="en-US" w:eastAsia="zh-CN"/>
              </w:rPr>
              <w:t>0.50</w:t>
            </w:r>
          </w:p>
        </w:tc>
      </w:tr>
      <w:tr>
        <w:tblPrEx>
          <w:tblCellMar>
            <w:top w:w="0" w:type="dxa"/>
            <w:left w:w="108" w:type="dxa"/>
            <w:bottom w:w="0" w:type="dxa"/>
            <w:right w:w="108" w:type="dxa"/>
          </w:tblCellMar>
        </w:tblPrEx>
        <w:trPr>
          <w:trHeight w:val="425"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lang w:eastAsia="zh-CN"/>
              </w:rPr>
              <w:t>其他交通费用</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rPr>
            </w:pPr>
            <w:r>
              <w:rPr>
                <w:rFonts w:hint="eastAsia" w:eastAsia="宋体"/>
                <w:kern w:val="0"/>
                <w:sz w:val="21"/>
                <w:szCs w:val="21"/>
                <w:lang w:val="en-US" w:eastAsia="zh-CN"/>
              </w:rPr>
              <w:t>19.38</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lang w:val="en-US"/>
              </w:rPr>
            </w:pPr>
            <w:r>
              <w:rPr>
                <w:rFonts w:hint="eastAsia"/>
                <w:sz w:val="21"/>
                <w:szCs w:val="21"/>
                <w:lang w:val="en-US" w:eastAsia="zh-CN"/>
              </w:rPr>
              <w:t>19.38</w:t>
            </w:r>
          </w:p>
        </w:tc>
      </w:tr>
      <w:tr>
        <w:tblPrEx>
          <w:tblCellMar>
            <w:top w:w="0" w:type="dxa"/>
            <w:left w:w="108" w:type="dxa"/>
            <w:bottom w:w="0" w:type="dxa"/>
            <w:right w:w="108" w:type="dxa"/>
          </w:tblCellMar>
        </w:tblPrEx>
        <w:trPr>
          <w:trHeight w:val="38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rPr>
              <w:t>办公设备购置</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5.00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imes New Roman" w:hAnsi="Times New Roman" w:eastAsia="仿宋_GB2312" w:cs="Times New Roman"/>
                <w:kern w:val="2"/>
                <w:sz w:val="20"/>
                <w:szCs w:val="20"/>
                <w:lang w:val="en-US" w:eastAsia="zh-CN" w:bidi="ar-SA"/>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仿宋_GB2312" w:cs="Times New Roman"/>
                <w:kern w:val="2"/>
                <w:sz w:val="20"/>
                <w:szCs w:val="20"/>
                <w:lang w:val="en-US" w:eastAsia="zh-CN" w:bidi="ar-SA"/>
              </w:rPr>
            </w:pPr>
            <w:r>
              <w:rPr>
                <w:rFonts w:hint="eastAsia"/>
                <w:sz w:val="20"/>
                <w:szCs w:val="20"/>
                <w:lang w:val="en-US" w:eastAsia="zh-CN"/>
              </w:rPr>
              <w:t>5.00</w:t>
            </w:r>
          </w:p>
        </w:tc>
      </w:tr>
      <w:tr>
        <w:tblPrEx>
          <w:tblCellMar>
            <w:top w:w="0" w:type="dxa"/>
            <w:left w:w="108" w:type="dxa"/>
            <w:bottom w:w="0" w:type="dxa"/>
            <w:right w:w="108" w:type="dxa"/>
          </w:tblCellMar>
        </w:tblPrEx>
        <w:trPr>
          <w:trHeight w:val="38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eastAsia="宋体"/>
                <w:color w:val="000000"/>
                <w:kern w:val="0"/>
                <w:sz w:val="20"/>
              </w:rPr>
            </w:pPr>
            <w:r>
              <w:rPr>
                <w:rFonts w:hint="eastAsia" w:eastAsia="宋体"/>
                <w:color w:val="000000"/>
                <w:kern w:val="0"/>
                <w:sz w:val="20"/>
                <w:lang w:eastAsia="zh-CN"/>
              </w:rPr>
              <w:t>三、对个人和家庭的补助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rPr>
            </w:pPr>
            <w:r>
              <w:rPr>
                <w:rFonts w:hint="eastAsia" w:eastAsia="宋体"/>
                <w:kern w:val="0"/>
                <w:sz w:val="21"/>
                <w:szCs w:val="21"/>
                <w:lang w:val="en-US" w:eastAsia="zh-CN"/>
              </w:rPr>
              <w:t>9.32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r>
              <w:rPr>
                <w:rFonts w:hint="eastAsia" w:eastAsia="宋体"/>
                <w:kern w:val="0"/>
                <w:sz w:val="21"/>
                <w:szCs w:val="21"/>
                <w:lang w:val="en-US" w:eastAsia="zh-CN"/>
              </w:rPr>
              <w:t>9.32</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r>
      <w:tr>
        <w:tblPrEx>
          <w:tblCellMar>
            <w:top w:w="0" w:type="dxa"/>
            <w:left w:w="108" w:type="dxa"/>
            <w:bottom w:w="0" w:type="dxa"/>
            <w:right w:w="108" w:type="dxa"/>
          </w:tblCellMar>
        </w:tblPrEx>
        <w:trPr>
          <w:trHeight w:val="41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lang w:eastAsia="zh-CN"/>
              </w:rPr>
              <w:t>退休费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rPr>
            </w:pPr>
            <w:r>
              <w:rPr>
                <w:rFonts w:hint="eastAsia" w:eastAsia="宋体"/>
                <w:kern w:val="0"/>
                <w:sz w:val="21"/>
                <w:szCs w:val="21"/>
                <w:lang w:val="en-US" w:eastAsia="zh-CN"/>
              </w:rPr>
              <w:t>7.83</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r>
              <w:rPr>
                <w:rFonts w:hint="eastAsia" w:eastAsia="宋体"/>
                <w:kern w:val="0"/>
                <w:sz w:val="21"/>
                <w:szCs w:val="21"/>
                <w:lang w:val="en-US" w:eastAsia="zh-CN"/>
              </w:rPr>
              <w:t>7.83</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lang w:eastAsia="zh-CN"/>
              </w:rPr>
              <w:t>生活补助</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rPr>
            </w:pPr>
            <w:r>
              <w:rPr>
                <w:rFonts w:hint="eastAsia" w:eastAsia="宋体"/>
                <w:kern w:val="0"/>
                <w:sz w:val="21"/>
                <w:szCs w:val="21"/>
                <w:lang w:val="en-US" w:eastAsia="zh-CN"/>
              </w:rPr>
              <w:t>1.49</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r>
              <w:rPr>
                <w:rFonts w:hint="eastAsia" w:eastAsia="宋体"/>
                <w:kern w:val="0"/>
                <w:sz w:val="21"/>
                <w:szCs w:val="21"/>
                <w:lang w:val="en-US" w:eastAsia="zh-CN"/>
              </w:rPr>
              <w:t>1.49</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lang w:eastAsia="zh-CN"/>
              </w:rPr>
              <w:t>合计</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rPr>
            </w:pPr>
            <w:r>
              <w:rPr>
                <w:rFonts w:hint="eastAsia" w:eastAsia="宋体"/>
                <w:kern w:val="0"/>
                <w:sz w:val="21"/>
                <w:szCs w:val="21"/>
                <w:lang w:val="en-US" w:eastAsia="zh-CN"/>
              </w:rPr>
              <w:t>813.36</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lang w:val="en-US"/>
              </w:rPr>
            </w:pPr>
            <w:r>
              <w:rPr>
                <w:rFonts w:hint="eastAsia"/>
                <w:sz w:val="21"/>
                <w:szCs w:val="21"/>
                <w:lang w:val="en-US" w:eastAsia="zh-CN"/>
              </w:rPr>
              <w:t>738.18</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lang w:val="en-US"/>
              </w:rPr>
            </w:pPr>
            <w:r>
              <w:rPr>
                <w:rFonts w:hint="eastAsia"/>
                <w:sz w:val="21"/>
                <w:szCs w:val="21"/>
                <w:lang w:val="en-US" w:eastAsia="zh-CN"/>
              </w:rPr>
              <w:t>75.18</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hint="eastAsia" w:eastAsia="宋体"/>
                <w:color w:val="000000"/>
                <w:kern w:val="0"/>
                <w:sz w:val="28"/>
                <w:szCs w:val="28"/>
                <w:u w:val="single"/>
                <w:lang w:val="en-US" w:eastAsia="zh-CN"/>
              </w:rPr>
              <w:t>2</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eastAsia="宋体"/>
                <w:color w:val="000000"/>
                <w:kern w:val="0"/>
                <w:sz w:val="28"/>
                <w:szCs w:val="28"/>
                <w:u w:val="single"/>
                <w:lang w:val="en-US" w:eastAsia="zh-CN"/>
              </w:rPr>
              <w:t>55</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55</w:t>
            </w:r>
            <w:r>
              <w:rPr>
                <w:color w:val="000000"/>
                <w:kern w:val="0"/>
                <w:sz w:val="28"/>
                <w:szCs w:val="28"/>
              </w:rPr>
              <w:t>人，离退休人员</w:t>
            </w:r>
            <w:r>
              <w:rPr>
                <w:rFonts w:hint="eastAsia" w:eastAsia="宋体"/>
                <w:color w:val="000000"/>
                <w:kern w:val="0"/>
                <w:sz w:val="28"/>
                <w:szCs w:val="28"/>
                <w:u w:val="single"/>
                <w:lang w:val="en-US" w:eastAsia="zh-CN"/>
              </w:rPr>
              <w:t>16</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54"/>
        <w:gridCol w:w="690"/>
        <w:gridCol w:w="720"/>
        <w:gridCol w:w="375"/>
        <w:gridCol w:w="465"/>
        <w:gridCol w:w="450"/>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5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690"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560"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448"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5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690"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560"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580"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5"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54" w:type="dxa"/>
            <w:vMerge w:val="continue"/>
            <w:noWrap w:val="0"/>
            <w:vAlign w:val="center"/>
          </w:tcPr>
          <w:p>
            <w:pPr>
              <w:autoSpaceDN w:val="0"/>
              <w:jc w:val="center"/>
              <w:textAlignment w:val="center"/>
              <w:rPr>
                <w:rFonts w:ascii="Calibri" w:hAnsi="Calibri" w:eastAsia="华文细黑"/>
                <w:color w:val="000000"/>
                <w:sz w:val="20"/>
                <w:szCs w:val="22"/>
              </w:rPr>
            </w:pPr>
          </w:p>
        </w:tc>
        <w:tc>
          <w:tcPr>
            <w:tcW w:w="690" w:type="dxa"/>
            <w:vMerge w:val="continue"/>
            <w:noWrap w:val="0"/>
            <w:vAlign w:val="center"/>
          </w:tcPr>
          <w:p>
            <w:pPr>
              <w:autoSpaceDN w:val="0"/>
              <w:jc w:val="center"/>
              <w:textAlignment w:val="center"/>
              <w:rPr>
                <w:rFonts w:ascii="Calibri" w:hAnsi="Calibri" w:eastAsia="华文细黑"/>
                <w:color w:val="000000"/>
                <w:sz w:val="20"/>
                <w:szCs w:val="22"/>
              </w:rPr>
            </w:pPr>
          </w:p>
        </w:tc>
        <w:tc>
          <w:tcPr>
            <w:tcW w:w="720"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375"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65"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450"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7" w:hRule="exact"/>
          <w:jc w:val="center"/>
        </w:trPr>
        <w:tc>
          <w:tcPr>
            <w:tcW w:w="759"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专项业务支出</w:t>
            </w:r>
          </w:p>
        </w:tc>
        <w:tc>
          <w:tcPr>
            <w:tcW w:w="1063" w:type="dxa"/>
            <w:noWrap w:val="0"/>
            <w:vAlign w:val="center"/>
          </w:tcPr>
          <w:p>
            <w:pPr>
              <w:jc w:val="left"/>
              <w:rPr>
                <w:rFonts w:ascii="Calibri" w:hAnsi="Calibri" w:eastAsia="楷体"/>
                <w:kern w:val="0"/>
                <w:szCs w:val="32"/>
              </w:rPr>
            </w:pPr>
          </w:p>
        </w:tc>
        <w:tc>
          <w:tcPr>
            <w:tcW w:w="1107" w:type="dxa"/>
            <w:noWrap w:val="0"/>
            <w:vAlign w:val="center"/>
          </w:tcPr>
          <w:p>
            <w:pPr>
              <w:jc w:val="left"/>
              <w:rPr>
                <w:rFonts w:ascii="Calibri" w:hAnsi="Calibri" w:eastAsia="楷体"/>
                <w:kern w:val="0"/>
                <w:szCs w:val="32"/>
              </w:rPr>
            </w:pPr>
          </w:p>
        </w:tc>
        <w:tc>
          <w:tcPr>
            <w:tcW w:w="854" w:type="dxa"/>
            <w:noWrap w:val="0"/>
            <w:vAlign w:val="center"/>
          </w:tcPr>
          <w:p>
            <w:pPr>
              <w:jc w:val="left"/>
              <w:rPr>
                <w:rFonts w:ascii="Calibri" w:hAnsi="Calibri" w:eastAsia="楷体"/>
                <w:kern w:val="0"/>
                <w:szCs w:val="32"/>
              </w:rPr>
            </w:pPr>
          </w:p>
        </w:tc>
        <w:tc>
          <w:tcPr>
            <w:tcW w:w="690" w:type="dxa"/>
            <w:noWrap w:val="0"/>
            <w:vAlign w:val="center"/>
          </w:tcPr>
          <w:p>
            <w:pPr>
              <w:keepNext w:val="0"/>
              <w:keepLines w:val="0"/>
              <w:widowControl/>
              <w:suppressLineNumbers w:val="0"/>
              <w:jc w:val="right"/>
              <w:textAlignment w:val="center"/>
              <w:rPr>
                <w:rFonts w:hint="default" w:ascii="Calibri" w:hAnsi="Calibri" w:eastAsia="楷体"/>
                <w:kern w:val="0"/>
                <w:szCs w:val="32"/>
                <w:lang w:val="en-US"/>
              </w:rPr>
            </w:pPr>
            <w:r>
              <w:rPr>
                <w:rFonts w:hint="eastAsia" w:ascii="Arial" w:hAnsi="Arial" w:eastAsia="宋体" w:cs="Arial"/>
                <w:i w:val="0"/>
                <w:iCs w:val="0"/>
                <w:color w:val="000000"/>
                <w:kern w:val="0"/>
                <w:sz w:val="20"/>
                <w:szCs w:val="20"/>
                <w:u w:val="none"/>
                <w:lang w:val="en-US" w:eastAsia="zh-CN" w:bidi="ar"/>
              </w:rPr>
              <w:t>172.45</w:t>
            </w:r>
          </w:p>
        </w:tc>
        <w:tc>
          <w:tcPr>
            <w:tcW w:w="720" w:type="dxa"/>
            <w:noWrap w:val="0"/>
            <w:vAlign w:val="center"/>
          </w:tcPr>
          <w:p>
            <w:pPr>
              <w:keepNext w:val="0"/>
              <w:keepLines w:val="0"/>
              <w:widowControl/>
              <w:suppressLineNumbers w:val="0"/>
              <w:jc w:val="right"/>
              <w:textAlignment w:val="center"/>
              <w:rPr>
                <w:rFonts w:hint="default" w:ascii="Calibri" w:hAnsi="Calibri" w:eastAsia="楷体" w:cs="Times New Roman"/>
                <w:kern w:val="0"/>
                <w:sz w:val="32"/>
                <w:szCs w:val="32"/>
                <w:lang w:val="en-US" w:eastAsia="zh-CN" w:bidi="ar-SA"/>
              </w:rPr>
            </w:pPr>
            <w:r>
              <w:rPr>
                <w:rFonts w:hint="eastAsia" w:ascii="Arial" w:hAnsi="Arial" w:eastAsia="宋体" w:cs="Arial"/>
                <w:i w:val="0"/>
                <w:iCs w:val="0"/>
                <w:color w:val="000000"/>
                <w:kern w:val="0"/>
                <w:sz w:val="20"/>
                <w:szCs w:val="20"/>
                <w:u w:val="none"/>
                <w:lang w:val="en-US" w:eastAsia="zh-CN" w:bidi="ar"/>
              </w:rPr>
              <w:t>172.45</w:t>
            </w:r>
          </w:p>
        </w:tc>
        <w:tc>
          <w:tcPr>
            <w:tcW w:w="375" w:type="dxa"/>
            <w:noWrap w:val="0"/>
            <w:vAlign w:val="center"/>
          </w:tcPr>
          <w:p>
            <w:pPr>
              <w:spacing w:line="700" w:lineRule="exact"/>
              <w:jc w:val="center"/>
              <w:rPr>
                <w:rFonts w:ascii="Calibri" w:hAnsi="Calibri" w:eastAsia="楷体"/>
                <w:kern w:val="0"/>
                <w:szCs w:val="32"/>
              </w:rPr>
            </w:pPr>
          </w:p>
        </w:tc>
        <w:tc>
          <w:tcPr>
            <w:tcW w:w="465" w:type="dxa"/>
            <w:noWrap w:val="0"/>
            <w:vAlign w:val="center"/>
          </w:tcPr>
          <w:p>
            <w:pPr>
              <w:spacing w:line="700" w:lineRule="exact"/>
              <w:jc w:val="center"/>
              <w:rPr>
                <w:rFonts w:ascii="Calibri" w:hAnsi="Calibri" w:eastAsia="楷体"/>
                <w:kern w:val="0"/>
                <w:szCs w:val="32"/>
              </w:rPr>
            </w:pPr>
          </w:p>
        </w:tc>
        <w:tc>
          <w:tcPr>
            <w:tcW w:w="450"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7" w:hRule="exact"/>
          <w:jc w:val="center"/>
        </w:trPr>
        <w:tc>
          <w:tcPr>
            <w:tcW w:w="759"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专项业务支出</w:t>
            </w:r>
          </w:p>
        </w:tc>
        <w:tc>
          <w:tcPr>
            <w:tcW w:w="1063"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新发乡乡镇转移支付资金1.3（280208）</w:t>
            </w:r>
          </w:p>
        </w:tc>
        <w:tc>
          <w:tcPr>
            <w:tcW w:w="1107" w:type="dxa"/>
            <w:noWrap w:val="0"/>
            <w:vAlign w:val="center"/>
          </w:tcPr>
          <w:p>
            <w:pPr>
              <w:jc w:val="left"/>
              <w:rPr>
                <w:rFonts w:ascii="Calibri" w:hAnsi="Calibri" w:eastAsia="楷体"/>
                <w:kern w:val="0"/>
                <w:szCs w:val="32"/>
              </w:rPr>
            </w:pPr>
          </w:p>
        </w:tc>
        <w:tc>
          <w:tcPr>
            <w:tcW w:w="854" w:type="dxa"/>
            <w:noWrap w:val="0"/>
            <w:vAlign w:val="center"/>
          </w:tcPr>
          <w:p>
            <w:pPr>
              <w:jc w:val="left"/>
              <w:rPr>
                <w:rFonts w:ascii="Calibri" w:hAnsi="Calibri" w:eastAsia="楷体"/>
                <w:kern w:val="0"/>
                <w:szCs w:val="32"/>
              </w:rPr>
            </w:pPr>
          </w:p>
        </w:tc>
        <w:tc>
          <w:tcPr>
            <w:tcW w:w="690" w:type="dxa"/>
            <w:noWrap w:val="0"/>
            <w:vAlign w:val="center"/>
          </w:tcPr>
          <w:p>
            <w:pPr>
              <w:keepNext w:val="0"/>
              <w:keepLines w:val="0"/>
              <w:widowControl/>
              <w:suppressLineNumbers w:val="0"/>
              <w:jc w:val="right"/>
              <w:textAlignment w:val="center"/>
              <w:rPr>
                <w:rFonts w:hint="default" w:ascii="Calibri" w:hAnsi="Calibri" w:eastAsia="楷体"/>
                <w:kern w:val="0"/>
                <w:szCs w:val="32"/>
                <w:lang w:val="en-US"/>
              </w:rPr>
            </w:pPr>
            <w:r>
              <w:rPr>
                <w:rFonts w:hint="eastAsia" w:ascii="Arial" w:hAnsi="Arial" w:eastAsia="宋体" w:cs="Arial"/>
                <w:i w:val="0"/>
                <w:iCs w:val="0"/>
                <w:color w:val="000000"/>
                <w:kern w:val="0"/>
                <w:sz w:val="20"/>
                <w:szCs w:val="20"/>
                <w:u w:val="none"/>
                <w:lang w:val="en-US" w:eastAsia="zh-CN" w:bidi="ar"/>
              </w:rPr>
              <w:t>172.45</w:t>
            </w:r>
          </w:p>
        </w:tc>
        <w:tc>
          <w:tcPr>
            <w:tcW w:w="720" w:type="dxa"/>
            <w:noWrap w:val="0"/>
            <w:vAlign w:val="center"/>
          </w:tcPr>
          <w:p>
            <w:pPr>
              <w:keepNext w:val="0"/>
              <w:keepLines w:val="0"/>
              <w:widowControl/>
              <w:suppressLineNumbers w:val="0"/>
              <w:jc w:val="right"/>
              <w:textAlignment w:val="center"/>
              <w:rPr>
                <w:rFonts w:hint="default" w:ascii="Calibri" w:hAnsi="Calibri" w:eastAsia="楷体" w:cs="Times New Roman"/>
                <w:kern w:val="0"/>
                <w:sz w:val="32"/>
                <w:szCs w:val="32"/>
                <w:lang w:val="en-US" w:eastAsia="zh-CN" w:bidi="ar-SA"/>
              </w:rPr>
            </w:pPr>
            <w:r>
              <w:rPr>
                <w:rFonts w:hint="eastAsia" w:ascii="Arial" w:hAnsi="Arial" w:eastAsia="宋体" w:cs="Arial"/>
                <w:i w:val="0"/>
                <w:iCs w:val="0"/>
                <w:color w:val="000000"/>
                <w:kern w:val="0"/>
                <w:sz w:val="20"/>
                <w:szCs w:val="20"/>
                <w:u w:val="none"/>
                <w:lang w:val="en-US" w:eastAsia="zh-CN" w:bidi="ar"/>
              </w:rPr>
              <w:t>172.45</w:t>
            </w:r>
          </w:p>
        </w:tc>
        <w:tc>
          <w:tcPr>
            <w:tcW w:w="375" w:type="dxa"/>
            <w:noWrap w:val="0"/>
            <w:vAlign w:val="center"/>
          </w:tcPr>
          <w:p>
            <w:pPr>
              <w:spacing w:line="700" w:lineRule="exact"/>
              <w:jc w:val="center"/>
              <w:rPr>
                <w:rFonts w:ascii="Calibri" w:hAnsi="Calibri" w:eastAsia="楷体"/>
                <w:kern w:val="0"/>
                <w:szCs w:val="32"/>
              </w:rPr>
            </w:pPr>
          </w:p>
        </w:tc>
        <w:tc>
          <w:tcPr>
            <w:tcW w:w="465" w:type="dxa"/>
            <w:noWrap w:val="0"/>
            <w:vAlign w:val="center"/>
          </w:tcPr>
          <w:p>
            <w:pPr>
              <w:spacing w:line="700" w:lineRule="exact"/>
              <w:jc w:val="center"/>
              <w:rPr>
                <w:rFonts w:ascii="Calibri" w:hAnsi="Calibri" w:eastAsia="楷体"/>
                <w:kern w:val="0"/>
                <w:szCs w:val="32"/>
              </w:rPr>
            </w:pPr>
          </w:p>
        </w:tc>
        <w:tc>
          <w:tcPr>
            <w:tcW w:w="450"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7" w:hRule="exact"/>
          <w:jc w:val="center"/>
        </w:trPr>
        <w:tc>
          <w:tcPr>
            <w:tcW w:w="759" w:type="dxa"/>
            <w:noWrap w:val="0"/>
            <w:vAlign w:val="center"/>
          </w:tcPr>
          <w:p>
            <w:pPr>
              <w:keepNext w:val="0"/>
              <w:keepLines w:val="0"/>
              <w:widowControl/>
              <w:suppressLineNumbers w:val="0"/>
              <w:jc w:val="left"/>
              <w:textAlignment w:val="center"/>
              <w:rPr>
                <w:rFonts w:ascii="Calibri" w:hAnsi="Calibri" w:eastAsia="楷体" w:cs="Times New Roman"/>
                <w:kern w:val="0"/>
                <w:sz w:val="32"/>
                <w:szCs w:val="32"/>
                <w:lang w:val="en-US" w:eastAsia="zh-CN" w:bidi="ar-SA"/>
              </w:rPr>
            </w:pPr>
            <w:r>
              <w:rPr>
                <w:rFonts w:hint="default" w:ascii="Arial" w:hAnsi="Arial" w:eastAsia="宋体" w:cs="Arial"/>
                <w:i w:val="0"/>
                <w:iCs w:val="0"/>
                <w:color w:val="000000"/>
                <w:kern w:val="0"/>
                <w:sz w:val="20"/>
                <w:szCs w:val="20"/>
                <w:u w:val="none"/>
                <w:lang w:val="en-US" w:eastAsia="zh-CN" w:bidi="ar"/>
              </w:rPr>
              <w:t>专项业务支出</w:t>
            </w:r>
          </w:p>
        </w:tc>
        <w:tc>
          <w:tcPr>
            <w:tcW w:w="1063" w:type="dxa"/>
            <w:noWrap w:val="0"/>
            <w:vAlign w:val="center"/>
          </w:tcPr>
          <w:p>
            <w:pPr>
              <w:keepNext w:val="0"/>
              <w:keepLines w:val="0"/>
              <w:widowControl/>
              <w:suppressLineNumbers w:val="0"/>
              <w:jc w:val="left"/>
              <w:textAlignment w:val="center"/>
              <w:rPr>
                <w:rFonts w:ascii="Calibri" w:hAnsi="Calibri" w:eastAsia="楷体" w:cs="Times New Roman"/>
                <w:kern w:val="0"/>
                <w:sz w:val="32"/>
                <w:szCs w:val="32"/>
                <w:lang w:val="en-US" w:eastAsia="zh-CN" w:bidi="ar-SA"/>
              </w:rPr>
            </w:pPr>
            <w:r>
              <w:rPr>
                <w:rFonts w:hint="default" w:ascii="Arial" w:hAnsi="Arial" w:eastAsia="宋体" w:cs="Arial"/>
                <w:i w:val="0"/>
                <w:iCs w:val="0"/>
                <w:color w:val="000000"/>
                <w:kern w:val="0"/>
                <w:sz w:val="20"/>
                <w:szCs w:val="20"/>
                <w:u w:val="none"/>
                <w:lang w:val="en-US" w:eastAsia="zh-CN" w:bidi="ar"/>
              </w:rPr>
              <w:t>新发乡乡镇转移支付资金1.3（141578）</w:t>
            </w:r>
          </w:p>
        </w:tc>
        <w:tc>
          <w:tcPr>
            <w:tcW w:w="1107" w:type="dxa"/>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p>
        </w:tc>
        <w:tc>
          <w:tcPr>
            <w:tcW w:w="854" w:type="dxa"/>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p>
        </w:tc>
        <w:tc>
          <w:tcPr>
            <w:tcW w:w="690" w:type="dxa"/>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28.02</w:t>
            </w:r>
          </w:p>
        </w:tc>
        <w:tc>
          <w:tcPr>
            <w:tcW w:w="720" w:type="dxa"/>
            <w:noWrap w:val="0"/>
            <w:vAlign w:val="center"/>
          </w:tcPr>
          <w:p>
            <w:pPr>
              <w:keepNext w:val="0"/>
              <w:keepLines w:val="0"/>
              <w:widowControl/>
              <w:suppressLineNumbers w:val="0"/>
              <w:jc w:val="righ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28.02</w:t>
            </w:r>
          </w:p>
        </w:tc>
        <w:tc>
          <w:tcPr>
            <w:tcW w:w="375" w:type="dxa"/>
            <w:noWrap w:val="0"/>
            <w:vAlign w:val="center"/>
          </w:tcPr>
          <w:p>
            <w:pPr>
              <w:spacing w:line="700" w:lineRule="exact"/>
              <w:jc w:val="center"/>
              <w:rPr>
                <w:rFonts w:ascii="Calibri" w:hAnsi="Calibri" w:eastAsia="楷体"/>
                <w:kern w:val="0"/>
                <w:szCs w:val="32"/>
              </w:rPr>
            </w:pPr>
          </w:p>
        </w:tc>
        <w:tc>
          <w:tcPr>
            <w:tcW w:w="465" w:type="dxa"/>
            <w:noWrap w:val="0"/>
            <w:vAlign w:val="center"/>
          </w:tcPr>
          <w:p>
            <w:pPr>
              <w:spacing w:line="700" w:lineRule="exact"/>
              <w:jc w:val="center"/>
              <w:rPr>
                <w:rFonts w:ascii="Calibri" w:hAnsi="Calibri" w:eastAsia="楷体"/>
                <w:kern w:val="0"/>
                <w:szCs w:val="32"/>
              </w:rPr>
            </w:pPr>
          </w:p>
        </w:tc>
        <w:tc>
          <w:tcPr>
            <w:tcW w:w="450"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2" w:hRule="exact"/>
          <w:jc w:val="center"/>
        </w:trPr>
        <w:tc>
          <w:tcPr>
            <w:tcW w:w="759" w:type="dxa"/>
            <w:noWrap w:val="0"/>
            <w:vAlign w:val="center"/>
          </w:tcPr>
          <w:p>
            <w:pPr>
              <w:jc w:val="left"/>
              <w:rPr>
                <w:rFonts w:ascii="Calibri" w:hAnsi="Calibri" w:eastAsia="楷体"/>
                <w:kern w:val="0"/>
                <w:szCs w:val="32"/>
              </w:rPr>
            </w:pPr>
          </w:p>
        </w:tc>
        <w:tc>
          <w:tcPr>
            <w:tcW w:w="1063" w:type="dxa"/>
            <w:noWrap w:val="0"/>
            <w:vAlign w:val="center"/>
          </w:tcPr>
          <w:p>
            <w:pPr>
              <w:jc w:val="left"/>
              <w:rPr>
                <w:rFonts w:ascii="Calibri" w:hAnsi="Calibri" w:eastAsia="楷体"/>
                <w:kern w:val="0"/>
                <w:szCs w:val="32"/>
              </w:rPr>
            </w:pPr>
          </w:p>
        </w:tc>
        <w:tc>
          <w:tcPr>
            <w:tcW w:w="1107"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新发乡乡镇转移支付资金1.3（280208）</w:t>
            </w:r>
          </w:p>
        </w:tc>
        <w:tc>
          <w:tcPr>
            <w:tcW w:w="854"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通榆县新发乡人民政府</w:t>
            </w:r>
          </w:p>
        </w:tc>
        <w:tc>
          <w:tcPr>
            <w:tcW w:w="690" w:type="dxa"/>
            <w:noWrap w:val="0"/>
            <w:vAlign w:val="center"/>
          </w:tcPr>
          <w:p>
            <w:pPr>
              <w:keepNext w:val="0"/>
              <w:keepLines w:val="0"/>
              <w:widowControl/>
              <w:suppressLineNumbers w:val="0"/>
              <w:jc w:val="right"/>
              <w:textAlignment w:val="center"/>
              <w:rPr>
                <w:rFonts w:ascii="Calibri" w:hAnsi="Calibri" w:eastAsia="楷体"/>
                <w:kern w:val="0"/>
                <w:szCs w:val="32"/>
              </w:rPr>
            </w:pPr>
            <w:r>
              <w:rPr>
                <w:rFonts w:hint="eastAsia" w:ascii="Arial" w:hAnsi="Arial" w:eastAsia="宋体" w:cs="Arial"/>
                <w:i w:val="0"/>
                <w:iCs w:val="0"/>
                <w:color w:val="000000"/>
                <w:kern w:val="0"/>
                <w:sz w:val="20"/>
                <w:szCs w:val="20"/>
                <w:u w:val="none"/>
                <w:lang w:val="en-US" w:eastAsia="zh-CN" w:bidi="ar"/>
              </w:rPr>
              <w:t>28.02</w:t>
            </w:r>
          </w:p>
        </w:tc>
        <w:tc>
          <w:tcPr>
            <w:tcW w:w="720" w:type="dxa"/>
            <w:noWrap w:val="0"/>
            <w:vAlign w:val="center"/>
          </w:tcPr>
          <w:p>
            <w:pPr>
              <w:keepNext w:val="0"/>
              <w:keepLines w:val="0"/>
              <w:widowControl/>
              <w:suppressLineNumbers w:val="0"/>
              <w:jc w:val="right"/>
              <w:textAlignment w:val="center"/>
              <w:rPr>
                <w:rFonts w:ascii="Calibri" w:hAnsi="Calibri" w:eastAsia="楷体" w:cs="Times New Roman"/>
                <w:kern w:val="0"/>
                <w:sz w:val="32"/>
                <w:szCs w:val="32"/>
                <w:lang w:val="en-US" w:eastAsia="zh-CN" w:bidi="ar-SA"/>
              </w:rPr>
            </w:pPr>
            <w:r>
              <w:rPr>
                <w:rFonts w:hint="eastAsia" w:ascii="Arial" w:hAnsi="Arial" w:eastAsia="宋体" w:cs="Arial"/>
                <w:i w:val="0"/>
                <w:iCs w:val="0"/>
                <w:color w:val="000000"/>
                <w:kern w:val="0"/>
                <w:sz w:val="20"/>
                <w:szCs w:val="20"/>
                <w:u w:val="none"/>
                <w:lang w:val="en-US" w:eastAsia="zh-CN" w:bidi="ar"/>
              </w:rPr>
              <w:t>28.02</w:t>
            </w:r>
          </w:p>
        </w:tc>
        <w:tc>
          <w:tcPr>
            <w:tcW w:w="375" w:type="dxa"/>
            <w:noWrap w:val="0"/>
            <w:vAlign w:val="center"/>
          </w:tcPr>
          <w:p>
            <w:pPr>
              <w:spacing w:line="700" w:lineRule="exact"/>
              <w:jc w:val="center"/>
              <w:rPr>
                <w:rFonts w:ascii="Calibri" w:hAnsi="Calibri" w:eastAsia="楷体"/>
                <w:kern w:val="0"/>
                <w:szCs w:val="32"/>
              </w:rPr>
            </w:pPr>
          </w:p>
        </w:tc>
        <w:tc>
          <w:tcPr>
            <w:tcW w:w="465" w:type="dxa"/>
            <w:noWrap w:val="0"/>
            <w:vAlign w:val="center"/>
          </w:tcPr>
          <w:p>
            <w:pPr>
              <w:spacing w:line="700" w:lineRule="exact"/>
              <w:jc w:val="center"/>
              <w:rPr>
                <w:rFonts w:ascii="Calibri" w:hAnsi="Calibri" w:eastAsia="楷体"/>
                <w:kern w:val="0"/>
                <w:szCs w:val="32"/>
              </w:rPr>
            </w:pPr>
          </w:p>
        </w:tc>
        <w:tc>
          <w:tcPr>
            <w:tcW w:w="450"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exact"/>
          <w:jc w:val="center"/>
        </w:trPr>
        <w:tc>
          <w:tcPr>
            <w:tcW w:w="759"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专项业务支出</w:t>
            </w:r>
          </w:p>
        </w:tc>
        <w:tc>
          <w:tcPr>
            <w:tcW w:w="1063"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新发乡政府大学生村官工资1.3（141578）</w:t>
            </w:r>
          </w:p>
        </w:tc>
        <w:tc>
          <w:tcPr>
            <w:tcW w:w="1107" w:type="dxa"/>
            <w:noWrap w:val="0"/>
            <w:vAlign w:val="center"/>
          </w:tcPr>
          <w:p>
            <w:pPr>
              <w:jc w:val="left"/>
              <w:rPr>
                <w:rFonts w:ascii="Calibri" w:hAnsi="Calibri" w:eastAsia="楷体"/>
                <w:kern w:val="0"/>
                <w:szCs w:val="32"/>
              </w:rPr>
            </w:pPr>
          </w:p>
        </w:tc>
        <w:tc>
          <w:tcPr>
            <w:tcW w:w="854" w:type="dxa"/>
            <w:noWrap w:val="0"/>
            <w:vAlign w:val="center"/>
          </w:tcPr>
          <w:p>
            <w:pPr>
              <w:jc w:val="left"/>
              <w:rPr>
                <w:rFonts w:ascii="Calibri" w:hAnsi="Calibri" w:eastAsia="楷体"/>
                <w:kern w:val="0"/>
                <w:szCs w:val="32"/>
              </w:rPr>
            </w:pPr>
          </w:p>
        </w:tc>
        <w:tc>
          <w:tcPr>
            <w:tcW w:w="690" w:type="dxa"/>
            <w:noWrap w:val="0"/>
            <w:vAlign w:val="center"/>
          </w:tcPr>
          <w:p>
            <w:pPr>
              <w:keepNext w:val="0"/>
              <w:keepLines w:val="0"/>
              <w:widowControl/>
              <w:suppressLineNumbers w:val="0"/>
              <w:jc w:val="right"/>
              <w:textAlignment w:val="center"/>
              <w:rPr>
                <w:rFonts w:hint="default" w:ascii="Calibri" w:hAnsi="Calibri" w:eastAsia="楷体"/>
                <w:kern w:val="0"/>
                <w:szCs w:val="32"/>
                <w:lang w:val="en-US"/>
              </w:rPr>
            </w:pPr>
            <w:r>
              <w:rPr>
                <w:rFonts w:hint="eastAsia" w:ascii="Arial" w:hAnsi="Arial" w:eastAsia="宋体" w:cs="Arial"/>
                <w:i w:val="0"/>
                <w:iCs w:val="0"/>
                <w:color w:val="000000"/>
                <w:kern w:val="0"/>
                <w:sz w:val="20"/>
                <w:szCs w:val="20"/>
                <w:u w:val="none"/>
                <w:lang w:val="en-US" w:eastAsia="zh-CN" w:bidi="ar"/>
              </w:rPr>
              <w:t>14.16</w:t>
            </w:r>
          </w:p>
        </w:tc>
        <w:tc>
          <w:tcPr>
            <w:tcW w:w="720" w:type="dxa"/>
            <w:noWrap w:val="0"/>
            <w:vAlign w:val="center"/>
          </w:tcPr>
          <w:p>
            <w:pPr>
              <w:keepNext w:val="0"/>
              <w:keepLines w:val="0"/>
              <w:widowControl/>
              <w:suppressLineNumbers w:val="0"/>
              <w:jc w:val="right"/>
              <w:textAlignment w:val="center"/>
              <w:rPr>
                <w:rFonts w:hint="default" w:ascii="Calibri" w:hAnsi="Calibri" w:eastAsia="楷体" w:cs="Times New Roman"/>
                <w:kern w:val="0"/>
                <w:sz w:val="32"/>
                <w:szCs w:val="32"/>
                <w:lang w:val="en-US" w:eastAsia="zh-CN" w:bidi="ar-SA"/>
              </w:rPr>
            </w:pPr>
            <w:r>
              <w:rPr>
                <w:rFonts w:hint="eastAsia" w:ascii="Arial" w:hAnsi="Arial" w:eastAsia="宋体" w:cs="Arial"/>
                <w:i w:val="0"/>
                <w:iCs w:val="0"/>
                <w:color w:val="000000"/>
                <w:kern w:val="0"/>
                <w:sz w:val="20"/>
                <w:szCs w:val="20"/>
                <w:u w:val="none"/>
                <w:lang w:val="en-US" w:eastAsia="zh-CN" w:bidi="ar"/>
              </w:rPr>
              <w:t>14.16</w:t>
            </w:r>
          </w:p>
        </w:tc>
        <w:tc>
          <w:tcPr>
            <w:tcW w:w="375" w:type="dxa"/>
            <w:noWrap w:val="0"/>
            <w:vAlign w:val="center"/>
          </w:tcPr>
          <w:p>
            <w:pPr>
              <w:spacing w:line="700" w:lineRule="exact"/>
              <w:jc w:val="center"/>
              <w:rPr>
                <w:rFonts w:ascii="Calibri" w:hAnsi="Calibri" w:eastAsia="楷体"/>
                <w:kern w:val="0"/>
                <w:szCs w:val="32"/>
              </w:rPr>
            </w:pPr>
          </w:p>
        </w:tc>
        <w:tc>
          <w:tcPr>
            <w:tcW w:w="465" w:type="dxa"/>
            <w:noWrap w:val="0"/>
            <w:vAlign w:val="center"/>
          </w:tcPr>
          <w:p>
            <w:pPr>
              <w:spacing w:line="700" w:lineRule="exact"/>
              <w:jc w:val="center"/>
              <w:rPr>
                <w:rFonts w:ascii="Calibri" w:hAnsi="Calibri" w:eastAsia="楷体"/>
                <w:kern w:val="0"/>
                <w:szCs w:val="32"/>
              </w:rPr>
            </w:pPr>
          </w:p>
        </w:tc>
        <w:tc>
          <w:tcPr>
            <w:tcW w:w="450"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7" w:hRule="exact"/>
          <w:jc w:val="center"/>
        </w:trPr>
        <w:tc>
          <w:tcPr>
            <w:tcW w:w="759" w:type="dxa"/>
            <w:noWrap w:val="0"/>
            <w:vAlign w:val="center"/>
          </w:tcPr>
          <w:p>
            <w:pPr>
              <w:jc w:val="left"/>
              <w:rPr>
                <w:rFonts w:hint="eastAsia" w:ascii="Calibri" w:hAnsi="Calibri" w:eastAsia="华文细黑"/>
                <w:color w:val="000000"/>
                <w:sz w:val="20"/>
                <w:szCs w:val="22"/>
              </w:rPr>
            </w:pPr>
          </w:p>
        </w:tc>
        <w:tc>
          <w:tcPr>
            <w:tcW w:w="1063" w:type="dxa"/>
            <w:noWrap w:val="0"/>
            <w:vAlign w:val="center"/>
          </w:tcPr>
          <w:p>
            <w:pPr>
              <w:jc w:val="left"/>
              <w:rPr>
                <w:rFonts w:ascii="Calibri" w:hAnsi="Calibri" w:eastAsia="华文细黑"/>
                <w:color w:val="000000"/>
                <w:sz w:val="20"/>
                <w:szCs w:val="22"/>
              </w:rPr>
            </w:pPr>
          </w:p>
        </w:tc>
        <w:tc>
          <w:tcPr>
            <w:tcW w:w="1107"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新发乡政府大学生村官工资1.3（141578）</w:t>
            </w:r>
          </w:p>
        </w:tc>
        <w:tc>
          <w:tcPr>
            <w:tcW w:w="854"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通榆县新发乡人民政府</w:t>
            </w:r>
          </w:p>
        </w:tc>
        <w:tc>
          <w:tcPr>
            <w:tcW w:w="690" w:type="dxa"/>
            <w:noWrap w:val="0"/>
            <w:vAlign w:val="center"/>
          </w:tcPr>
          <w:p>
            <w:pPr>
              <w:keepNext w:val="0"/>
              <w:keepLines w:val="0"/>
              <w:widowControl/>
              <w:suppressLineNumbers w:val="0"/>
              <w:jc w:val="right"/>
              <w:textAlignment w:val="center"/>
              <w:rPr>
                <w:rFonts w:hint="default" w:ascii="Calibri" w:hAnsi="Calibri" w:eastAsia="楷体"/>
                <w:kern w:val="0"/>
                <w:szCs w:val="32"/>
                <w:lang w:val="en-US"/>
              </w:rPr>
            </w:pPr>
            <w:r>
              <w:rPr>
                <w:rFonts w:hint="default" w:ascii="Arial" w:hAnsi="Arial" w:eastAsia="宋体" w:cs="Arial"/>
                <w:i w:val="0"/>
                <w:iCs w:val="0"/>
                <w:color w:val="000000"/>
                <w:kern w:val="0"/>
                <w:sz w:val="20"/>
                <w:szCs w:val="20"/>
                <w:u w:val="none"/>
                <w:lang w:val="en-US" w:eastAsia="zh-CN" w:bidi="ar"/>
              </w:rPr>
              <w:t>14</w:t>
            </w:r>
            <w:r>
              <w:rPr>
                <w:rFonts w:hint="eastAsia" w:ascii="Arial" w:hAnsi="Arial" w:eastAsia="宋体" w:cs="Arial"/>
                <w:i w:val="0"/>
                <w:iCs w:val="0"/>
                <w:color w:val="000000"/>
                <w:kern w:val="0"/>
                <w:sz w:val="20"/>
                <w:szCs w:val="20"/>
                <w:u w:val="none"/>
                <w:lang w:val="en-US" w:eastAsia="zh-CN" w:bidi="ar"/>
              </w:rPr>
              <w:t>.16</w:t>
            </w:r>
          </w:p>
        </w:tc>
        <w:tc>
          <w:tcPr>
            <w:tcW w:w="720" w:type="dxa"/>
            <w:noWrap w:val="0"/>
            <w:vAlign w:val="center"/>
          </w:tcPr>
          <w:p>
            <w:pPr>
              <w:keepNext w:val="0"/>
              <w:keepLines w:val="0"/>
              <w:widowControl/>
              <w:suppressLineNumbers w:val="0"/>
              <w:jc w:val="right"/>
              <w:textAlignment w:val="center"/>
              <w:rPr>
                <w:rFonts w:hint="default" w:ascii="Calibri" w:hAnsi="Calibri" w:eastAsia="楷体" w:cs="Times New Roman"/>
                <w:kern w:val="0"/>
                <w:sz w:val="32"/>
                <w:szCs w:val="32"/>
                <w:lang w:val="en-US" w:eastAsia="zh-CN" w:bidi="ar-SA"/>
              </w:rPr>
            </w:pPr>
            <w:r>
              <w:rPr>
                <w:rFonts w:hint="default" w:ascii="Arial" w:hAnsi="Arial" w:eastAsia="宋体" w:cs="Arial"/>
                <w:i w:val="0"/>
                <w:iCs w:val="0"/>
                <w:color w:val="000000"/>
                <w:kern w:val="0"/>
                <w:sz w:val="20"/>
                <w:szCs w:val="20"/>
                <w:u w:val="none"/>
                <w:lang w:val="en-US" w:eastAsia="zh-CN" w:bidi="ar"/>
              </w:rPr>
              <w:t>14</w:t>
            </w:r>
            <w:r>
              <w:rPr>
                <w:rFonts w:hint="eastAsia" w:ascii="Arial" w:hAnsi="Arial" w:eastAsia="宋体" w:cs="Arial"/>
                <w:i w:val="0"/>
                <w:iCs w:val="0"/>
                <w:color w:val="000000"/>
                <w:kern w:val="0"/>
                <w:sz w:val="20"/>
                <w:szCs w:val="20"/>
                <w:u w:val="none"/>
                <w:lang w:val="en-US" w:eastAsia="zh-CN" w:bidi="ar"/>
              </w:rPr>
              <w:t>.16</w:t>
            </w:r>
          </w:p>
        </w:tc>
        <w:tc>
          <w:tcPr>
            <w:tcW w:w="375" w:type="dxa"/>
            <w:noWrap w:val="0"/>
            <w:vAlign w:val="center"/>
          </w:tcPr>
          <w:p>
            <w:pPr>
              <w:spacing w:line="700" w:lineRule="exact"/>
              <w:jc w:val="center"/>
              <w:rPr>
                <w:rFonts w:ascii="Calibri" w:hAnsi="Calibri" w:eastAsia="楷体"/>
                <w:kern w:val="0"/>
                <w:szCs w:val="32"/>
              </w:rPr>
            </w:pPr>
          </w:p>
        </w:tc>
        <w:tc>
          <w:tcPr>
            <w:tcW w:w="465" w:type="dxa"/>
            <w:noWrap w:val="0"/>
            <w:vAlign w:val="center"/>
          </w:tcPr>
          <w:p>
            <w:pPr>
              <w:spacing w:line="700" w:lineRule="exact"/>
              <w:jc w:val="center"/>
              <w:rPr>
                <w:rFonts w:ascii="Calibri" w:hAnsi="Calibri" w:eastAsia="楷体"/>
                <w:kern w:val="0"/>
                <w:szCs w:val="32"/>
              </w:rPr>
            </w:pPr>
          </w:p>
        </w:tc>
        <w:tc>
          <w:tcPr>
            <w:tcW w:w="450"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2" w:hRule="exact"/>
          <w:jc w:val="center"/>
        </w:trPr>
        <w:tc>
          <w:tcPr>
            <w:tcW w:w="759" w:type="dxa"/>
            <w:noWrap w:val="0"/>
            <w:vAlign w:val="center"/>
          </w:tcPr>
          <w:p>
            <w:pPr>
              <w:keepNext w:val="0"/>
              <w:keepLines w:val="0"/>
              <w:widowControl/>
              <w:suppressLineNumbers w:val="0"/>
              <w:jc w:val="left"/>
              <w:textAlignment w:val="center"/>
              <w:rPr>
                <w:rFonts w:hint="eastAsia" w:ascii="Calibri" w:hAnsi="Calibri" w:eastAsia="华文细黑"/>
                <w:color w:val="000000"/>
                <w:sz w:val="20"/>
                <w:szCs w:val="22"/>
              </w:rPr>
            </w:pPr>
            <w:r>
              <w:rPr>
                <w:rFonts w:hint="default" w:ascii="Arial" w:hAnsi="Arial" w:eastAsia="宋体" w:cs="Arial"/>
                <w:i w:val="0"/>
                <w:iCs w:val="0"/>
                <w:color w:val="000000"/>
                <w:kern w:val="0"/>
                <w:sz w:val="20"/>
                <w:szCs w:val="20"/>
                <w:u w:val="none"/>
                <w:lang w:val="en-US" w:eastAsia="zh-CN" w:bidi="ar"/>
              </w:rPr>
              <w:t>专项业务支出</w:t>
            </w:r>
          </w:p>
        </w:tc>
        <w:tc>
          <w:tcPr>
            <w:tcW w:w="1063" w:type="dxa"/>
            <w:noWrap w:val="0"/>
            <w:vAlign w:val="center"/>
          </w:tcPr>
          <w:p>
            <w:pPr>
              <w:keepNext w:val="0"/>
              <w:keepLines w:val="0"/>
              <w:widowControl/>
              <w:suppressLineNumbers w:val="0"/>
              <w:jc w:val="left"/>
              <w:textAlignment w:val="center"/>
              <w:rPr>
                <w:rFonts w:ascii="Calibri" w:hAnsi="Calibri" w:eastAsia="华文细黑"/>
                <w:color w:val="000000"/>
                <w:sz w:val="20"/>
                <w:szCs w:val="22"/>
              </w:rPr>
            </w:pPr>
            <w:r>
              <w:rPr>
                <w:rFonts w:hint="default" w:ascii="Arial" w:hAnsi="Arial" w:eastAsia="宋体" w:cs="Arial"/>
                <w:i w:val="0"/>
                <w:iCs w:val="0"/>
                <w:color w:val="000000"/>
                <w:kern w:val="0"/>
                <w:sz w:val="20"/>
                <w:szCs w:val="20"/>
                <w:u w:val="none"/>
                <w:lang w:val="en-US" w:eastAsia="zh-CN" w:bidi="ar"/>
              </w:rPr>
              <w:t>新发乡辅助岗位人员工资1.5（266507）</w:t>
            </w:r>
          </w:p>
        </w:tc>
        <w:tc>
          <w:tcPr>
            <w:tcW w:w="1107" w:type="dxa"/>
            <w:noWrap w:val="0"/>
            <w:vAlign w:val="center"/>
          </w:tcPr>
          <w:p>
            <w:pPr>
              <w:jc w:val="left"/>
              <w:rPr>
                <w:rFonts w:ascii="Calibri" w:hAnsi="Calibri" w:eastAsia="楷体"/>
                <w:kern w:val="0"/>
                <w:szCs w:val="32"/>
              </w:rPr>
            </w:pPr>
          </w:p>
        </w:tc>
        <w:tc>
          <w:tcPr>
            <w:tcW w:w="854" w:type="dxa"/>
            <w:noWrap w:val="0"/>
            <w:vAlign w:val="center"/>
          </w:tcPr>
          <w:p>
            <w:pPr>
              <w:jc w:val="left"/>
              <w:rPr>
                <w:rFonts w:ascii="Calibri" w:hAnsi="Calibri" w:eastAsia="楷体"/>
                <w:kern w:val="0"/>
                <w:szCs w:val="32"/>
              </w:rPr>
            </w:pPr>
          </w:p>
        </w:tc>
        <w:tc>
          <w:tcPr>
            <w:tcW w:w="690" w:type="dxa"/>
            <w:noWrap w:val="0"/>
            <w:vAlign w:val="center"/>
          </w:tcPr>
          <w:p>
            <w:pPr>
              <w:keepNext w:val="0"/>
              <w:keepLines w:val="0"/>
              <w:widowControl/>
              <w:suppressLineNumbers w:val="0"/>
              <w:jc w:val="right"/>
              <w:textAlignment w:val="center"/>
              <w:rPr>
                <w:rFonts w:hint="default" w:ascii="Calibri" w:hAnsi="Calibri" w:eastAsia="楷体"/>
                <w:kern w:val="0"/>
                <w:szCs w:val="32"/>
                <w:lang w:val="en-US"/>
              </w:rPr>
            </w:pPr>
            <w:r>
              <w:rPr>
                <w:rFonts w:hint="default" w:ascii="Arial" w:hAnsi="Arial" w:eastAsia="宋体" w:cs="Arial"/>
                <w:i w:val="0"/>
                <w:iCs w:val="0"/>
                <w:color w:val="000000"/>
                <w:kern w:val="0"/>
                <w:sz w:val="20"/>
                <w:szCs w:val="20"/>
                <w:u w:val="none"/>
                <w:lang w:val="en-US" w:eastAsia="zh-CN" w:bidi="ar"/>
              </w:rPr>
              <w:t>26</w:t>
            </w:r>
            <w:r>
              <w:rPr>
                <w:rFonts w:hint="eastAsia" w:ascii="Arial" w:hAnsi="Arial" w:eastAsia="宋体" w:cs="Arial"/>
                <w:i w:val="0"/>
                <w:iCs w:val="0"/>
                <w:color w:val="000000"/>
                <w:kern w:val="0"/>
                <w:sz w:val="20"/>
                <w:szCs w:val="20"/>
                <w:u w:val="none"/>
                <w:lang w:val="en-US" w:eastAsia="zh-CN" w:bidi="ar"/>
              </w:rPr>
              <w:t>.65</w:t>
            </w:r>
          </w:p>
        </w:tc>
        <w:tc>
          <w:tcPr>
            <w:tcW w:w="720" w:type="dxa"/>
            <w:noWrap w:val="0"/>
            <w:vAlign w:val="center"/>
          </w:tcPr>
          <w:p>
            <w:pPr>
              <w:keepNext w:val="0"/>
              <w:keepLines w:val="0"/>
              <w:widowControl/>
              <w:suppressLineNumbers w:val="0"/>
              <w:jc w:val="right"/>
              <w:textAlignment w:val="center"/>
              <w:rPr>
                <w:rFonts w:hint="default" w:ascii="Calibri" w:hAnsi="Calibri" w:eastAsia="楷体" w:cs="Times New Roman"/>
                <w:kern w:val="0"/>
                <w:sz w:val="32"/>
                <w:szCs w:val="32"/>
                <w:lang w:val="en-US" w:eastAsia="zh-CN" w:bidi="ar-SA"/>
              </w:rPr>
            </w:pPr>
            <w:r>
              <w:rPr>
                <w:rFonts w:hint="default" w:ascii="Arial" w:hAnsi="Arial" w:eastAsia="宋体" w:cs="Arial"/>
                <w:i w:val="0"/>
                <w:iCs w:val="0"/>
                <w:color w:val="000000"/>
                <w:kern w:val="0"/>
                <w:sz w:val="20"/>
                <w:szCs w:val="20"/>
                <w:u w:val="none"/>
                <w:lang w:val="en-US" w:eastAsia="zh-CN" w:bidi="ar"/>
              </w:rPr>
              <w:t>26</w:t>
            </w:r>
            <w:r>
              <w:rPr>
                <w:rFonts w:hint="eastAsia" w:ascii="Arial" w:hAnsi="Arial" w:eastAsia="宋体" w:cs="Arial"/>
                <w:i w:val="0"/>
                <w:iCs w:val="0"/>
                <w:color w:val="000000"/>
                <w:kern w:val="0"/>
                <w:sz w:val="20"/>
                <w:szCs w:val="20"/>
                <w:u w:val="none"/>
                <w:lang w:val="en-US" w:eastAsia="zh-CN" w:bidi="ar"/>
              </w:rPr>
              <w:t>.65</w:t>
            </w:r>
          </w:p>
        </w:tc>
        <w:tc>
          <w:tcPr>
            <w:tcW w:w="375" w:type="dxa"/>
            <w:noWrap w:val="0"/>
            <w:vAlign w:val="center"/>
          </w:tcPr>
          <w:p>
            <w:pPr>
              <w:spacing w:line="700" w:lineRule="exact"/>
              <w:jc w:val="center"/>
              <w:rPr>
                <w:rFonts w:ascii="Calibri" w:hAnsi="Calibri" w:eastAsia="楷体"/>
                <w:kern w:val="0"/>
                <w:szCs w:val="32"/>
              </w:rPr>
            </w:pPr>
          </w:p>
        </w:tc>
        <w:tc>
          <w:tcPr>
            <w:tcW w:w="465" w:type="dxa"/>
            <w:noWrap w:val="0"/>
            <w:vAlign w:val="center"/>
          </w:tcPr>
          <w:p>
            <w:pPr>
              <w:spacing w:line="700" w:lineRule="exact"/>
              <w:jc w:val="center"/>
              <w:rPr>
                <w:rFonts w:ascii="Calibri" w:hAnsi="Calibri" w:eastAsia="楷体"/>
                <w:kern w:val="0"/>
                <w:szCs w:val="32"/>
              </w:rPr>
            </w:pPr>
          </w:p>
        </w:tc>
        <w:tc>
          <w:tcPr>
            <w:tcW w:w="450"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2" w:hRule="exact"/>
          <w:jc w:val="center"/>
        </w:trPr>
        <w:tc>
          <w:tcPr>
            <w:tcW w:w="759" w:type="dxa"/>
            <w:noWrap w:val="0"/>
            <w:vAlign w:val="center"/>
          </w:tcPr>
          <w:p>
            <w:pPr>
              <w:jc w:val="left"/>
              <w:rPr>
                <w:rFonts w:hint="eastAsia" w:ascii="Calibri" w:hAnsi="Calibri" w:eastAsia="华文细黑"/>
                <w:color w:val="000000"/>
                <w:sz w:val="20"/>
                <w:szCs w:val="22"/>
              </w:rPr>
            </w:pPr>
          </w:p>
        </w:tc>
        <w:tc>
          <w:tcPr>
            <w:tcW w:w="1063" w:type="dxa"/>
            <w:noWrap w:val="0"/>
            <w:vAlign w:val="center"/>
          </w:tcPr>
          <w:p>
            <w:pPr>
              <w:jc w:val="left"/>
              <w:rPr>
                <w:rFonts w:ascii="Calibri" w:hAnsi="Calibri" w:eastAsia="华文细黑"/>
                <w:color w:val="000000"/>
                <w:sz w:val="20"/>
                <w:szCs w:val="22"/>
              </w:rPr>
            </w:pPr>
          </w:p>
        </w:tc>
        <w:tc>
          <w:tcPr>
            <w:tcW w:w="1107"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新发乡辅助岗位人员工资1.5（266507）</w:t>
            </w:r>
          </w:p>
        </w:tc>
        <w:tc>
          <w:tcPr>
            <w:tcW w:w="854"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通榆县新发乡人民政府</w:t>
            </w:r>
          </w:p>
        </w:tc>
        <w:tc>
          <w:tcPr>
            <w:tcW w:w="690" w:type="dxa"/>
            <w:noWrap w:val="0"/>
            <w:vAlign w:val="center"/>
          </w:tcPr>
          <w:p>
            <w:pPr>
              <w:keepNext w:val="0"/>
              <w:keepLines w:val="0"/>
              <w:widowControl/>
              <w:suppressLineNumbers w:val="0"/>
              <w:jc w:val="righ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26</w:t>
            </w:r>
            <w:r>
              <w:rPr>
                <w:rFonts w:hint="eastAsia" w:ascii="Arial" w:hAnsi="Arial" w:eastAsia="宋体" w:cs="Arial"/>
                <w:i w:val="0"/>
                <w:iCs w:val="0"/>
                <w:color w:val="000000"/>
                <w:kern w:val="0"/>
                <w:sz w:val="20"/>
                <w:szCs w:val="20"/>
                <w:u w:val="none"/>
                <w:lang w:val="en-US" w:eastAsia="zh-CN" w:bidi="ar"/>
              </w:rPr>
              <w:t>.65</w:t>
            </w:r>
          </w:p>
        </w:tc>
        <w:tc>
          <w:tcPr>
            <w:tcW w:w="720" w:type="dxa"/>
            <w:noWrap w:val="0"/>
            <w:vAlign w:val="center"/>
          </w:tcPr>
          <w:p>
            <w:pPr>
              <w:keepNext w:val="0"/>
              <w:keepLines w:val="0"/>
              <w:widowControl/>
              <w:suppressLineNumbers w:val="0"/>
              <w:jc w:val="right"/>
              <w:textAlignment w:val="center"/>
              <w:rPr>
                <w:rFonts w:ascii="Calibri" w:hAnsi="Calibri" w:eastAsia="楷体" w:cs="Times New Roman"/>
                <w:kern w:val="0"/>
                <w:sz w:val="32"/>
                <w:szCs w:val="32"/>
                <w:lang w:val="en-US" w:eastAsia="zh-CN" w:bidi="ar-SA"/>
              </w:rPr>
            </w:pPr>
            <w:r>
              <w:rPr>
                <w:rFonts w:hint="default" w:ascii="Arial" w:hAnsi="Arial" w:eastAsia="宋体" w:cs="Arial"/>
                <w:i w:val="0"/>
                <w:iCs w:val="0"/>
                <w:color w:val="000000"/>
                <w:kern w:val="0"/>
                <w:sz w:val="20"/>
                <w:szCs w:val="20"/>
                <w:u w:val="none"/>
                <w:lang w:val="en-US" w:eastAsia="zh-CN" w:bidi="ar"/>
              </w:rPr>
              <w:t>26</w:t>
            </w:r>
            <w:r>
              <w:rPr>
                <w:rFonts w:hint="eastAsia" w:ascii="Arial" w:hAnsi="Arial" w:eastAsia="宋体" w:cs="Arial"/>
                <w:i w:val="0"/>
                <w:iCs w:val="0"/>
                <w:color w:val="000000"/>
                <w:kern w:val="0"/>
                <w:sz w:val="20"/>
                <w:szCs w:val="20"/>
                <w:u w:val="none"/>
                <w:lang w:val="en-US" w:eastAsia="zh-CN" w:bidi="ar"/>
              </w:rPr>
              <w:t>.65</w:t>
            </w:r>
          </w:p>
        </w:tc>
        <w:tc>
          <w:tcPr>
            <w:tcW w:w="375" w:type="dxa"/>
            <w:noWrap w:val="0"/>
            <w:vAlign w:val="center"/>
          </w:tcPr>
          <w:p>
            <w:pPr>
              <w:spacing w:line="700" w:lineRule="exact"/>
              <w:jc w:val="center"/>
              <w:rPr>
                <w:rFonts w:ascii="Calibri" w:hAnsi="Calibri" w:eastAsia="楷体"/>
                <w:kern w:val="0"/>
                <w:szCs w:val="32"/>
              </w:rPr>
            </w:pPr>
          </w:p>
        </w:tc>
        <w:tc>
          <w:tcPr>
            <w:tcW w:w="465" w:type="dxa"/>
            <w:noWrap w:val="0"/>
            <w:vAlign w:val="center"/>
          </w:tcPr>
          <w:p>
            <w:pPr>
              <w:spacing w:line="700" w:lineRule="exact"/>
              <w:jc w:val="center"/>
              <w:rPr>
                <w:rFonts w:ascii="Calibri" w:hAnsi="Calibri" w:eastAsia="楷体"/>
                <w:kern w:val="0"/>
                <w:szCs w:val="32"/>
              </w:rPr>
            </w:pPr>
          </w:p>
        </w:tc>
        <w:tc>
          <w:tcPr>
            <w:tcW w:w="450"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exact"/>
          <w:jc w:val="center"/>
        </w:trPr>
        <w:tc>
          <w:tcPr>
            <w:tcW w:w="759" w:type="dxa"/>
            <w:noWrap w:val="0"/>
            <w:vAlign w:val="center"/>
          </w:tcPr>
          <w:p>
            <w:pPr>
              <w:keepNext w:val="0"/>
              <w:keepLines w:val="0"/>
              <w:widowControl/>
              <w:suppressLineNumbers w:val="0"/>
              <w:jc w:val="left"/>
              <w:textAlignment w:val="center"/>
              <w:rPr>
                <w:rFonts w:hint="eastAsia" w:ascii="Calibri" w:hAnsi="Calibri" w:eastAsia="华文细黑"/>
                <w:color w:val="000000"/>
                <w:sz w:val="20"/>
                <w:szCs w:val="22"/>
              </w:rPr>
            </w:pPr>
            <w:r>
              <w:rPr>
                <w:rFonts w:hint="default" w:ascii="Arial" w:hAnsi="Arial" w:eastAsia="宋体" w:cs="Arial"/>
                <w:i w:val="0"/>
                <w:iCs w:val="0"/>
                <w:color w:val="000000"/>
                <w:kern w:val="0"/>
                <w:sz w:val="20"/>
                <w:szCs w:val="20"/>
                <w:u w:val="none"/>
                <w:lang w:val="en-US" w:eastAsia="zh-CN" w:bidi="ar"/>
              </w:rPr>
              <w:t>专项业务支出</w:t>
            </w:r>
          </w:p>
        </w:tc>
        <w:tc>
          <w:tcPr>
            <w:tcW w:w="1063" w:type="dxa"/>
            <w:noWrap w:val="0"/>
            <w:vAlign w:val="center"/>
          </w:tcPr>
          <w:p>
            <w:pPr>
              <w:keepNext w:val="0"/>
              <w:keepLines w:val="0"/>
              <w:widowControl/>
              <w:suppressLineNumbers w:val="0"/>
              <w:jc w:val="left"/>
              <w:textAlignment w:val="center"/>
              <w:rPr>
                <w:rFonts w:ascii="Calibri" w:hAnsi="Calibri" w:eastAsia="华文细黑"/>
                <w:color w:val="000000"/>
                <w:sz w:val="20"/>
                <w:szCs w:val="22"/>
              </w:rPr>
            </w:pPr>
            <w:r>
              <w:rPr>
                <w:rFonts w:hint="default" w:ascii="Arial" w:hAnsi="Arial" w:eastAsia="宋体" w:cs="Arial"/>
                <w:i w:val="0"/>
                <w:iCs w:val="0"/>
                <w:color w:val="000000"/>
                <w:kern w:val="0"/>
                <w:sz w:val="20"/>
                <w:szCs w:val="20"/>
                <w:u w:val="none"/>
                <w:lang w:val="en-US" w:eastAsia="zh-CN" w:bidi="ar"/>
              </w:rPr>
              <w:t>新发乡驻村工作队生活补贴1.3（72000）</w:t>
            </w:r>
          </w:p>
        </w:tc>
        <w:tc>
          <w:tcPr>
            <w:tcW w:w="1107" w:type="dxa"/>
            <w:noWrap w:val="0"/>
            <w:vAlign w:val="center"/>
          </w:tcPr>
          <w:p>
            <w:pPr>
              <w:jc w:val="left"/>
              <w:rPr>
                <w:rFonts w:ascii="Calibri" w:hAnsi="Calibri" w:eastAsia="楷体"/>
                <w:kern w:val="0"/>
                <w:szCs w:val="32"/>
              </w:rPr>
            </w:pPr>
          </w:p>
        </w:tc>
        <w:tc>
          <w:tcPr>
            <w:tcW w:w="854" w:type="dxa"/>
            <w:noWrap w:val="0"/>
            <w:vAlign w:val="center"/>
          </w:tcPr>
          <w:p>
            <w:pPr>
              <w:jc w:val="left"/>
              <w:rPr>
                <w:rFonts w:ascii="Calibri" w:hAnsi="Calibri" w:eastAsia="楷体"/>
                <w:kern w:val="0"/>
                <w:szCs w:val="32"/>
              </w:rPr>
            </w:pPr>
          </w:p>
        </w:tc>
        <w:tc>
          <w:tcPr>
            <w:tcW w:w="690" w:type="dxa"/>
            <w:noWrap w:val="0"/>
            <w:vAlign w:val="center"/>
          </w:tcPr>
          <w:p>
            <w:pPr>
              <w:keepNext w:val="0"/>
              <w:keepLines w:val="0"/>
              <w:widowControl/>
              <w:suppressLineNumbers w:val="0"/>
              <w:jc w:val="righ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7</w:t>
            </w:r>
            <w:r>
              <w:rPr>
                <w:rFonts w:hint="eastAsia" w:ascii="Arial" w:hAnsi="Arial" w:eastAsia="宋体" w:cs="Arial"/>
                <w:i w:val="0"/>
                <w:iCs w:val="0"/>
                <w:color w:val="000000"/>
                <w:kern w:val="0"/>
                <w:sz w:val="20"/>
                <w:szCs w:val="20"/>
                <w:u w:val="none"/>
                <w:lang w:val="en-US" w:eastAsia="zh-CN" w:bidi="ar"/>
              </w:rPr>
              <w:t>.2</w:t>
            </w:r>
          </w:p>
        </w:tc>
        <w:tc>
          <w:tcPr>
            <w:tcW w:w="720" w:type="dxa"/>
            <w:noWrap w:val="0"/>
            <w:vAlign w:val="center"/>
          </w:tcPr>
          <w:p>
            <w:pPr>
              <w:keepNext w:val="0"/>
              <w:keepLines w:val="0"/>
              <w:widowControl/>
              <w:suppressLineNumbers w:val="0"/>
              <w:jc w:val="right"/>
              <w:textAlignment w:val="center"/>
              <w:rPr>
                <w:rFonts w:ascii="Calibri" w:hAnsi="Calibri" w:eastAsia="楷体" w:cs="Times New Roman"/>
                <w:kern w:val="0"/>
                <w:sz w:val="32"/>
                <w:szCs w:val="32"/>
                <w:lang w:val="en-US" w:eastAsia="zh-CN" w:bidi="ar-SA"/>
              </w:rPr>
            </w:pPr>
            <w:r>
              <w:rPr>
                <w:rFonts w:hint="default" w:ascii="Arial" w:hAnsi="Arial" w:eastAsia="宋体" w:cs="Arial"/>
                <w:i w:val="0"/>
                <w:iCs w:val="0"/>
                <w:color w:val="000000"/>
                <w:kern w:val="0"/>
                <w:sz w:val="20"/>
                <w:szCs w:val="20"/>
                <w:u w:val="none"/>
                <w:lang w:val="en-US" w:eastAsia="zh-CN" w:bidi="ar"/>
              </w:rPr>
              <w:t>7</w:t>
            </w:r>
            <w:r>
              <w:rPr>
                <w:rFonts w:hint="eastAsia" w:ascii="Arial" w:hAnsi="Arial" w:eastAsia="宋体" w:cs="Arial"/>
                <w:i w:val="0"/>
                <w:iCs w:val="0"/>
                <w:color w:val="000000"/>
                <w:kern w:val="0"/>
                <w:sz w:val="20"/>
                <w:szCs w:val="20"/>
                <w:u w:val="none"/>
                <w:lang w:val="en-US" w:eastAsia="zh-CN" w:bidi="ar"/>
              </w:rPr>
              <w:t>.2</w:t>
            </w:r>
          </w:p>
        </w:tc>
        <w:tc>
          <w:tcPr>
            <w:tcW w:w="375" w:type="dxa"/>
            <w:noWrap w:val="0"/>
            <w:vAlign w:val="center"/>
          </w:tcPr>
          <w:p>
            <w:pPr>
              <w:spacing w:line="700" w:lineRule="exact"/>
              <w:jc w:val="center"/>
              <w:rPr>
                <w:rFonts w:ascii="Calibri" w:hAnsi="Calibri" w:eastAsia="楷体"/>
                <w:kern w:val="0"/>
                <w:szCs w:val="32"/>
              </w:rPr>
            </w:pPr>
          </w:p>
        </w:tc>
        <w:tc>
          <w:tcPr>
            <w:tcW w:w="465" w:type="dxa"/>
            <w:noWrap w:val="0"/>
            <w:vAlign w:val="center"/>
          </w:tcPr>
          <w:p>
            <w:pPr>
              <w:spacing w:line="700" w:lineRule="exact"/>
              <w:jc w:val="center"/>
              <w:rPr>
                <w:rFonts w:ascii="Calibri" w:hAnsi="Calibri" w:eastAsia="楷体"/>
                <w:kern w:val="0"/>
                <w:szCs w:val="32"/>
              </w:rPr>
            </w:pPr>
          </w:p>
        </w:tc>
        <w:tc>
          <w:tcPr>
            <w:tcW w:w="450"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2" w:hRule="exact"/>
          <w:jc w:val="center"/>
        </w:trPr>
        <w:tc>
          <w:tcPr>
            <w:tcW w:w="759" w:type="dxa"/>
            <w:noWrap w:val="0"/>
            <w:vAlign w:val="center"/>
          </w:tcPr>
          <w:p>
            <w:pPr>
              <w:jc w:val="left"/>
              <w:rPr>
                <w:rFonts w:hint="eastAsia" w:ascii="Calibri" w:hAnsi="Calibri" w:eastAsia="华文细黑"/>
                <w:color w:val="000000"/>
                <w:sz w:val="20"/>
                <w:szCs w:val="22"/>
              </w:rPr>
            </w:pPr>
          </w:p>
        </w:tc>
        <w:tc>
          <w:tcPr>
            <w:tcW w:w="1063" w:type="dxa"/>
            <w:noWrap w:val="0"/>
            <w:vAlign w:val="center"/>
          </w:tcPr>
          <w:p>
            <w:pPr>
              <w:jc w:val="left"/>
              <w:rPr>
                <w:rFonts w:ascii="Calibri" w:hAnsi="Calibri" w:eastAsia="华文细黑"/>
                <w:color w:val="000000"/>
                <w:sz w:val="20"/>
                <w:szCs w:val="22"/>
              </w:rPr>
            </w:pPr>
          </w:p>
        </w:tc>
        <w:tc>
          <w:tcPr>
            <w:tcW w:w="1107"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新发乡驻村工作队生活补贴1.3（72000）</w:t>
            </w:r>
          </w:p>
        </w:tc>
        <w:tc>
          <w:tcPr>
            <w:tcW w:w="854" w:type="dxa"/>
            <w:noWrap w:val="0"/>
            <w:vAlign w:val="center"/>
          </w:tcPr>
          <w:p>
            <w:pPr>
              <w:keepNext w:val="0"/>
              <w:keepLines w:val="0"/>
              <w:widowControl/>
              <w:suppressLineNumbers w:val="0"/>
              <w:jc w:val="lef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通榆县新发乡人民政府</w:t>
            </w:r>
          </w:p>
        </w:tc>
        <w:tc>
          <w:tcPr>
            <w:tcW w:w="690" w:type="dxa"/>
            <w:noWrap w:val="0"/>
            <w:vAlign w:val="center"/>
          </w:tcPr>
          <w:p>
            <w:pPr>
              <w:keepNext w:val="0"/>
              <w:keepLines w:val="0"/>
              <w:widowControl/>
              <w:suppressLineNumbers w:val="0"/>
              <w:jc w:val="right"/>
              <w:textAlignment w:val="center"/>
              <w:rPr>
                <w:rFonts w:ascii="Calibri" w:hAnsi="Calibri" w:eastAsia="楷体"/>
                <w:kern w:val="0"/>
                <w:szCs w:val="32"/>
              </w:rPr>
            </w:pPr>
            <w:r>
              <w:rPr>
                <w:rFonts w:hint="default" w:ascii="Arial" w:hAnsi="Arial" w:eastAsia="宋体" w:cs="Arial"/>
                <w:i w:val="0"/>
                <w:iCs w:val="0"/>
                <w:color w:val="000000"/>
                <w:kern w:val="0"/>
                <w:sz w:val="20"/>
                <w:szCs w:val="20"/>
                <w:u w:val="none"/>
                <w:lang w:val="en-US" w:eastAsia="zh-CN" w:bidi="ar"/>
              </w:rPr>
              <w:t>7</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2</w:t>
            </w:r>
          </w:p>
        </w:tc>
        <w:tc>
          <w:tcPr>
            <w:tcW w:w="720" w:type="dxa"/>
            <w:noWrap w:val="0"/>
            <w:vAlign w:val="center"/>
          </w:tcPr>
          <w:p>
            <w:pPr>
              <w:keepNext w:val="0"/>
              <w:keepLines w:val="0"/>
              <w:widowControl/>
              <w:suppressLineNumbers w:val="0"/>
              <w:jc w:val="right"/>
              <w:textAlignment w:val="center"/>
              <w:rPr>
                <w:rFonts w:ascii="Calibri" w:hAnsi="Calibri" w:eastAsia="楷体" w:cs="Times New Roman"/>
                <w:kern w:val="0"/>
                <w:sz w:val="32"/>
                <w:szCs w:val="32"/>
                <w:lang w:val="en-US" w:eastAsia="zh-CN" w:bidi="ar-SA"/>
              </w:rPr>
            </w:pPr>
            <w:r>
              <w:rPr>
                <w:rFonts w:hint="default" w:ascii="Arial" w:hAnsi="Arial" w:eastAsia="宋体" w:cs="Arial"/>
                <w:i w:val="0"/>
                <w:iCs w:val="0"/>
                <w:color w:val="000000"/>
                <w:kern w:val="0"/>
                <w:sz w:val="20"/>
                <w:szCs w:val="20"/>
                <w:u w:val="none"/>
                <w:lang w:val="en-US" w:eastAsia="zh-CN" w:bidi="ar"/>
              </w:rPr>
              <w:t>7</w:t>
            </w:r>
            <w:r>
              <w:rPr>
                <w:rFonts w:hint="eastAsia" w:ascii="Arial" w:hAnsi="Arial" w:eastAsia="宋体" w:cs="Arial"/>
                <w:i w:val="0"/>
                <w:iCs w:val="0"/>
                <w:color w:val="000000"/>
                <w:kern w:val="0"/>
                <w:sz w:val="20"/>
                <w:szCs w:val="20"/>
                <w:u w:val="none"/>
                <w:lang w:val="en-US" w:eastAsia="zh-CN" w:bidi="ar"/>
              </w:rPr>
              <w:t>.</w:t>
            </w:r>
            <w:r>
              <w:rPr>
                <w:rFonts w:hint="default" w:ascii="Arial" w:hAnsi="Arial" w:eastAsia="宋体" w:cs="Arial"/>
                <w:i w:val="0"/>
                <w:iCs w:val="0"/>
                <w:color w:val="000000"/>
                <w:kern w:val="0"/>
                <w:sz w:val="20"/>
                <w:szCs w:val="20"/>
                <w:u w:val="none"/>
                <w:lang w:val="en-US" w:eastAsia="zh-CN" w:bidi="ar"/>
              </w:rPr>
              <w:t>2</w:t>
            </w:r>
          </w:p>
        </w:tc>
        <w:tc>
          <w:tcPr>
            <w:tcW w:w="375" w:type="dxa"/>
            <w:noWrap w:val="0"/>
            <w:vAlign w:val="center"/>
          </w:tcPr>
          <w:p>
            <w:pPr>
              <w:spacing w:line="700" w:lineRule="exact"/>
              <w:jc w:val="center"/>
              <w:rPr>
                <w:rFonts w:ascii="Calibri" w:hAnsi="Calibri" w:eastAsia="楷体"/>
                <w:kern w:val="0"/>
                <w:szCs w:val="32"/>
              </w:rPr>
            </w:pPr>
          </w:p>
        </w:tc>
        <w:tc>
          <w:tcPr>
            <w:tcW w:w="465" w:type="dxa"/>
            <w:noWrap w:val="0"/>
            <w:vAlign w:val="center"/>
          </w:tcPr>
          <w:p>
            <w:pPr>
              <w:spacing w:line="700" w:lineRule="exact"/>
              <w:jc w:val="center"/>
              <w:rPr>
                <w:rFonts w:ascii="Calibri" w:hAnsi="Calibri" w:eastAsia="楷体"/>
                <w:kern w:val="0"/>
                <w:szCs w:val="32"/>
              </w:rPr>
            </w:pPr>
          </w:p>
        </w:tc>
        <w:tc>
          <w:tcPr>
            <w:tcW w:w="450"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7" w:hRule="exact"/>
          <w:jc w:val="center"/>
        </w:trPr>
        <w:tc>
          <w:tcPr>
            <w:tcW w:w="759" w:type="dxa"/>
            <w:noWrap w:val="0"/>
            <w:vAlign w:val="center"/>
          </w:tcPr>
          <w:p>
            <w:pPr>
              <w:spacing w:line="240" w:lineRule="auto"/>
              <w:jc w:val="both"/>
              <w:rPr>
                <w:rFonts w:hint="eastAsia" w:ascii="Calibri" w:hAnsi="Calibri" w:eastAsia="华文细黑"/>
                <w:color w:val="000000"/>
                <w:sz w:val="20"/>
                <w:szCs w:val="22"/>
              </w:rPr>
            </w:pPr>
            <w:r>
              <w:rPr>
                <w:rFonts w:hint="default" w:ascii="Arial" w:hAnsi="Arial" w:eastAsia="宋体" w:cs="Arial"/>
                <w:i w:val="0"/>
                <w:iCs w:val="0"/>
                <w:color w:val="000000"/>
                <w:kern w:val="0"/>
                <w:sz w:val="20"/>
                <w:szCs w:val="20"/>
                <w:u w:val="none"/>
                <w:lang w:val="en-US" w:eastAsia="zh-CN" w:bidi="ar"/>
              </w:rPr>
              <w:t>专项业务支出</w:t>
            </w:r>
          </w:p>
        </w:tc>
        <w:tc>
          <w:tcPr>
            <w:tcW w:w="1063" w:type="dxa"/>
            <w:noWrap w:val="0"/>
            <w:vAlign w:val="center"/>
          </w:tcPr>
          <w:p>
            <w:pPr>
              <w:spacing w:line="240" w:lineRule="auto"/>
              <w:jc w:val="both"/>
              <w:rPr>
                <w:rFonts w:ascii="Calibri" w:hAnsi="Calibri" w:eastAsia="华文细黑"/>
                <w:color w:val="000000"/>
                <w:sz w:val="20"/>
                <w:szCs w:val="22"/>
              </w:rPr>
            </w:pPr>
            <w:r>
              <w:rPr>
                <w:rFonts w:hint="eastAsia" w:ascii="Calibri" w:hAnsi="Calibri" w:eastAsia="楷体"/>
                <w:kern w:val="0"/>
                <w:sz w:val="20"/>
                <w:szCs w:val="20"/>
              </w:rPr>
              <w:t>新发乡综合服务中心2024年村级组织运转经费</w:t>
            </w:r>
          </w:p>
        </w:tc>
        <w:tc>
          <w:tcPr>
            <w:tcW w:w="1107" w:type="dxa"/>
            <w:noWrap w:val="0"/>
            <w:vAlign w:val="center"/>
          </w:tcPr>
          <w:p>
            <w:pPr>
              <w:spacing w:line="240" w:lineRule="auto"/>
              <w:jc w:val="both"/>
              <w:rPr>
                <w:rFonts w:ascii="Calibri" w:hAnsi="Calibri" w:eastAsia="楷体"/>
                <w:kern w:val="0"/>
                <w:szCs w:val="32"/>
              </w:rPr>
            </w:pPr>
          </w:p>
        </w:tc>
        <w:tc>
          <w:tcPr>
            <w:tcW w:w="854" w:type="dxa"/>
            <w:noWrap w:val="0"/>
            <w:vAlign w:val="center"/>
          </w:tcPr>
          <w:p>
            <w:pPr>
              <w:spacing w:line="240" w:lineRule="auto"/>
              <w:jc w:val="both"/>
              <w:rPr>
                <w:rFonts w:ascii="Calibri" w:hAnsi="Calibri" w:eastAsia="楷体"/>
                <w:kern w:val="0"/>
                <w:szCs w:val="32"/>
              </w:rPr>
            </w:pPr>
          </w:p>
        </w:tc>
        <w:tc>
          <w:tcPr>
            <w:tcW w:w="690" w:type="dxa"/>
            <w:noWrap w:val="0"/>
            <w:vAlign w:val="center"/>
          </w:tcPr>
          <w:p>
            <w:pPr>
              <w:spacing w:line="240" w:lineRule="auto"/>
              <w:jc w:val="both"/>
              <w:rPr>
                <w:rFonts w:hint="default" w:ascii="Calibri" w:hAnsi="Calibri" w:eastAsia="楷体"/>
                <w:kern w:val="0"/>
                <w:sz w:val="20"/>
                <w:szCs w:val="20"/>
                <w:lang w:val="en-US" w:eastAsia="zh-CN"/>
              </w:rPr>
            </w:pPr>
            <w:r>
              <w:rPr>
                <w:rFonts w:hint="eastAsia" w:ascii="Calibri" w:hAnsi="Calibri" w:eastAsia="楷体"/>
                <w:kern w:val="0"/>
                <w:sz w:val="20"/>
                <w:szCs w:val="20"/>
                <w:lang w:val="en-US" w:eastAsia="zh-CN"/>
              </w:rPr>
              <w:t>96.42</w:t>
            </w:r>
          </w:p>
        </w:tc>
        <w:tc>
          <w:tcPr>
            <w:tcW w:w="720" w:type="dxa"/>
            <w:noWrap w:val="0"/>
            <w:vAlign w:val="center"/>
          </w:tcPr>
          <w:p>
            <w:pPr>
              <w:spacing w:line="240" w:lineRule="auto"/>
              <w:jc w:val="both"/>
              <w:rPr>
                <w:rFonts w:hint="default" w:ascii="Calibri" w:hAnsi="Calibri" w:eastAsia="楷体"/>
                <w:kern w:val="0"/>
                <w:sz w:val="20"/>
                <w:szCs w:val="20"/>
                <w:lang w:val="en-US" w:eastAsia="zh-CN"/>
              </w:rPr>
            </w:pPr>
            <w:r>
              <w:rPr>
                <w:rFonts w:hint="eastAsia" w:ascii="Calibri" w:hAnsi="Calibri" w:eastAsia="楷体"/>
                <w:kern w:val="0"/>
                <w:sz w:val="20"/>
                <w:szCs w:val="20"/>
                <w:lang w:val="en-US" w:eastAsia="zh-CN"/>
              </w:rPr>
              <w:t>96.42</w:t>
            </w:r>
          </w:p>
        </w:tc>
        <w:tc>
          <w:tcPr>
            <w:tcW w:w="375" w:type="dxa"/>
            <w:noWrap w:val="0"/>
            <w:vAlign w:val="center"/>
          </w:tcPr>
          <w:p>
            <w:pPr>
              <w:spacing w:line="240" w:lineRule="auto"/>
              <w:jc w:val="both"/>
              <w:rPr>
                <w:rFonts w:ascii="Calibri" w:hAnsi="Calibri" w:eastAsia="楷体"/>
                <w:kern w:val="0"/>
                <w:szCs w:val="32"/>
              </w:rPr>
            </w:pPr>
          </w:p>
        </w:tc>
        <w:tc>
          <w:tcPr>
            <w:tcW w:w="465" w:type="dxa"/>
            <w:noWrap w:val="0"/>
            <w:vAlign w:val="center"/>
          </w:tcPr>
          <w:p>
            <w:pPr>
              <w:spacing w:line="240" w:lineRule="auto"/>
              <w:jc w:val="both"/>
              <w:rPr>
                <w:rFonts w:ascii="Calibri" w:hAnsi="Calibri" w:eastAsia="楷体"/>
                <w:kern w:val="0"/>
                <w:szCs w:val="32"/>
              </w:rPr>
            </w:pPr>
          </w:p>
        </w:tc>
        <w:tc>
          <w:tcPr>
            <w:tcW w:w="450" w:type="dxa"/>
            <w:noWrap w:val="0"/>
            <w:vAlign w:val="center"/>
          </w:tcPr>
          <w:p>
            <w:pPr>
              <w:spacing w:line="240" w:lineRule="auto"/>
              <w:jc w:val="both"/>
              <w:rPr>
                <w:rFonts w:ascii="Calibri" w:hAnsi="Calibri" w:eastAsia="楷体"/>
                <w:kern w:val="0"/>
                <w:szCs w:val="32"/>
              </w:rPr>
            </w:pPr>
          </w:p>
        </w:tc>
        <w:tc>
          <w:tcPr>
            <w:tcW w:w="532" w:type="dxa"/>
            <w:noWrap w:val="0"/>
            <w:vAlign w:val="center"/>
          </w:tcPr>
          <w:p>
            <w:pPr>
              <w:spacing w:line="240" w:lineRule="auto"/>
              <w:jc w:val="both"/>
              <w:rPr>
                <w:rFonts w:ascii="Calibri" w:hAnsi="Calibri" w:eastAsia="楷体"/>
                <w:kern w:val="0"/>
                <w:szCs w:val="32"/>
              </w:rPr>
            </w:pPr>
          </w:p>
        </w:tc>
        <w:tc>
          <w:tcPr>
            <w:tcW w:w="598" w:type="dxa"/>
            <w:noWrap w:val="0"/>
            <w:vAlign w:val="center"/>
          </w:tcPr>
          <w:p>
            <w:pPr>
              <w:spacing w:line="240" w:lineRule="auto"/>
              <w:jc w:val="both"/>
              <w:rPr>
                <w:rFonts w:ascii="Calibri" w:hAnsi="Calibri" w:eastAsia="楷体"/>
                <w:kern w:val="0"/>
                <w:szCs w:val="32"/>
              </w:rPr>
            </w:pPr>
          </w:p>
        </w:tc>
        <w:tc>
          <w:tcPr>
            <w:tcW w:w="443" w:type="dxa"/>
            <w:noWrap w:val="0"/>
            <w:vAlign w:val="center"/>
          </w:tcPr>
          <w:p>
            <w:pPr>
              <w:spacing w:line="240" w:lineRule="auto"/>
              <w:jc w:val="both"/>
              <w:rPr>
                <w:rFonts w:ascii="Calibri" w:hAnsi="Calibri" w:eastAsia="楷体"/>
                <w:kern w:val="0"/>
                <w:szCs w:val="32"/>
              </w:rPr>
            </w:pPr>
          </w:p>
        </w:tc>
        <w:tc>
          <w:tcPr>
            <w:tcW w:w="425" w:type="dxa"/>
            <w:noWrap w:val="0"/>
            <w:vAlign w:val="center"/>
          </w:tcPr>
          <w:p>
            <w:pPr>
              <w:spacing w:line="240" w:lineRule="auto"/>
              <w:jc w:val="both"/>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2" w:hRule="exact"/>
          <w:jc w:val="center"/>
        </w:trPr>
        <w:tc>
          <w:tcPr>
            <w:tcW w:w="759" w:type="dxa"/>
            <w:noWrap w:val="0"/>
            <w:vAlign w:val="center"/>
          </w:tcPr>
          <w:p>
            <w:pPr>
              <w:spacing w:line="240" w:lineRule="auto"/>
              <w:jc w:val="both"/>
              <w:rPr>
                <w:rFonts w:hint="eastAsia" w:ascii="Calibri" w:hAnsi="Calibri" w:eastAsia="华文细黑"/>
                <w:color w:val="000000"/>
                <w:sz w:val="20"/>
                <w:szCs w:val="22"/>
              </w:rPr>
            </w:pPr>
          </w:p>
        </w:tc>
        <w:tc>
          <w:tcPr>
            <w:tcW w:w="1063" w:type="dxa"/>
            <w:noWrap w:val="0"/>
            <w:vAlign w:val="center"/>
          </w:tcPr>
          <w:p>
            <w:pPr>
              <w:spacing w:line="240" w:lineRule="auto"/>
              <w:jc w:val="both"/>
              <w:rPr>
                <w:rFonts w:ascii="Calibri" w:hAnsi="Calibri" w:eastAsia="华文细黑"/>
                <w:color w:val="000000"/>
                <w:sz w:val="20"/>
                <w:szCs w:val="22"/>
              </w:rPr>
            </w:pPr>
          </w:p>
        </w:tc>
        <w:tc>
          <w:tcPr>
            <w:tcW w:w="1107" w:type="dxa"/>
            <w:noWrap w:val="0"/>
            <w:vAlign w:val="center"/>
          </w:tcPr>
          <w:p>
            <w:pPr>
              <w:spacing w:line="240" w:lineRule="auto"/>
              <w:jc w:val="both"/>
              <w:rPr>
                <w:rFonts w:ascii="Calibri" w:hAnsi="Calibri" w:eastAsia="楷体"/>
                <w:kern w:val="0"/>
                <w:szCs w:val="32"/>
              </w:rPr>
            </w:pPr>
            <w:r>
              <w:rPr>
                <w:rFonts w:hint="eastAsia" w:ascii="Calibri" w:hAnsi="Calibri" w:eastAsia="楷体"/>
                <w:kern w:val="0"/>
                <w:sz w:val="20"/>
                <w:szCs w:val="20"/>
              </w:rPr>
              <w:t>新发乡综合服务中心2024年村级组织运转经费</w:t>
            </w:r>
          </w:p>
        </w:tc>
        <w:tc>
          <w:tcPr>
            <w:tcW w:w="854" w:type="dxa"/>
            <w:noWrap w:val="0"/>
            <w:vAlign w:val="center"/>
          </w:tcPr>
          <w:p>
            <w:pPr>
              <w:spacing w:line="240" w:lineRule="auto"/>
              <w:jc w:val="both"/>
              <w:rPr>
                <w:rFonts w:ascii="Calibri" w:hAnsi="Calibri" w:eastAsia="楷体"/>
                <w:kern w:val="0"/>
                <w:szCs w:val="32"/>
              </w:rPr>
            </w:pPr>
            <w:r>
              <w:rPr>
                <w:rFonts w:hint="eastAsia" w:ascii="Calibri" w:hAnsi="Calibri" w:eastAsia="楷体"/>
                <w:kern w:val="0"/>
                <w:sz w:val="20"/>
                <w:szCs w:val="20"/>
              </w:rPr>
              <w:t>通榆县新发乡综合服务中心</w:t>
            </w:r>
          </w:p>
        </w:tc>
        <w:tc>
          <w:tcPr>
            <w:tcW w:w="690" w:type="dxa"/>
            <w:noWrap w:val="0"/>
            <w:vAlign w:val="center"/>
          </w:tcPr>
          <w:p>
            <w:pPr>
              <w:spacing w:line="240" w:lineRule="auto"/>
              <w:jc w:val="both"/>
              <w:rPr>
                <w:rFonts w:hint="eastAsia" w:ascii="Calibri" w:hAnsi="Calibri" w:eastAsia="楷体"/>
                <w:kern w:val="0"/>
                <w:sz w:val="20"/>
                <w:szCs w:val="20"/>
                <w:lang w:val="en-US" w:eastAsia="zh-CN"/>
              </w:rPr>
            </w:pPr>
            <w:r>
              <w:rPr>
                <w:rFonts w:hint="eastAsia" w:ascii="Calibri" w:hAnsi="Calibri" w:eastAsia="楷体"/>
                <w:kern w:val="0"/>
                <w:sz w:val="20"/>
                <w:szCs w:val="20"/>
                <w:lang w:val="en-US" w:eastAsia="zh-CN"/>
              </w:rPr>
              <w:t>96.42</w:t>
            </w:r>
          </w:p>
        </w:tc>
        <w:tc>
          <w:tcPr>
            <w:tcW w:w="720" w:type="dxa"/>
            <w:noWrap w:val="0"/>
            <w:vAlign w:val="center"/>
          </w:tcPr>
          <w:p>
            <w:pPr>
              <w:spacing w:line="240" w:lineRule="auto"/>
              <w:jc w:val="both"/>
              <w:rPr>
                <w:rFonts w:hint="eastAsia" w:ascii="Calibri" w:hAnsi="Calibri" w:eastAsia="楷体"/>
                <w:kern w:val="0"/>
                <w:sz w:val="20"/>
                <w:szCs w:val="20"/>
                <w:lang w:val="en-US" w:eastAsia="zh-CN"/>
              </w:rPr>
            </w:pPr>
            <w:r>
              <w:rPr>
                <w:rFonts w:hint="eastAsia" w:ascii="Calibri" w:hAnsi="Calibri" w:eastAsia="楷体"/>
                <w:kern w:val="0"/>
                <w:sz w:val="20"/>
                <w:szCs w:val="20"/>
                <w:lang w:val="en-US" w:eastAsia="zh-CN"/>
              </w:rPr>
              <w:t>96.42</w:t>
            </w:r>
          </w:p>
        </w:tc>
        <w:tc>
          <w:tcPr>
            <w:tcW w:w="375" w:type="dxa"/>
            <w:noWrap w:val="0"/>
            <w:vAlign w:val="center"/>
          </w:tcPr>
          <w:p>
            <w:pPr>
              <w:spacing w:line="240" w:lineRule="auto"/>
              <w:jc w:val="both"/>
              <w:rPr>
                <w:rFonts w:ascii="Calibri" w:hAnsi="Calibri" w:eastAsia="楷体"/>
                <w:kern w:val="0"/>
                <w:szCs w:val="32"/>
              </w:rPr>
            </w:pPr>
          </w:p>
        </w:tc>
        <w:tc>
          <w:tcPr>
            <w:tcW w:w="465" w:type="dxa"/>
            <w:noWrap w:val="0"/>
            <w:vAlign w:val="center"/>
          </w:tcPr>
          <w:p>
            <w:pPr>
              <w:spacing w:line="240" w:lineRule="auto"/>
              <w:jc w:val="both"/>
              <w:rPr>
                <w:rFonts w:ascii="Calibri" w:hAnsi="Calibri" w:eastAsia="楷体"/>
                <w:kern w:val="0"/>
                <w:szCs w:val="32"/>
              </w:rPr>
            </w:pPr>
          </w:p>
        </w:tc>
        <w:tc>
          <w:tcPr>
            <w:tcW w:w="450" w:type="dxa"/>
            <w:noWrap w:val="0"/>
            <w:vAlign w:val="center"/>
          </w:tcPr>
          <w:p>
            <w:pPr>
              <w:spacing w:line="240" w:lineRule="auto"/>
              <w:jc w:val="both"/>
              <w:rPr>
                <w:rFonts w:ascii="Calibri" w:hAnsi="Calibri" w:eastAsia="楷体"/>
                <w:kern w:val="0"/>
                <w:szCs w:val="32"/>
              </w:rPr>
            </w:pPr>
          </w:p>
        </w:tc>
        <w:tc>
          <w:tcPr>
            <w:tcW w:w="532" w:type="dxa"/>
            <w:noWrap w:val="0"/>
            <w:vAlign w:val="center"/>
          </w:tcPr>
          <w:p>
            <w:pPr>
              <w:spacing w:line="240" w:lineRule="auto"/>
              <w:jc w:val="both"/>
              <w:rPr>
                <w:rFonts w:ascii="Calibri" w:hAnsi="Calibri" w:eastAsia="楷体"/>
                <w:kern w:val="0"/>
                <w:szCs w:val="32"/>
              </w:rPr>
            </w:pPr>
          </w:p>
        </w:tc>
        <w:tc>
          <w:tcPr>
            <w:tcW w:w="598" w:type="dxa"/>
            <w:noWrap w:val="0"/>
            <w:vAlign w:val="center"/>
          </w:tcPr>
          <w:p>
            <w:pPr>
              <w:spacing w:line="240" w:lineRule="auto"/>
              <w:jc w:val="both"/>
              <w:rPr>
                <w:rFonts w:ascii="Calibri" w:hAnsi="Calibri" w:eastAsia="楷体"/>
                <w:kern w:val="0"/>
                <w:szCs w:val="32"/>
              </w:rPr>
            </w:pPr>
          </w:p>
        </w:tc>
        <w:tc>
          <w:tcPr>
            <w:tcW w:w="443" w:type="dxa"/>
            <w:noWrap w:val="0"/>
            <w:vAlign w:val="center"/>
          </w:tcPr>
          <w:p>
            <w:pPr>
              <w:spacing w:line="240" w:lineRule="auto"/>
              <w:jc w:val="both"/>
              <w:rPr>
                <w:rFonts w:ascii="Calibri" w:hAnsi="Calibri" w:eastAsia="楷体"/>
                <w:kern w:val="0"/>
                <w:szCs w:val="32"/>
              </w:rPr>
            </w:pPr>
          </w:p>
        </w:tc>
        <w:tc>
          <w:tcPr>
            <w:tcW w:w="425" w:type="dxa"/>
            <w:noWrap w:val="0"/>
            <w:vAlign w:val="center"/>
          </w:tcPr>
          <w:p>
            <w:pPr>
              <w:spacing w:line="240" w:lineRule="auto"/>
              <w:jc w:val="both"/>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exact"/>
          <w:jc w:val="center"/>
        </w:trPr>
        <w:tc>
          <w:tcPr>
            <w:tcW w:w="759" w:type="dxa"/>
            <w:noWrap w:val="0"/>
            <w:vAlign w:val="center"/>
          </w:tcPr>
          <w:p>
            <w:pPr>
              <w:keepNext w:val="0"/>
              <w:keepLines w:val="0"/>
              <w:widowControl/>
              <w:suppressLineNumbers w:val="0"/>
              <w:jc w:val="left"/>
              <w:textAlignment w:val="center"/>
              <w:rPr>
                <w:rFonts w:hint="eastAsia" w:ascii="Calibri" w:hAnsi="Calibri" w:eastAsia="楷体" w:cs="Times New Roman"/>
                <w:kern w:val="0"/>
                <w:sz w:val="32"/>
                <w:szCs w:val="32"/>
                <w:lang w:val="en-US" w:eastAsia="zh-CN" w:bidi="ar-SA"/>
              </w:rPr>
            </w:pPr>
            <w:r>
              <w:rPr>
                <w:rFonts w:hint="eastAsia" w:ascii="Calibri" w:hAnsi="Calibri" w:eastAsia="楷体" w:cs="Times New Roman"/>
                <w:kern w:val="0"/>
                <w:sz w:val="32"/>
                <w:szCs w:val="32"/>
                <w:lang w:val="en-US" w:eastAsia="zh-CN" w:bidi="ar-SA"/>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54" w:type="dxa"/>
            <w:noWrap w:val="0"/>
            <w:vAlign w:val="center"/>
          </w:tcPr>
          <w:p>
            <w:pPr>
              <w:spacing w:line="700" w:lineRule="exact"/>
              <w:jc w:val="center"/>
              <w:rPr>
                <w:rFonts w:ascii="Calibri" w:hAnsi="Calibri" w:eastAsia="楷体"/>
                <w:kern w:val="0"/>
                <w:szCs w:val="32"/>
              </w:rPr>
            </w:pPr>
          </w:p>
        </w:tc>
        <w:tc>
          <w:tcPr>
            <w:tcW w:w="690" w:type="dxa"/>
            <w:noWrap w:val="0"/>
            <w:vAlign w:val="center"/>
          </w:tcPr>
          <w:p>
            <w:pPr>
              <w:keepNext w:val="0"/>
              <w:keepLines w:val="0"/>
              <w:widowControl/>
              <w:suppressLineNumbers w:val="0"/>
              <w:jc w:val="right"/>
              <w:textAlignment w:val="center"/>
              <w:rPr>
                <w:rFonts w:hint="eastAsia" w:ascii="Calibri" w:hAnsi="Calibri" w:eastAsia="楷体"/>
                <w:kern w:val="0"/>
                <w:sz w:val="20"/>
                <w:szCs w:val="20"/>
                <w:lang w:val="en-US" w:eastAsia="zh-CN"/>
              </w:rPr>
            </w:pPr>
            <w:r>
              <w:rPr>
                <w:rFonts w:hint="eastAsia" w:ascii="Arial" w:hAnsi="Arial" w:eastAsia="宋体" w:cs="Arial"/>
                <w:i w:val="0"/>
                <w:iCs w:val="0"/>
                <w:color w:val="000000"/>
                <w:kern w:val="0"/>
                <w:sz w:val="20"/>
                <w:szCs w:val="20"/>
                <w:u w:val="none"/>
                <w:lang w:val="en-US" w:eastAsia="zh-CN" w:bidi="ar"/>
              </w:rPr>
              <w:t>172.45</w:t>
            </w:r>
          </w:p>
        </w:tc>
        <w:tc>
          <w:tcPr>
            <w:tcW w:w="720" w:type="dxa"/>
            <w:noWrap w:val="0"/>
            <w:vAlign w:val="center"/>
          </w:tcPr>
          <w:p>
            <w:pPr>
              <w:keepNext w:val="0"/>
              <w:keepLines w:val="0"/>
              <w:widowControl/>
              <w:suppressLineNumbers w:val="0"/>
              <w:jc w:val="right"/>
              <w:textAlignment w:val="center"/>
              <w:rPr>
                <w:rFonts w:hint="eastAsia" w:ascii="Calibri" w:hAnsi="Calibri" w:eastAsia="楷体"/>
                <w:kern w:val="0"/>
                <w:sz w:val="20"/>
                <w:szCs w:val="20"/>
                <w:lang w:val="en-US" w:eastAsia="zh-CN"/>
              </w:rPr>
            </w:pPr>
            <w:r>
              <w:rPr>
                <w:rFonts w:hint="eastAsia" w:ascii="Arial" w:hAnsi="Arial" w:eastAsia="宋体" w:cs="Arial"/>
                <w:i w:val="0"/>
                <w:iCs w:val="0"/>
                <w:color w:val="000000"/>
                <w:kern w:val="0"/>
                <w:sz w:val="20"/>
                <w:szCs w:val="20"/>
                <w:u w:val="none"/>
                <w:lang w:val="en-US" w:eastAsia="zh-CN" w:bidi="ar"/>
              </w:rPr>
              <w:t>172.45</w:t>
            </w:r>
          </w:p>
        </w:tc>
        <w:tc>
          <w:tcPr>
            <w:tcW w:w="375" w:type="dxa"/>
            <w:noWrap w:val="0"/>
            <w:vAlign w:val="center"/>
          </w:tcPr>
          <w:p>
            <w:pPr>
              <w:spacing w:line="700" w:lineRule="exact"/>
              <w:jc w:val="center"/>
              <w:rPr>
                <w:rFonts w:ascii="Calibri" w:hAnsi="Calibri" w:eastAsia="楷体"/>
                <w:kern w:val="0"/>
                <w:szCs w:val="32"/>
              </w:rPr>
            </w:pPr>
          </w:p>
        </w:tc>
        <w:tc>
          <w:tcPr>
            <w:tcW w:w="465" w:type="dxa"/>
            <w:noWrap w:val="0"/>
            <w:vAlign w:val="center"/>
          </w:tcPr>
          <w:p>
            <w:pPr>
              <w:spacing w:line="700" w:lineRule="exact"/>
              <w:jc w:val="center"/>
              <w:rPr>
                <w:rFonts w:ascii="Calibri" w:hAnsi="Calibri" w:eastAsia="楷体"/>
                <w:kern w:val="0"/>
                <w:szCs w:val="32"/>
              </w:rPr>
            </w:pPr>
          </w:p>
        </w:tc>
        <w:tc>
          <w:tcPr>
            <w:tcW w:w="450"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rPr>
          <w:rFonts w:eastAsia="楷体"/>
          <w:kern w:val="0"/>
          <w:szCs w:val="32"/>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ab/>
            </w:r>
            <w:r>
              <w:rPr>
                <w:rFonts w:hint="eastAsia" w:ascii="宋体" w:hAnsi="宋体" w:eastAsia="宋体" w:cs="宋体"/>
                <w:color w:val="000000"/>
                <w:sz w:val="20"/>
              </w:rPr>
              <w:t>新发乡乡镇转移支付资金1.3(280208)</w:t>
            </w:r>
            <w:r>
              <w:rPr>
                <w:rFonts w:hint="eastAsia" w:ascii="宋体" w:hAnsi="宋体" w:eastAsia="宋体" w:cs="宋体"/>
                <w:color w:val="000000"/>
                <w:sz w:val="20"/>
              </w:rPr>
              <w:tab/>
            </w:r>
            <w:r>
              <w:rPr>
                <w:rFonts w:hint="eastAsia" w:ascii="宋体" w:hAnsi="宋体" w:eastAsia="宋体" w:cs="宋体"/>
                <w:color w:val="000000"/>
                <w:sz w:val="20"/>
              </w:rPr>
              <w:tab/>
            </w:r>
            <w:r>
              <w:rPr>
                <w:rFonts w:hint="eastAsia" w:ascii="宋体" w:hAnsi="宋体" w:eastAsia="宋体" w:cs="宋体"/>
                <w:color w:val="000000"/>
                <w:sz w:val="20"/>
              </w:rPr>
              <w:tab/>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ab/>
            </w:r>
            <w:r>
              <w:rPr>
                <w:rFonts w:hint="eastAsia" w:ascii="宋体" w:hAnsi="宋体" w:eastAsia="宋体" w:cs="宋体"/>
                <w:color w:val="000000"/>
                <w:sz w:val="20"/>
              </w:rPr>
              <w:t>28.02</w:t>
            </w:r>
            <w:r>
              <w:rPr>
                <w:rFonts w:hint="eastAsia" w:ascii="宋体" w:hAnsi="宋体" w:eastAsia="宋体" w:cs="宋体"/>
                <w:color w:val="000000"/>
                <w:sz w:val="20"/>
              </w:rPr>
              <w:tab/>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28.02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0.00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乡镇转移支付用以保证乡镇组织正常运转所需的经费资金，该笔资金对于保障乡镇政府基本公共服务均等化，促进农村社会和谐与稳定中发挥着十分重要的作用，2024年新发乡人民政府申请乡镇转移支付资金280208元。</w:t>
            </w:r>
            <w:r>
              <w:rPr>
                <w:rFonts w:hint="eastAsia" w:ascii="宋体" w:hAnsi="宋体" w:eastAsia="宋体" w:cs="宋体"/>
                <w:color w:val="000000"/>
                <w:sz w:val="20"/>
              </w:rPr>
              <w:tab/>
            </w:r>
            <w:r>
              <w:rPr>
                <w:rFonts w:hint="eastAsia" w:ascii="宋体" w:hAnsi="宋体" w:eastAsia="宋体" w:cs="宋体"/>
                <w:color w:val="000000"/>
                <w:sz w:val="20"/>
              </w:rPr>
              <w:tab/>
            </w:r>
            <w:r>
              <w:rPr>
                <w:rFonts w:hint="eastAsia" w:ascii="宋体" w:hAnsi="宋体" w:eastAsia="宋体" w:cs="宋体"/>
                <w:color w:val="000000"/>
                <w:sz w:val="20"/>
              </w:rPr>
              <w:tab/>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平均每科室可利用资金数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&lt;=14010.4元/个</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转移支付资金保证运转科室数量</w:t>
            </w:r>
            <w:r>
              <w:rPr>
                <w:rFonts w:hint="eastAsia" w:ascii="宋体" w:hAnsi="宋体" w:eastAsia="宋体" w:cs="宋体"/>
                <w:color w:val="000000"/>
                <w:sz w:val="20"/>
              </w:rPr>
              <w:tab/>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&gt;=20个</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转移支付资金对于提升办公效率的影响程度</w:t>
            </w:r>
            <w:r>
              <w:rPr>
                <w:rFonts w:hint="eastAsia" w:ascii="宋体" w:hAnsi="宋体" w:eastAsia="宋体" w:cs="宋体"/>
                <w:color w:val="000000"/>
                <w:sz w:val="20"/>
              </w:rPr>
              <w:tab/>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=100%</w:t>
            </w:r>
            <w:r>
              <w:rPr>
                <w:rFonts w:hint="eastAsia" w:ascii="宋体" w:hAnsi="宋体" w:eastAsia="宋体" w:cs="宋体"/>
                <w:color w:val="000000"/>
                <w:sz w:val="20"/>
              </w:rPr>
              <w:tab/>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资金拨付及时率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=100%</w:t>
            </w:r>
            <w:r>
              <w:rPr>
                <w:rFonts w:hint="eastAsia" w:ascii="宋体" w:hAnsi="宋体" w:eastAsia="宋体" w:cs="宋体"/>
                <w:color w:val="000000"/>
                <w:sz w:val="20"/>
              </w:rPr>
              <w:tab/>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工作效率高,更好的为人民服务，提高人民收入水平</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=100%</w:t>
            </w:r>
            <w:r>
              <w:rPr>
                <w:rFonts w:hint="eastAsia" w:ascii="宋体" w:hAnsi="宋体" w:eastAsia="宋体" w:cs="宋体"/>
                <w:color w:val="000000"/>
                <w:sz w:val="20"/>
              </w:rPr>
              <w:tab/>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服务对象满意度指标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职工满意度</w:t>
            </w:r>
            <w:r>
              <w:rPr>
                <w:rFonts w:hint="eastAsia" w:ascii="宋体" w:hAnsi="宋体" w:eastAsia="宋体" w:cs="宋体"/>
                <w:color w:val="000000"/>
                <w:sz w:val="20"/>
              </w:rPr>
              <w:tab/>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=100%</w:t>
            </w:r>
            <w:r>
              <w:rPr>
                <w:rFonts w:hint="eastAsia" w:ascii="宋体" w:hAnsi="宋体" w:eastAsia="宋体" w:cs="宋体"/>
                <w:color w:val="000000"/>
                <w:sz w:val="20"/>
              </w:rPr>
              <w:tab/>
            </w: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ab/>
            </w:r>
            <w:r>
              <w:rPr>
                <w:rFonts w:hint="eastAsia" w:ascii="宋体" w:hAnsi="宋体" w:eastAsia="宋体" w:cs="宋体"/>
                <w:color w:val="000000"/>
                <w:sz w:val="20"/>
              </w:rPr>
              <w:t>新发乡政府大学生村官工资1.3(141578)</w:t>
            </w:r>
            <w:r>
              <w:rPr>
                <w:rFonts w:hint="eastAsia" w:ascii="宋体" w:hAnsi="宋体" w:eastAsia="宋体" w:cs="宋体"/>
                <w:color w:val="000000"/>
                <w:sz w:val="20"/>
              </w:rPr>
              <w:tab/>
            </w:r>
            <w:r>
              <w:rPr>
                <w:rFonts w:hint="eastAsia" w:ascii="宋体" w:hAnsi="宋体" w:eastAsia="宋体" w:cs="宋体"/>
                <w:color w:val="000000"/>
                <w:sz w:val="20"/>
              </w:rPr>
              <w:tab/>
            </w:r>
            <w:r>
              <w:rPr>
                <w:rFonts w:hint="eastAsia" w:ascii="宋体" w:hAnsi="宋体" w:eastAsia="宋体" w:cs="宋体"/>
                <w:color w:val="000000"/>
                <w:sz w:val="20"/>
              </w:rPr>
              <w:tab/>
            </w:r>
            <w:r>
              <w:rPr>
                <w:rFonts w:hint="eastAsia" w:ascii="宋体" w:hAnsi="宋体" w:eastAsia="宋体" w:cs="宋体"/>
                <w:color w:val="000000"/>
                <w:sz w:val="20"/>
              </w:rPr>
              <w:tab/>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14.16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14.16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0.00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我乡现有村官3人，每月工资3667元，2024年1-12月村官人员工资以及社保、失业保险、医疗保险、工伤保险财政匹配部分共需资金141578元。</w:t>
            </w:r>
            <w:r>
              <w:rPr>
                <w:rFonts w:hint="eastAsia" w:ascii="宋体" w:hAnsi="宋体" w:eastAsia="宋体" w:cs="宋体"/>
                <w:color w:val="000000"/>
                <w:sz w:val="20"/>
              </w:rPr>
              <w:tab/>
            </w:r>
            <w:r>
              <w:rPr>
                <w:rFonts w:hint="eastAsia" w:ascii="宋体" w:hAnsi="宋体" w:eastAsia="宋体" w:cs="宋体"/>
                <w:color w:val="000000"/>
                <w:sz w:val="20"/>
              </w:rPr>
              <w:tab/>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村官工资经费数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&lt;=3933元/人/月</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大学生村官数量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=3人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大学生村官的工作质量</w:t>
            </w:r>
            <w:r>
              <w:rPr>
                <w:rFonts w:hint="eastAsia" w:ascii="宋体" w:hAnsi="宋体" w:eastAsia="宋体" w:cs="宋体"/>
                <w:color w:val="000000"/>
                <w:sz w:val="20"/>
              </w:rPr>
              <w:tab/>
            </w:r>
            <w:r>
              <w:rPr>
                <w:rFonts w:hint="eastAsia" w:ascii="宋体" w:hAnsi="宋体" w:eastAsia="宋体" w:cs="宋体"/>
                <w:color w:val="000000"/>
                <w:sz w:val="20"/>
              </w:rPr>
              <w:tab/>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&gt;=99%</w:t>
            </w:r>
            <w:r>
              <w:rPr>
                <w:rFonts w:hint="eastAsia" w:ascii="宋体" w:hAnsi="宋体" w:eastAsia="宋体" w:cs="宋体"/>
                <w:color w:val="000000"/>
                <w:sz w:val="20"/>
              </w:rPr>
              <w:tab/>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ab/>
            </w:r>
            <w:r>
              <w:rPr>
                <w:rFonts w:hint="eastAsia" w:ascii="宋体" w:hAnsi="宋体" w:eastAsia="宋体" w:cs="宋体"/>
                <w:color w:val="000000"/>
                <w:sz w:val="20"/>
              </w:rPr>
              <w:t>大学生村官工资发放及时率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=100%</w:t>
            </w:r>
            <w:r>
              <w:rPr>
                <w:rFonts w:hint="eastAsia" w:ascii="宋体" w:hAnsi="宋体" w:eastAsia="宋体" w:cs="宋体"/>
                <w:color w:val="000000"/>
                <w:sz w:val="20"/>
              </w:rPr>
              <w:tab/>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ab/>
            </w:r>
            <w:r>
              <w:rPr>
                <w:rFonts w:hint="eastAsia" w:ascii="宋体" w:hAnsi="宋体" w:eastAsia="宋体" w:cs="宋体"/>
                <w:color w:val="000000"/>
                <w:sz w:val="20"/>
              </w:rPr>
              <w:t>大学生村官工作效率高更好的为人民服务，提高人民收入水平</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=100%</w:t>
            </w:r>
            <w:r>
              <w:rPr>
                <w:rFonts w:hint="eastAsia" w:ascii="宋体" w:hAnsi="宋体" w:eastAsia="宋体" w:cs="宋体"/>
                <w:color w:val="000000"/>
                <w:sz w:val="20"/>
              </w:rPr>
              <w:tab/>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服务对象满意度指标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大学生村官的满意程度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&gt;=99%</w:t>
            </w:r>
            <w:r>
              <w:rPr>
                <w:rFonts w:hint="eastAsia" w:ascii="宋体" w:hAnsi="宋体" w:eastAsia="宋体" w:cs="宋体"/>
                <w:color w:val="000000"/>
                <w:sz w:val="20"/>
              </w:rPr>
              <w:tab/>
            </w:r>
          </w:p>
        </w:tc>
      </w:tr>
    </w:tbl>
    <w:p>
      <w:pPr>
        <w:spacing w:line="700" w:lineRule="exact"/>
        <w:ind w:firstLine="640" w:firstLineChars="200"/>
        <w:rPr>
          <w:rFonts w:hint="eastAsia" w:eastAsia="楷体"/>
          <w:kern w:val="0"/>
          <w:szCs w:val="32"/>
        </w:rPr>
      </w:pPr>
      <w:r>
        <w:rPr>
          <w:rFonts w:hint="eastAsia" w:eastAsia="楷体"/>
          <w:kern w:val="0"/>
          <w:szCs w:val="32"/>
        </w:rPr>
        <w:br w:type="page"/>
      </w: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ab/>
            </w:r>
            <w:r>
              <w:rPr>
                <w:rFonts w:hint="eastAsia" w:ascii="宋体" w:hAnsi="宋体" w:eastAsia="宋体" w:cs="宋体"/>
                <w:color w:val="000000"/>
                <w:sz w:val="20"/>
              </w:rPr>
              <w:t>新发乡辅助岗位人员工资1.5(266507)</w:t>
            </w:r>
            <w:r>
              <w:rPr>
                <w:rFonts w:hint="eastAsia" w:ascii="宋体" w:hAnsi="宋体" w:eastAsia="宋体" w:cs="宋体"/>
                <w:color w:val="000000"/>
                <w:sz w:val="20"/>
              </w:rPr>
              <w:tab/>
            </w:r>
            <w:r>
              <w:rPr>
                <w:rFonts w:hint="eastAsia" w:ascii="宋体" w:hAnsi="宋体" w:eastAsia="宋体" w:cs="宋体"/>
                <w:color w:val="000000"/>
                <w:sz w:val="20"/>
              </w:rPr>
              <w:tab/>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26.65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26.65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0.00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ab/>
            </w:r>
            <w:r>
              <w:rPr>
                <w:rFonts w:hint="eastAsia" w:ascii="宋体" w:hAnsi="宋体" w:eastAsia="宋体" w:cs="宋体"/>
                <w:color w:val="000000"/>
                <w:sz w:val="20"/>
              </w:rPr>
              <w:t>2024年我乡现有辅助岗7人，每月工资2667元，险、工伤保险财政匹配部分共需资金266507元。</w:t>
            </w:r>
            <w:r>
              <w:rPr>
                <w:rFonts w:hint="eastAsia" w:ascii="宋体" w:hAnsi="宋体" w:eastAsia="宋体" w:cs="宋体"/>
                <w:color w:val="000000"/>
                <w:sz w:val="20"/>
              </w:rPr>
              <w:tab/>
            </w:r>
            <w:r>
              <w:rPr>
                <w:rFonts w:hint="eastAsia" w:ascii="宋体" w:hAnsi="宋体" w:eastAsia="宋体" w:cs="宋体"/>
                <w:color w:val="000000"/>
                <w:sz w:val="20"/>
              </w:rPr>
              <w:t>2024年1-12月辅助岗人员工资以及社保、公积金、失业保险、医疗保</w:t>
            </w:r>
            <w:r>
              <w:rPr>
                <w:rFonts w:hint="eastAsia" w:ascii="宋体" w:hAnsi="宋体" w:eastAsia="宋体" w:cs="宋体"/>
                <w:color w:val="000000"/>
                <w:sz w:val="20"/>
              </w:rPr>
              <w:tab/>
            </w:r>
            <w:r>
              <w:rPr>
                <w:rFonts w:hint="eastAsia" w:ascii="宋体" w:hAnsi="宋体" w:eastAsia="宋体" w:cs="宋体"/>
                <w:color w:val="000000"/>
                <w:sz w:val="20"/>
              </w:rPr>
              <w:tab/>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辅助岗工资经费数</w:t>
            </w:r>
            <w:r>
              <w:rPr>
                <w:rFonts w:hint="eastAsia" w:ascii="宋体" w:hAnsi="宋体" w:eastAsia="宋体" w:cs="宋体"/>
                <w:color w:val="000000"/>
                <w:sz w:val="20"/>
              </w:rPr>
              <w:tab/>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&lt;=3173元/月/人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1"/>
                <w:szCs w:val="21"/>
              </w:rPr>
            </w:pPr>
            <w:r>
              <w:rPr>
                <w:rFonts w:hint="eastAsia" w:ascii="宋体" w:hAnsi="宋体" w:eastAsia="宋体" w:cs="宋体"/>
                <w:color w:val="000000"/>
                <w:sz w:val="21"/>
                <w:szCs w:val="21"/>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1"/>
                <w:szCs w:val="21"/>
              </w:rPr>
            </w:pPr>
            <w:r>
              <w:rPr>
                <w:rFonts w:hint="eastAsia"/>
                <w:sz w:val="21"/>
                <w:szCs w:val="21"/>
              </w:rPr>
              <w:t>辅助岗数量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=7人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辅助岗人员的工作质量</w:t>
            </w:r>
            <w:r>
              <w:rPr>
                <w:rFonts w:hint="eastAsia" w:ascii="宋体" w:hAnsi="宋体" w:eastAsia="宋体" w:cs="宋体"/>
                <w:color w:val="000000"/>
                <w:sz w:val="20"/>
              </w:rPr>
              <w:tab/>
            </w:r>
            <w:r>
              <w:rPr>
                <w:rFonts w:hint="eastAsia" w:ascii="宋体" w:hAnsi="宋体" w:eastAsia="宋体" w:cs="宋体"/>
                <w:color w:val="000000"/>
                <w:sz w:val="20"/>
              </w:rPr>
              <w:tab/>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&gt;=99%</w:t>
            </w:r>
            <w:r>
              <w:rPr>
                <w:rFonts w:hint="eastAsia" w:ascii="宋体" w:hAnsi="宋体" w:eastAsia="宋体" w:cs="宋体"/>
                <w:color w:val="000000"/>
                <w:sz w:val="20"/>
              </w:rPr>
              <w:tab/>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辅助岗工资发放及时率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ab/>
            </w:r>
            <w:r>
              <w:rPr>
                <w:rFonts w:hint="eastAsia" w:ascii="宋体" w:hAnsi="宋体" w:eastAsia="宋体" w:cs="宋体"/>
                <w:color w:val="000000"/>
                <w:sz w:val="20"/>
              </w:rPr>
              <w:t>辅助岗工作效率高更好的为人民服务，提高人民收入水平</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=100%</w:t>
            </w:r>
            <w:r>
              <w:rPr>
                <w:rFonts w:hint="eastAsia" w:ascii="宋体" w:hAnsi="宋体" w:eastAsia="宋体" w:cs="宋体"/>
                <w:color w:val="000000"/>
                <w:sz w:val="20"/>
              </w:rPr>
              <w:tab/>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服务对象满意度指标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辅助岗的满意度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&gt;=99%</w:t>
            </w:r>
            <w:r>
              <w:rPr>
                <w:rFonts w:hint="eastAsia" w:ascii="宋体" w:hAnsi="宋体" w:eastAsia="宋体" w:cs="宋体"/>
                <w:color w:val="000000"/>
                <w:sz w:val="20"/>
              </w:rPr>
              <w:tab/>
            </w:r>
          </w:p>
        </w:tc>
      </w:tr>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ab/>
            </w:r>
            <w:r>
              <w:rPr>
                <w:rFonts w:hint="eastAsia" w:ascii="宋体" w:hAnsi="宋体" w:eastAsia="宋体" w:cs="宋体"/>
                <w:color w:val="000000"/>
                <w:sz w:val="20"/>
              </w:rPr>
              <w:tab/>
            </w:r>
            <w:r>
              <w:rPr>
                <w:rFonts w:hint="eastAsia" w:ascii="宋体" w:hAnsi="宋体" w:eastAsia="宋体" w:cs="宋体"/>
                <w:color w:val="000000"/>
                <w:sz w:val="20"/>
              </w:rPr>
              <w:t>新发乡驻村工作队生活补贴1.3(72000)</w:t>
            </w:r>
            <w:r>
              <w:rPr>
                <w:rFonts w:hint="eastAsia" w:ascii="宋体" w:hAnsi="宋体" w:eastAsia="宋体" w:cs="宋体"/>
                <w:color w:val="000000"/>
                <w:sz w:val="20"/>
              </w:rPr>
              <w:tab/>
            </w:r>
            <w:r>
              <w:rPr>
                <w:rFonts w:hint="eastAsia" w:ascii="宋体" w:hAnsi="宋体" w:eastAsia="宋体" w:cs="宋体"/>
                <w:color w:val="000000"/>
                <w:sz w:val="20"/>
              </w:rPr>
              <w:tab/>
            </w:r>
            <w:r>
              <w:rPr>
                <w:rFonts w:hint="eastAsia" w:ascii="宋体" w:hAnsi="宋体" w:eastAsia="宋体" w:cs="宋体"/>
                <w:color w:val="000000"/>
                <w:sz w:val="20"/>
              </w:rPr>
              <w:tab/>
            </w:r>
            <w:r>
              <w:rPr>
                <w:rFonts w:hint="eastAsia" w:ascii="宋体" w:hAnsi="宋体" w:eastAsia="宋体" w:cs="宋体"/>
                <w:color w:val="000000"/>
                <w:sz w:val="20"/>
              </w:rPr>
              <w:tab/>
            </w:r>
            <w:r>
              <w:rPr>
                <w:rFonts w:hint="eastAsia" w:ascii="宋体" w:hAnsi="宋体" w:eastAsia="宋体" w:cs="宋体"/>
                <w:color w:val="000000"/>
                <w:sz w:val="20"/>
              </w:rPr>
              <w:tab/>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7.20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7.20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0.00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驻村补助对驻村队员的生活起到了极好的帮助，有效的提高了驻村队员的工程积极性，新发乡申请1-7月驻村补助。</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ab/>
            </w:r>
            <w:r>
              <w:rPr>
                <w:rFonts w:hint="eastAsia" w:ascii="宋体" w:hAnsi="宋体" w:eastAsia="宋体" w:cs="宋体"/>
                <w:color w:val="000000"/>
                <w:sz w:val="20"/>
              </w:rPr>
              <w:t>驻村补助</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=100元/人/天</w:t>
            </w:r>
            <w:r>
              <w:rPr>
                <w:rFonts w:hint="eastAsia" w:ascii="宋体" w:hAnsi="宋体" w:eastAsia="宋体" w:cs="宋体"/>
                <w:color w:val="000000"/>
                <w:sz w:val="20"/>
              </w:rPr>
              <w:tab/>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ab/>
            </w:r>
            <w:r>
              <w:rPr>
                <w:rFonts w:hint="eastAsia" w:ascii="宋体" w:hAnsi="宋体" w:eastAsia="宋体" w:cs="宋体"/>
                <w:color w:val="000000"/>
                <w:sz w:val="20"/>
              </w:rPr>
              <w:t>驻村第一书记人数</w:t>
            </w:r>
            <w:r>
              <w:rPr>
                <w:rFonts w:hint="eastAsia" w:ascii="宋体" w:hAnsi="宋体" w:eastAsia="宋体" w:cs="宋体"/>
                <w:color w:val="000000"/>
                <w:sz w:val="20"/>
              </w:rPr>
              <w:tab/>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=2人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ab/>
            </w:r>
            <w:r>
              <w:rPr>
                <w:rFonts w:hint="eastAsia" w:ascii="宋体" w:hAnsi="宋体" w:eastAsia="宋体" w:cs="宋体"/>
                <w:color w:val="000000"/>
                <w:sz w:val="20"/>
              </w:rPr>
              <w:tab/>
            </w:r>
            <w:r>
              <w:rPr>
                <w:rFonts w:hint="eastAsia" w:ascii="宋体" w:hAnsi="宋体" w:eastAsia="宋体" w:cs="宋体"/>
                <w:color w:val="000000"/>
                <w:sz w:val="20"/>
              </w:rPr>
              <w:t>驻村天数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=720天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ab/>
            </w:r>
            <w:r>
              <w:rPr>
                <w:rFonts w:hint="eastAsia" w:ascii="宋体" w:hAnsi="宋体" w:eastAsia="宋体" w:cs="宋体"/>
                <w:color w:val="000000"/>
                <w:sz w:val="20"/>
              </w:rPr>
              <w:t>保证工作质量</w:t>
            </w:r>
            <w:r>
              <w:rPr>
                <w:rFonts w:hint="eastAsia" w:ascii="宋体" w:hAnsi="宋体" w:eastAsia="宋体" w:cs="宋体"/>
                <w:color w:val="000000"/>
                <w:sz w:val="20"/>
              </w:rPr>
              <w:tab/>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&gt;-99%</w:t>
            </w:r>
            <w:r>
              <w:rPr>
                <w:rFonts w:hint="eastAsia" w:ascii="宋体" w:hAnsi="宋体" w:eastAsia="宋体" w:cs="宋体"/>
                <w:color w:val="000000"/>
                <w:sz w:val="20"/>
              </w:rPr>
              <w:tab/>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ab/>
            </w:r>
            <w:r>
              <w:rPr>
                <w:rFonts w:hint="eastAsia" w:ascii="宋体" w:hAnsi="宋体" w:eastAsia="宋体" w:cs="宋体"/>
                <w:color w:val="000000"/>
                <w:sz w:val="20"/>
              </w:rPr>
              <w:t>补助发放及时率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ab/>
            </w:r>
            <w:r>
              <w:rPr>
                <w:rFonts w:hint="eastAsia" w:ascii="宋体" w:hAnsi="宋体" w:eastAsia="宋体" w:cs="宋体"/>
                <w:color w:val="000000"/>
                <w:sz w:val="20"/>
              </w:rPr>
              <w:t>驻村补助对第一书记帮助率</w:t>
            </w:r>
            <w:r>
              <w:rPr>
                <w:rFonts w:hint="eastAsia" w:ascii="宋体" w:hAnsi="宋体" w:eastAsia="宋体" w:cs="宋体"/>
                <w:color w:val="000000"/>
                <w:sz w:val="20"/>
              </w:rPr>
              <w:tab/>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服务对象满意度指标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第一书记对驻村补助满意度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=100%</w:t>
            </w:r>
          </w:p>
        </w:tc>
      </w:tr>
    </w:tbl>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新发乡2023年村级组织运转经费</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96.42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96.42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通过发放该笔经费保障村级各项工作有序进行，保证日常工作正常运转。</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经费保障村数量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=6村</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村级组织正常运转率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村均运转经费数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=16070元/村</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材料运转经费拨付及时率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&gt;=99%</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提升基层党组织情况</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村干部满意度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w:t>
      </w:r>
      <w:r>
        <w:rPr>
          <w:rFonts w:hint="eastAsia" w:ascii="仿宋_GB2312" w:hAnsi="仿宋_GB2312" w:cs="仿宋_GB2312"/>
          <w:szCs w:val="32"/>
          <w:lang w:val="en-US" w:eastAsia="zh-CN"/>
        </w:rPr>
        <w:t>985.81</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692.67</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104.27</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kern w:val="0"/>
          <w:szCs w:val="32"/>
          <w:lang w:val="en-US" w:eastAsia="zh-CN"/>
        </w:rPr>
        <w:t>34.80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val="en-US" w:eastAsia="zh-CN"/>
        </w:rPr>
        <w:t>96.42</w:t>
      </w:r>
      <w:r>
        <w:rPr>
          <w:rFonts w:hint="eastAsia" w:ascii="仿宋_GB2312" w:hAnsi="仿宋_GB2312" w:eastAsia="仿宋_GB2312" w:cs="仿宋_GB2312"/>
          <w:szCs w:val="32"/>
        </w:rPr>
        <w:t>万元，</w:t>
      </w:r>
      <w:bookmarkStart w:id="0" w:name="_GoBack"/>
      <w:bookmarkEnd w:id="0"/>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57.65</w:t>
      </w:r>
      <w:r>
        <w:rPr>
          <w:rFonts w:hint="eastAsia" w:ascii="仿宋_GB2312" w:hAnsi="仿宋_GB2312" w:eastAsia="仿宋_GB2312" w:cs="仿宋_GB2312"/>
          <w:szCs w:val="32"/>
        </w:rPr>
        <w:t>万元。</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985.81</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985.81</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年预算增加</w:t>
      </w:r>
      <w:r>
        <w:rPr>
          <w:rFonts w:hint="eastAsia" w:ascii="仿宋_GB2312" w:hAnsi="仿宋_GB2312" w:cs="仿宋_GB2312"/>
          <w:szCs w:val="32"/>
          <w:lang w:val="en-US" w:eastAsia="zh-CN"/>
        </w:rPr>
        <w:t>67.44</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一般公共预算增加</w:t>
      </w:r>
      <w:r>
        <w:rPr>
          <w:rFonts w:hint="eastAsia" w:ascii="仿宋_GB2312" w:hAnsi="仿宋_GB2312" w:eastAsia="仿宋_GB2312" w:cs="仿宋_GB2312"/>
          <w:szCs w:val="32"/>
        </w:rPr>
        <w:t>。</w:t>
      </w:r>
    </w:p>
    <w:p>
      <w:pPr>
        <w:ind w:firstLine="640" w:firstLineChars="200"/>
        <w:rPr>
          <w:rFonts w:hint="eastAsia" w:ascii="仿宋_GB2312" w:hAnsi="仿宋_GB2312" w:eastAsia="仿宋_GB2312" w:cs="仿宋_GB2312"/>
          <w:szCs w:val="32"/>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985.81</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985.81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val="en-US" w:eastAsia="zh-CN"/>
        </w:rPr>
        <w:t>985.81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万元，占__%；国有资本经营预算拨款收入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985.81</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813.36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82.51</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172.45</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17.49</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firstLineChars="200"/>
        <w:rPr>
          <w:rFonts w:hint="eastAsia" w:ascii="仿宋_GB2312" w:hAnsi="仿宋_GB2312" w:eastAsia="仿宋_GB2312" w:cs="仿宋_GB2312"/>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985.81</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985.81</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692.67</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104.27</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kern w:val="0"/>
          <w:szCs w:val="32"/>
          <w:lang w:val="en-US" w:eastAsia="zh-CN"/>
        </w:rPr>
        <w:t>34.80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val="en-US" w:eastAsia="zh-CN"/>
        </w:rPr>
        <w:t>96.42</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kern w:val="0"/>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57.65</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985.81</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813.36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82.51</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172.45</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17.49</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738.18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90.76</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75.18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9.24</w:t>
      </w:r>
      <w:r>
        <w:rPr>
          <w:rFonts w:hint="eastAsia" w:ascii="仿宋_GB2312" w:hAnsi="仿宋_GB2312" w:eastAsia="仿宋_GB2312" w:cs="仿宋_GB2312"/>
          <w:szCs w:val="32"/>
        </w:rPr>
        <w:t>%。</w:t>
      </w:r>
    </w:p>
    <w:p>
      <w:pPr>
        <w:spacing w:line="520" w:lineRule="exact"/>
        <w:ind w:firstLine="200"/>
        <w:rPr>
          <w:rFonts w:hint="default" w:ascii="仿宋_GB2312" w:hAnsi="仿宋_GB2312" w:eastAsia="仿宋_GB2312" w:cs="仿宋_GB2312"/>
          <w:szCs w:val="32"/>
          <w:lang w:val="en-US"/>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692.67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70.26</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人员工资、办公经费等。</w:t>
      </w:r>
    </w:p>
    <w:p>
      <w:pPr>
        <w:spacing w:line="520" w:lineRule="exact"/>
        <w:ind w:firstLine="200"/>
        <w:rPr>
          <w:rFonts w:hint="eastAsia" w:ascii="仿宋_GB2312" w:hAnsi="仿宋_GB2312" w:eastAsia="仿宋_GB2312" w:cs="仿宋_GB2312"/>
          <w:szCs w:val="32"/>
          <w:highlight w:val="none"/>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104.27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10.58</w:t>
      </w:r>
      <w:r>
        <w:rPr>
          <w:rFonts w:hint="eastAsia" w:ascii="仿宋_GB2312" w:hAnsi="仿宋_GB2312" w:eastAsia="仿宋_GB2312" w:cs="仿宋_GB2312"/>
          <w:szCs w:val="32"/>
        </w:rPr>
        <w:t>%，主要用</w:t>
      </w:r>
      <w:r>
        <w:rPr>
          <w:rFonts w:hint="eastAsia" w:ascii="仿宋_GB2312" w:hAnsi="仿宋_GB2312" w:eastAsia="仿宋_GB2312" w:cs="仿宋_GB2312"/>
          <w:szCs w:val="32"/>
          <w:highlight w:val="none"/>
        </w:rPr>
        <w:t>于</w:t>
      </w:r>
      <w:r>
        <w:rPr>
          <w:rFonts w:hint="eastAsia" w:ascii="仿宋_GB2312" w:hAnsi="仿宋_GB2312" w:cs="仿宋_GB2312"/>
          <w:szCs w:val="32"/>
          <w:highlight w:val="none"/>
          <w:lang w:eastAsia="zh-CN"/>
        </w:rPr>
        <w:t>行政事业单位基本养老保险支出和职业年金缴费支出</w:t>
      </w:r>
      <w:r>
        <w:rPr>
          <w:rFonts w:hint="eastAsia" w:ascii="仿宋_GB2312" w:hAnsi="仿宋_GB2312" w:eastAsia="仿宋_GB2312" w:cs="仿宋_GB2312"/>
          <w:szCs w:val="32"/>
          <w:highlight w:val="none"/>
        </w:rPr>
        <w:t>。</w:t>
      </w:r>
    </w:p>
    <w:p>
      <w:pPr>
        <w:spacing w:line="520" w:lineRule="exact"/>
        <w:ind w:firstLine="20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卫生健康</w:t>
      </w:r>
      <w:r>
        <w:rPr>
          <w:rFonts w:hint="eastAsia" w:ascii="仿宋_GB2312" w:hAnsi="仿宋_GB2312" w:eastAsia="仿宋_GB2312" w:cs="仿宋_GB2312"/>
          <w:szCs w:val="32"/>
          <w:highlight w:val="none"/>
        </w:rPr>
        <w:t>（类）支出</w:t>
      </w:r>
      <w:r>
        <w:rPr>
          <w:rFonts w:hint="eastAsia" w:ascii="仿宋_GB2312" w:hAnsi="仿宋_GB2312" w:cs="仿宋_GB2312"/>
          <w:szCs w:val="32"/>
          <w:highlight w:val="none"/>
          <w:lang w:val="en-US" w:eastAsia="zh-CN"/>
        </w:rPr>
        <w:t>34.80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3.53</w:t>
      </w:r>
      <w:r>
        <w:rPr>
          <w:rFonts w:hint="eastAsia" w:ascii="仿宋_GB2312" w:hAnsi="仿宋_GB2312" w:eastAsia="仿宋_GB2312" w:cs="仿宋_GB2312"/>
          <w:szCs w:val="32"/>
          <w:highlight w:val="none"/>
        </w:rPr>
        <w:t>%，主要用于</w:t>
      </w:r>
      <w:r>
        <w:rPr>
          <w:rFonts w:hint="eastAsia" w:ascii="仿宋_GB2312" w:hAnsi="仿宋_GB2312" w:cs="仿宋_GB2312"/>
          <w:szCs w:val="32"/>
          <w:highlight w:val="none"/>
          <w:lang w:eastAsia="zh-CN"/>
        </w:rPr>
        <w:t>行政事业单位基本医疗保险支出</w:t>
      </w:r>
      <w:r>
        <w:rPr>
          <w:rFonts w:hint="eastAsia" w:ascii="仿宋_GB2312" w:hAnsi="仿宋_GB2312" w:eastAsia="仿宋_GB2312" w:cs="仿宋_GB2312"/>
          <w:szCs w:val="32"/>
          <w:highlight w:val="none"/>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w:t>
      </w:r>
      <w:r>
        <w:rPr>
          <w:rFonts w:hint="eastAsia" w:ascii="仿宋_GB2312" w:hAnsi="仿宋_GB2312" w:cs="仿宋_GB2312"/>
          <w:szCs w:val="32"/>
          <w:lang w:val="en-US" w:eastAsia="zh-CN"/>
        </w:rPr>
        <w:t>96.42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9.78</w:t>
      </w:r>
      <w:r>
        <w:rPr>
          <w:rFonts w:hint="eastAsia" w:ascii="仿宋_GB2312" w:hAnsi="仿宋_GB2312" w:eastAsia="仿宋_GB2312" w:cs="仿宋_GB2312"/>
          <w:szCs w:val="32"/>
        </w:rPr>
        <w:t>%，主要用于</w:t>
      </w:r>
      <w:r>
        <w:rPr>
          <w:rFonts w:hint="eastAsia" w:ascii="仿宋" w:hAnsi="仿宋" w:eastAsia="仿宋" w:cs="仿宋"/>
          <w:color w:val="000000"/>
          <w:sz w:val="32"/>
          <w:szCs w:val="32"/>
          <w:lang w:val="en-US" w:eastAsia="zh-CN"/>
        </w:rPr>
        <w:t>村级组织运转经费</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p>
    <w:p>
      <w:pPr>
        <w:spacing w:line="520" w:lineRule="exact"/>
        <w:ind w:firstLine="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57.65</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5.85</w:t>
      </w:r>
      <w:r>
        <w:rPr>
          <w:rFonts w:hint="eastAsia" w:ascii="仿宋_GB2312" w:hAnsi="仿宋_GB2312" w:eastAsia="仿宋_GB2312" w:cs="仿宋_GB2312"/>
          <w:szCs w:val="32"/>
        </w:rPr>
        <w:t>%，主要用于</w:t>
      </w:r>
      <w:r>
        <w:rPr>
          <w:rFonts w:hint="eastAsia" w:ascii="仿宋_GB2312" w:hAnsi="仿宋_GB2312" w:cs="仿宋_GB2312"/>
          <w:szCs w:val="32"/>
          <w:lang w:eastAsia="zh-CN"/>
        </w:rPr>
        <w:t>行政事业单位住房公积金支出</w:t>
      </w:r>
      <w:r>
        <w:rPr>
          <w:rFonts w:hint="eastAsia" w:ascii="仿宋_GB2312" w:hAnsi="仿宋_GB2312" w:eastAsia="仿宋_GB2312" w:cs="仿宋_GB2312"/>
          <w:szCs w:val="32"/>
        </w:rPr>
        <w:t>。</w:t>
      </w:r>
    </w:p>
    <w:p>
      <w:pPr>
        <w:spacing w:line="520" w:lineRule="exact"/>
        <w:ind w:firstLine="200"/>
        <w:rPr>
          <w:rFonts w:hint="eastAsia"/>
          <w:szCs w:val="32"/>
        </w:rPr>
      </w:pP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813.36</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738.18</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75.18</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eastAsia="楷体"/>
          <w:szCs w:val="32"/>
        </w:rPr>
        <w:t>本部门无一般公共预算拨款</w:t>
      </w:r>
    </w:p>
    <w:p>
      <w:pPr>
        <w:ind w:firstLine="640" w:firstLineChars="200"/>
        <w:rPr>
          <w:rFonts w:hint="eastAsia" w:ascii="仿宋_GB2312" w:hAnsi="仿宋_GB2312" w:eastAsia="仿宋_GB2312" w:cs="仿宋_GB2312"/>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szCs w:val="32"/>
        </w:rPr>
      </w:pPr>
      <w:r>
        <w:rPr>
          <w:rFonts w:eastAsia="楷体"/>
          <w:szCs w:val="32"/>
        </w:rPr>
        <w:t>本部门无政府性基金预算拨款</w:t>
      </w:r>
    </w:p>
    <w:p>
      <w:pPr>
        <w:ind w:firstLine="640"/>
        <w:rPr>
          <w:szCs w:val="32"/>
        </w:rPr>
      </w:pPr>
    </w:p>
    <w:p>
      <w:pPr>
        <w:ind w:firstLine="640"/>
        <w:rPr>
          <w:szCs w:val="32"/>
        </w:rPr>
      </w:pPr>
    </w:p>
    <w:p>
      <w:pPr>
        <w:ind w:firstLine="640"/>
        <w:rPr>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p>
    <w:p>
      <w:pPr>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szCs w:val="32"/>
        </w:rPr>
      </w:pPr>
      <w:r>
        <w:rPr>
          <w:rFonts w:eastAsia="楷体"/>
          <w:szCs w:val="32"/>
        </w:rPr>
        <w:t>本部门无</w:t>
      </w:r>
      <w:r>
        <w:rPr>
          <w:rFonts w:hint="eastAsia" w:eastAsia="楷体"/>
          <w:szCs w:val="32"/>
        </w:rPr>
        <w:t>国有资本经营</w:t>
      </w:r>
      <w:r>
        <w:rPr>
          <w:rFonts w:eastAsia="楷体"/>
          <w:szCs w:val="32"/>
        </w:rPr>
        <w:t>预算拨款”</w:t>
      </w: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年部门本级等</w:t>
      </w:r>
      <w:r>
        <w:rPr>
          <w:rFonts w:hint="eastAsia" w:ascii="仿宋_GB2312" w:hAnsi="仿宋_GB2312" w:cs="仿宋_GB2312"/>
          <w:szCs w:val="32"/>
          <w:lang w:val="en-US" w:eastAsia="zh-CN"/>
        </w:rPr>
        <w:t>1</w:t>
      </w:r>
      <w:r>
        <w:rPr>
          <w:rFonts w:hint="eastAsia" w:ascii="仿宋_GB2312" w:hAnsi="仿宋_GB2312" w:eastAsia="仿宋_GB2312" w:cs="仿宋_GB2312"/>
          <w:szCs w:val="32"/>
        </w:rPr>
        <w:t>家行政单位以及</w:t>
      </w:r>
      <w:r>
        <w:rPr>
          <w:rFonts w:hint="eastAsia" w:ascii="仿宋_GB2312" w:hAnsi="仿宋_GB2312" w:cs="仿宋_GB2312"/>
          <w:szCs w:val="32"/>
          <w:lang w:val="en-US" w:eastAsia="zh-CN"/>
        </w:rPr>
        <w:t>1</w:t>
      </w:r>
      <w:r>
        <w:rPr>
          <w:rFonts w:hint="eastAsia" w:ascii="仿宋_GB2312" w:hAnsi="仿宋_GB2312" w:eastAsia="仿宋_GB2312" w:cs="仿宋_GB2312"/>
          <w:szCs w:val="32"/>
        </w:rPr>
        <w:t>家参公管理事业单位的机关运行经费财政拨款预算</w:t>
      </w:r>
      <w:r>
        <w:rPr>
          <w:rFonts w:hint="eastAsia" w:ascii="仿宋_GB2312" w:hAnsi="仿宋_GB2312" w:cs="仿宋_GB2312"/>
          <w:szCs w:val="32"/>
          <w:lang w:val="en-US" w:eastAsia="zh-CN"/>
        </w:rPr>
        <w:t>46.38</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w:t>
      </w:r>
      <w:r>
        <w:rPr>
          <w:rFonts w:hint="eastAsia" w:ascii="仿宋_GB2312" w:hAnsi="仿宋_GB2312" w:cs="仿宋_GB2312"/>
          <w:szCs w:val="32"/>
          <w:lang w:val="en-US" w:eastAsia="zh-CN"/>
        </w:rPr>
        <w:t>17.58</w:t>
      </w:r>
      <w:r>
        <w:rPr>
          <w:rFonts w:hint="eastAsia" w:ascii="仿宋_GB2312" w:hAnsi="仿宋_GB2312" w:eastAsia="仿宋_GB2312" w:cs="仿宋_GB2312"/>
          <w:szCs w:val="32"/>
        </w:rPr>
        <w:t>万元，增长</w:t>
      </w:r>
      <w:r>
        <w:rPr>
          <w:rFonts w:hint="eastAsia" w:ascii="仿宋_GB2312" w:hAnsi="仿宋_GB2312" w:cs="仿宋_GB2312"/>
          <w:szCs w:val="32"/>
          <w:lang w:val="en-US" w:eastAsia="zh-CN"/>
        </w:rPr>
        <w:t>61.04</w:t>
      </w:r>
      <w:r>
        <w:rPr>
          <w:rFonts w:hint="eastAsia" w:ascii="仿宋_GB2312" w:hAnsi="仿宋_GB2312" w:eastAsia="仿宋_GB2312" w:cs="仿宋_GB2312"/>
          <w:szCs w:val="32"/>
        </w:rPr>
        <w:t>%，主要原因是</w:t>
      </w:r>
      <w:r>
        <w:rPr>
          <w:rFonts w:hint="eastAsia" w:ascii="仿宋_GB2312" w:hAnsi="仿宋_GB2312" w:cs="仿宋_GB2312"/>
          <w:szCs w:val="32"/>
          <w:lang w:eastAsia="zh-CN"/>
        </w:rPr>
        <w:t>办公费、其他交通费用有所增加</w:t>
      </w:r>
      <w:r>
        <w:rPr>
          <w:rFonts w:hint="eastAsia" w:ascii="仿宋_GB2312" w:hAnsi="仿宋_GB2312" w:eastAsia="仿宋_GB2312" w:cs="仿宋_GB2312"/>
          <w:szCs w:val="32"/>
        </w:rPr>
        <w:t>。</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万元，其中：政府采购货物预算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万元、政府采购工程预算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万元、政府采购服务预算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2022</w:t>
      </w:r>
      <w:r>
        <w:rPr>
          <w:rFonts w:hint="eastAsia" w:ascii="仿宋_GB2312" w:hAnsi="仿宋_GB2312" w:eastAsia="仿宋_GB2312" w:cs="仿宋_GB2312"/>
          <w:szCs w:val="32"/>
        </w:rPr>
        <w:t>年8月底，部门本级和所属各预算单位共有车辆</w:t>
      </w:r>
      <w:r>
        <w:rPr>
          <w:rFonts w:hint="eastAsia" w:ascii="仿宋_GB2312" w:hAnsi="仿宋_GB2312" w:cs="仿宋_GB2312"/>
          <w:szCs w:val="32"/>
          <w:lang w:val="en-US" w:eastAsia="zh-CN"/>
        </w:rPr>
        <w:t>3</w:t>
      </w:r>
      <w:r>
        <w:rPr>
          <w:rFonts w:hint="eastAsia" w:ascii="仿宋_GB2312" w:hAnsi="仿宋_GB2312" w:eastAsia="仿宋_GB2312" w:cs="仿宋_GB2312"/>
          <w:szCs w:val="32"/>
        </w:rPr>
        <w:t>辆，土地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平方米，房屋</w:t>
      </w:r>
      <w:r>
        <w:rPr>
          <w:rFonts w:hint="eastAsia" w:ascii="仿宋_GB2312" w:hAnsi="仿宋_GB2312" w:cs="仿宋_GB2312"/>
          <w:szCs w:val="32"/>
          <w:lang w:val="en-US" w:eastAsia="zh-CN"/>
        </w:rPr>
        <w:t>3083.31</w:t>
      </w:r>
      <w:r>
        <w:rPr>
          <w:rFonts w:hint="eastAsia" w:ascii="仿宋_GB2312" w:hAnsi="仿宋_GB2312" w:eastAsia="仿宋_GB2312" w:cs="仿宋_GB2312"/>
          <w:szCs w:val="32"/>
        </w:rPr>
        <w:t>平方米，单价50万元及以上的通用设备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辆，安排购置土地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平方米，安排购置房屋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lang w:val="en-US" w:eastAsia="zh-CN"/>
        </w:rPr>
        <w:t>172.45</w:t>
      </w:r>
      <w:r>
        <w:rPr>
          <w:rFonts w:hint="eastAsia" w:ascii="仿宋_GB2312" w:hAnsi="仿宋_GB2312" w:eastAsia="仿宋_GB2312" w:cs="仿宋_GB2312"/>
          <w:szCs w:val="32"/>
          <w:highlight w:val="none"/>
        </w:rPr>
        <w:t>万元，其中：一级项目____个，二级项目____个；使用本年拨款</w:t>
      </w:r>
      <w:r>
        <w:rPr>
          <w:rFonts w:hint="eastAsia" w:ascii="仿宋_GB2312" w:hAnsi="仿宋_GB2312" w:cs="仿宋_GB2312"/>
          <w:szCs w:val="32"/>
          <w:highlight w:val="none"/>
          <w:lang w:val="en-US" w:eastAsia="zh-CN"/>
        </w:rPr>
        <w:t>72.45</w:t>
      </w:r>
      <w:r>
        <w:rPr>
          <w:rFonts w:hint="eastAsia" w:ascii="仿宋_GB2312" w:hAnsi="仿宋_GB2312" w:eastAsia="仿宋_GB2312" w:cs="仿宋_GB2312"/>
          <w:szCs w:val="32"/>
          <w:highlight w:val="none"/>
        </w:rPr>
        <w:t>万元，财政拨款结转____万元。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eastAsia="仿宋_GB2312" w:cs="仿宋_GB2312"/>
          <w:szCs w:val="32"/>
        </w:rPr>
        <w:t>____</w:t>
      </w:r>
      <w:r>
        <w:rPr>
          <w:rFonts w:hint="eastAsia" w:ascii="仿宋_GB2312" w:hAnsi="仿宋_GB2312" w:eastAsia="仿宋_GB2312" w:cs="仿宋_GB2312"/>
        </w:rPr>
        <w:t>个一级项目支出的绩效目标和指标向社会公开，涉及金额</w:t>
      </w:r>
      <w:r>
        <w:rPr>
          <w:rFonts w:hint="eastAsia" w:ascii="仿宋_GB2312" w:hAnsi="仿宋_GB2312" w:eastAsia="仿宋_GB2312" w:cs="仿宋_GB2312"/>
          <w:szCs w:val="32"/>
        </w:rPr>
        <w:t>_____</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CA19BE00-47C2-4FB5-9084-22725A7E69F1}"/>
  </w:font>
  <w:font w:name="黑体">
    <w:panose1 w:val="02010609060101010101"/>
    <w:charset w:val="86"/>
    <w:family w:val="auto"/>
    <w:pitch w:val="default"/>
    <w:sig w:usb0="800002BF" w:usb1="38CF7CFA" w:usb2="00000016" w:usb3="00000000" w:csb0="00040001" w:csb1="00000000"/>
    <w:embedRegular r:id="rId2" w:fontKey="{885B92FA-077F-4EAD-B0CE-0C8F7208075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6B5D2E56-A550-4831-8C2B-B8017EF7A128}"/>
  </w:font>
  <w:font w:name="仿宋_GB2312">
    <w:altName w:val="仿宋"/>
    <w:panose1 w:val="02010609030101010101"/>
    <w:charset w:val="86"/>
    <w:family w:val="modern"/>
    <w:pitch w:val="default"/>
    <w:sig w:usb0="00000000" w:usb1="00000000" w:usb2="00000000" w:usb3="00000000" w:csb0="00040000" w:csb1="00000000"/>
    <w:embedRegular r:id="rId4" w:fontKey="{8A501E15-1A9F-4322-A656-2483E276B3CA}"/>
  </w:font>
  <w:font w:name="华文细黑">
    <w:panose1 w:val="02010600040101010101"/>
    <w:charset w:val="86"/>
    <w:family w:val="auto"/>
    <w:pitch w:val="default"/>
    <w:sig w:usb0="00000287" w:usb1="080F0000" w:usb2="00000000" w:usb3="00000000" w:csb0="0004009F" w:csb1="DFD70000"/>
    <w:embedRegular r:id="rId5" w:fontKey="{A9140469-D304-4ABB-9F5D-E060C41F8AC7}"/>
  </w:font>
  <w:font w:name="方正小标宋简体">
    <w:panose1 w:val="02000000000000000000"/>
    <w:charset w:val="86"/>
    <w:family w:val="auto"/>
    <w:pitch w:val="default"/>
    <w:sig w:usb0="00000001" w:usb1="08000000" w:usb2="00000000" w:usb3="00000000" w:csb0="00040000" w:csb1="00000000"/>
    <w:embedRegular r:id="rId6" w:fontKey="{FFA2B9D4-481C-46F8-9B38-A06C57B716ED}"/>
  </w:font>
  <w:font w:name="楷体_GB2312">
    <w:altName w:val="楷体"/>
    <w:panose1 w:val="02010609030101010101"/>
    <w:charset w:val="86"/>
    <w:family w:val="modern"/>
    <w:pitch w:val="default"/>
    <w:sig w:usb0="00000000" w:usb1="00000000" w:usb2="00000000" w:usb3="00000000" w:csb0="00040000" w:csb1="00000000"/>
    <w:embedRegular r:id="rId7" w:fontKey="{E536DD2A-B427-4461-AFA5-64BE5B70A822}"/>
  </w:font>
  <w:font w:name="楷体">
    <w:panose1 w:val="02010609060101010101"/>
    <w:charset w:val="86"/>
    <w:family w:val="auto"/>
    <w:pitch w:val="default"/>
    <w:sig w:usb0="800002BF" w:usb1="38CF7CFA" w:usb2="00000016" w:usb3="00000000" w:csb0="00040001" w:csb1="00000000"/>
    <w:embedRegular r:id="rId8" w:fontKey="{A2F03C65-EE81-4109-A04C-8598156C623B}"/>
  </w:font>
  <w:font w:name="Verdana">
    <w:panose1 w:val="020B0604030504040204"/>
    <w:charset w:val="00"/>
    <w:family w:val="auto"/>
    <w:pitch w:val="default"/>
    <w:sig w:usb0="A00006FF" w:usb1="4000205B" w:usb2="00000010" w:usb3="00000000" w:csb0="2000019F" w:csb1="00000000"/>
    <w:embedRegular r:id="rId9" w:fontKey="{E8C76F5C-420C-45BB-8E71-FCC24978C815}"/>
  </w:font>
  <w:font w:name="仿宋">
    <w:panose1 w:val="02010609060101010101"/>
    <w:charset w:val="86"/>
    <w:family w:val="auto"/>
    <w:pitch w:val="default"/>
    <w:sig w:usb0="800002BF" w:usb1="38CF7CFA" w:usb2="00000016" w:usb3="00000000" w:csb0="00040001" w:csb1="00000000"/>
    <w:embedRegular r:id="rId10" w:fontKey="{49A03413-2D80-4A1C-AB04-D9487A99441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2YTFmYWUzN2M3YjE3YzAwZGI4OTA3Yzg2MzU5ZT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25794"/>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19B0564"/>
    <w:rsid w:val="12E711B7"/>
    <w:rsid w:val="136D62BD"/>
    <w:rsid w:val="13F21722"/>
    <w:rsid w:val="1441443C"/>
    <w:rsid w:val="14C12787"/>
    <w:rsid w:val="15593E10"/>
    <w:rsid w:val="159F7E25"/>
    <w:rsid w:val="15F848D0"/>
    <w:rsid w:val="160E1FA5"/>
    <w:rsid w:val="160F2600"/>
    <w:rsid w:val="16563862"/>
    <w:rsid w:val="17765BCA"/>
    <w:rsid w:val="17A027D8"/>
    <w:rsid w:val="197E766C"/>
    <w:rsid w:val="1A817DF8"/>
    <w:rsid w:val="1ADC594E"/>
    <w:rsid w:val="1AEB5252"/>
    <w:rsid w:val="1C57227D"/>
    <w:rsid w:val="1C852172"/>
    <w:rsid w:val="1CA40C0C"/>
    <w:rsid w:val="1CFF4A32"/>
    <w:rsid w:val="1D833200"/>
    <w:rsid w:val="1E2D59A2"/>
    <w:rsid w:val="1E3A3FD0"/>
    <w:rsid w:val="1EB55C07"/>
    <w:rsid w:val="1F351A10"/>
    <w:rsid w:val="1FED47E9"/>
    <w:rsid w:val="206816AC"/>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0A3827"/>
    <w:rsid w:val="405745EF"/>
    <w:rsid w:val="40B80EFF"/>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8C80EC5"/>
    <w:rsid w:val="49645F71"/>
    <w:rsid w:val="499F5C68"/>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256F6F"/>
    <w:rsid w:val="5F6235A9"/>
    <w:rsid w:val="614125C2"/>
    <w:rsid w:val="624C5C52"/>
    <w:rsid w:val="63952BB5"/>
    <w:rsid w:val="63DF08E4"/>
    <w:rsid w:val="64127E15"/>
    <w:rsid w:val="64C04AFD"/>
    <w:rsid w:val="661A7B69"/>
    <w:rsid w:val="664909C1"/>
    <w:rsid w:val="66C63EB5"/>
    <w:rsid w:val="677772D0"/>
    <w:rsid w:val="679461D3"/>
    <w:rsid w:val="6858287E"/>
    <w:rsid w:val="69157114"/>
    <w:rsid w:val="691A443E"/>
    <w:rsid w:val="6A80735F"/>
    <w:rsid w:val="6ACC5E47"/>
    <w:rsid w:val="6AD43ED1"/>
    <w:rsid w:val="6B11024D"/>
    <w:rsid w:val="6B7D5B36"/>
    <w:rsid w:val="6CF120A8"/>
    <w:rsid w:val="714213DD"/>
    <w:rsid w:val="717F272E"/>
    <w:rsid w:val="728027C6"/>
    <w:rsid w:val="72D54D7C"/>
    <w:rsid w:val="737664E0"/>
    <w:rsid w:val="73FE7ACC"/>
    <w:rsid w:val="74053F35"/>
    <w:rsid w:val="74556746"/>
    <w:rsid w:val="74AB7A24"/>
    <w:rsid w:val="76BB79B1"/>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3</TotalTime>
  <ScaleCrop>false</ScaleCrop>
  <LinksUpToDate>false</LinksUpToDate>
  <CharactersWithSpaces>8690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逍遥</cp:lastModifiedBy>
  <cp:lastPrinted>2024-01-27T05:05:00Z</cp:lastPrinted>
  <dcterms:modified xsi:type="dcterms:W3CDTF">2024-01-26T17:12:36Z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commondata">
    <vt:lpwstr>eyJoZGlkIjoiZWM5MjE1YWFmYzZkMzU5ZGRkN2NlNjYxOGIzMjAyOWQifQ==</vt:lpwstr>
  </property>
  <property fmtid="{D5CDD505-2E9C-101B-9397-08002B2CF9AE}" pid="4" name="ICV">
    <vt:lpwstr>56F2210FB38A46ABA9E8C2F7D09A3590_13</vt:lpwstr>
  </property>
</Properties>
</file>