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lang w:val="en-US" w:eastAsia="zh-CN"/>
        </w:rPr>
        <w:t>通榆县新华镇人民政府</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center"/>
        <w:rPr>
          <w:rFonts w:hint="default" w:eastAsia="方正小标宋简体"/>
          <w:sz w:val="44"/>
          <w:szCs w:val="44"/>
          <w:lang w:val="en-US" w:eastAsia="zh-CN"/>
        </w:rPr>
      </w:pPr>
      <w:r>
        <w:rPr>
          <w:rFonts w:hint="eastAsia" w:eastAsia="方正小标宋简体"/>
          <w:sz w:val="44"/>
          <w:szCs w:val="44"/>
          <w:lang w:val="en-US" w:eastAsia="zh-CN"/>
        </w:rPr>
        <w:t>(汇总)</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spacing w:line="600" w:lineRule="atLeast"/>
        <w:ind w:firstLine="640" w:firstLineChars="200"/>
        <w:rPr>
          <w:rFonts w:hint="eastAsia" w:ascii="华文仿宋" w:hAnsi="华文仿宋" w:eastAsia="华文仿宋" w:cs="华文仿宋"/>
          <w:color w:val="000000"/>
          <w:sz w:val="28"/>
          <w:szCs w:val="44"/>
        </w:rPr>
      </w:pPr>
      <w:r>
        <w:rPr>
          <w:rFonts w:eastAsia="楷体_GB2312"/>
        </w:rPr>
        <w:t>一、主要职</w:t>
      </w:r>
      <w:r>
        <w:rPr>
          <w:rFonts w:hint="eastAsia" w:eastAsia="楷体_GB2312"/>
          <w:lang w:val="en-US" w:eastAsia="zh-CN"/>
        </w:rPr>
        <w:t>能</w:t>
      </w:r>
      <w:r>
        <w:rPr>
          <w:rFonts w:hint="eastAsia" w:ascii="华文仿宋" w:hAnsi="华文仿宋" w:eastAsia="华文仿宋" w:cs="华文仿宋"/>
          <w:sz w:val="44"/>
          <w:szCs w:val="24"/>
        </w:rPr>
        <w:t xml:space="preserve"> </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1、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2、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3、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4、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5、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6、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7、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8、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ind w:firstLine="560" w:firstLineChars="200"/>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44"/>
        </w:rPr>
        <w:t>9、完成法律、法规、规章规定的其他事项和县委、县政府交办的其他任务。</w:t>
      </w:r>
    </w:p>
    <w:p>
      <w:pPr>
        <w:ind w:firstLine="560" w:firstLineChars="200"/>
        <w:rPr>
          <w:rFonts w:hint="eastAsia" w:ascii="华文仿宋" w:hAnsi="华文仿宋" w:eastAsia="华文仿宋" w:cs="华文仿宋"/>
          <w:sz w:val="28"/>
          <w:szCs w:val="24"/>
        </w:rPr>
      </w:pPr>
    </w:p>
    <w:p>
      <w:pPr>
        <w:widowControl/>
        <w:spacing w:line="576" w:lineRule="exact"/>
        <w:ind w:firstLine="723" w:firstLineChars="200"/>
        <w:jc w:val="left"/>
        <w:rPr>
          <w:rFonts w:hint="eastAsia" w:ascii="仿宋" w:hAnsi="仿宋" w:eastAsia="仿宋" w:cs="Arial"/>
          <w:b/>
          <w:bCs w:val="0"/>
          <w:kern w:val="0"/>
          <w:szCs w:val="32"/>
        </w:rPr>
      </w:pPr>
      <w:r>
        <w:rPr>
          <w:rFonts w:hint="eastAsia" w:ascii="仿宋" w:hAnsi="仿宋" w:eastAsia="仿宋" w:cs="Arial"/>
          <w:b/>
          <w:bCs w:val="0"/>
          <w:kern w:val="0"/>
          <w:sz w:val="36"/>
          <w:szCs w:val="52"/>
          <w:lang w:val="en-US" w:eastAsia="zh-CN"/>
        </w:rPr>
        <w:t>二、</w:t>
      </w:r>
      <w:r>
        <w:rPr>
          <w:rFonts w:hint="eastAsia" w:ascii="仿宋" w:hAnsi="仿宋" w:eastAsia="仿宋" w:cs="Arial"/>
          <w:b/>
          <w:bCs w:val="0"/>
          <w:kern w:val="0"/>
          <w:sz w:val="36"/>
          <w:szCs w:val="52"/>
        </w:rPr>
        <w:t>机构</w:t>
      </w:r>
      <w:r>
        <w:rPr>
          <w:rFonts w:hint="eastAsia" w:ascii="仿宋" w:hAnsi="仿宋" w:eastAsia="仿宋" w:cs="Arial"/>
          <w:b/>
          <w:bCs w:val="0"/>
          <w:kern w:val="0"/>
          <w:sz w:val="36"/>
          <w:szCs w:val="52"/>
          <w:lang w:val="en-US" w:eastAsia="zh-CN"/>
        </w:rPr>
        <w:t>设置</w:t>
      </w:r>
      <w:r>
        <w:rPr>
          <w:rFonts w:hint="eastAsia" w:ascii="仿宋" w:hAnsi="仿宋" w:eastAsia="仿宋"/>
          <w:b/>
          <w:bCs w:val="0"/>
          <w:sz w:val="32"/>
        </w:rPr>
        <w:t>及部门决算单位构成</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根据上述职责，通榆县</w:t>
      </w:r>
      <w:r>
        <w:rPr>
          <w:rFonts w:hint="eastAsia" w:ascii="仿宋_GB2312" w:hAnsi="仿宋_GB2312" w:eastAsia="仿宋_GB2312" w:cs="仿宋_GB2312"/>
          <w:lang w:val="en-US" w:eastAsia="zh-CN"/>
        </w:rPr>
        <w:t>新华镇</w:t>
      </w:r>
      <w:r>
        <w:rPr>
          <w:rFonts w:hint="eastAsia" w:ascii="仿宋_GB2312" w:hAnsi="仿宋_GB2312" w:eastAsia="仿宋_GB2312" w:cs="仿宋_GB2312"/>
        </w:rPr>
        <w:t>人民政府内设14个机构，分别为综合办公室、党建工作办公室、平安建设办公室、社会事务办公室（退役军人事务办公室）、农业农村办公室、综合行政执法办公室、财政经济办公室、扶贫工作办公室、乡人大、纪检监察、人武、工会、共青团、妇联。</w:t>
      </w:r>
    </w:p>
    <w:p>
      <w:pPr>
        <w:pStyle w:val="51"/>
        <w:ind w:firstLine="640" w:firstLineChars="200"/>
        <w:rPr>
          <w:rFonts w:hint="eastAsia" w:ascii="仿宋" w:hAnsi="仿宋" w:eastAsia="仿宋"/>
          <w:bCs/>
        </w:rPr>
      </w:pPr>
      <w:r>
        <w:rPr>
          <w:rFonts w:hint="eastAsia" w:ascii="仿宋_GB2312" w:hAnsi="仿宋_GB2312" w:eastAsia="仿宋_GB2312" w:cs="仿宋_GB2312"/>
        </w:rPr>
        <w:t>下设一家预算单位，为通榆县</w:t>
      </w:r>
      <w:r>
        <w:rPr>
          <w:rFonts w:hint="eastAsia" w:ascii="仿宋_GB2312" w:hAnsi="仿宋_GB2312" w:eastAsia="仿宋_GB2312" w:cs="仿宋_GB2312"/>
          <w:lang w:val="en-US" w:eastAsia="zh-CN"/>
        </w:rPr>
        <w:t>新华镇</w:t>
      </w:r>
      <w:r>
        <w:rPr>
          <w:rFonts w:hint="eastAsia" w:ascii="仿宋_GB2312" w:hAnsi="仿宋_GB2312" w:eastAsia="仿宋_GB2312" w:cs="仿宋_GB2312"/>
        </w:rPr>
        <w:t>综合服务中心。</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2、人员编制情况</w:t>
      </w:r>
    </w:p>
    <w:p>
      <w:pPr>
        <w:widowControl/>
        <w:spacing w:line="576" w:lineRule="exact"/>
        <w:ind w:firstLine="640" w:firstLineChars="200"/>
        <w:jc w:val="left"/>
        <w:rPr>
          <w:rFonts w:hint="default" w:ascii="仿宋" w:hAnsi="仿宋" w:eastAsia="仿宋" w:cs="Arial"/>
          <w:bCs/>
          <w:kern w:val="0"/>
          <w:szCs w:val="32"/>
          <w:lang w:val="en-US" w:eastAsia="zh-CN"/>
        </w:rPr>
      </w:pPr>
      <w:r>
        <w:rPr>
          <w:rFonts w:hint="eastAsia" w:ascii="仿宋" w:hAnsi="仿宋" w:eastAsia="仿宋" w:cs="Arial"/>
          <w:bCs/>
          <w:kern w:val="0"/>
          <w:szCs w:val="32"/>
        </w:rPr>
        <w:t>本部门行政编制 26人</w:t>
      </w:r>
      <w:r>
        <w:rPr>
          <w:rFonts w:hint="eastAsia" w:ascii="仿宋" w:hAnsi="仿宋" w:eastAsia="仿宋" w:cs="Arial"/>
          <w:bCs/>
          <w:kern w:val="0"/>
          <w:szCs w:val="32"/>
          <w:lang w:eastAsia="zh-CN"/>
        </w:rPr>
        <w:t>，</w:t>
      </w:r>
      <w:r>
        <w:rPr>
          <w:rFonts w:hint="eastAsia" w:ascii="仿宋" w:hAnsi="仿宋" w:eastAsia="仿宋" w:cs="Arial"/>
          <w:bCs/>
          <w:kern w:val="0"/>
          <w:szCs w:val="32"/>
          <w:lang w:val="en-US" w:eastAsia="zh-CN"/>
        </w:rPr>
        <w:t>事业编制62人。</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3、实有人员情况</w:t>
      </w:r>
    </w:p>
    <w:p>
      <w:pPr>
        <w:widowControl/>
        <w:spacing w:line="576" w:lineRule="exact"/>
        <w:ind w:firstLine="640" w:firstLineChars="200"/>
        <w:jc w:val="left"/>
        <w:rPr>
          <w:rFonts w:hint="eastAsia" w:ascii="仿宋" w:hAnsi="仿宋" w:eastAsia="仿宋" w:cs="Arial"/>
          <w:bCs/>
          <w:kern w:val="0"/>
          <w:szCs w:val="32"/>
          <w:lang w:val="en-US" w:eastAsia="zh-CN"/>
        </w:rPr>
      </w:pPr>
      <w:r>
        <w:rPr>
          <w:rFonts w:hint="eastAsia" w:ascii="仿宋" w:hAnsi="仿宋" w:eastAsia="仿宋" w:cs="Arial"/>
          <w:bCs/>
          <w:kern w:val="0"/>
          <w:szCs w:val="32"/>
        </w:rPr>
        <w:t>行政在职2</w:t>
      </w:r>
      <w:r>
        <w:rPr>
          <w:rFonts w:hint="eastAsia" w:ascii="仿宋" w:hAnsi="仿宋" w:eastAsia="仿宋" w:cs="Arial"/>
          <w:bCs/>
          <w:kern w:val="0"/>
          <w:szCs w:val="32"/>
          <w:lang w:val="en-US" w:eastAsia="zh-CN"/>
        </w:rPr>
        <w:t>3</w:t>
      </w:r>
      <w:r>
        <w:rPr>
          <w:rFonts w:hint="eastAsia" w:ascii="仿宋" w:hAnsi="仿宋" w:eastAsia="仿宋" w:cs="Arial"/>
          <w:bCs/>
          <w:kern w:val="0"/>
          <w:szCs w:val="32"/>
        </w:rPr>
        <w:t>人</w:t>
      </w:r>
      <w:r>
        <w:rPr>
          <w:rFonts w:hint="eastAsia" w:ascii="仿宋" w:hAnsi="仿宋" w:eastAsia="仿宋" w:cs="Arial"/>
          <w:bCs/>
          <w:kern w:val="0"/>
          <w:szCs w:val="32"/>
          <w:lang w:eastAsia="zh-CN"/>
        </w:rPr>
        <w:t>、</w:t>
      </w:r>
    </w:p>
    <w:p>
      <w:pPr>
        <w:widowControl/>
        <w:spacing w:line="576" w:lineRule="exact"/>
        <w:ind w:firstLine="640" w:firstLineChars="200"/>
        <w:jc w:val="left"/>
        <w:rPr>
          <w:rFonts w:hint="default" w:ascii="仿宋" w:hAnsi="仿宋" w:eastAsia="仿宋" w:cs="Arial"/>
          <w:bCs/>
          <w:kern w:val="0"/>
          <w:szCs w:val="32"/>
          <w:lang w:val="en-US" w:eastAsia="zh-CN"/>
        </w:rPr>
      </w:pPr>
      <w:r>
        <w:rPr>
          <w:rFonts w:hint="eastAsia" w:ascii="仿宋" w:hAnsi="仿宋" w:eastAsia="仿宋" w:cs="Arial"/>
          <w:bCs/>
          <w:kern w:val="0"/>
          <w:szCs w:val="32"/>
          <w:lang w:val="en-US" w:eastAsia="zh-CN"/>
        </w:rPr>
        <w:t>事业在</w:t>
      </w:r>
      <w:r>
        <w:rPr>
          <w:rFonts w:hint="eastAsia" w:ascii="仿宋" w:hAnsi="仿宋" w:eastAsia="仿宋" w:cs="Arial"/>
          <w:bCs/>
          <w:kern w:val="0"/>
          <w:szCs w:val="32"/>
        </w:rPr>
        <w:t>职</w:t>
      </w:r>
      <w:r>
        <w:rPr>
          <w:rFonts w:hint="eastAsia" w:ascii="仿宋" w:hAnsi="仿宋" w:eastAsia="仿宋" w:cs="Arial"/>
          <w:bCs/>
          <w:kern w:val="0"/>
          <w:szCs w:val="32"/>
          <w:lang w:val="en-US" w:eastAsia="zh-CN"/>
        </w:rPr>
        <w:t>59</w:t>
      </w:r>
      <w:r>
        <w:rPr>
          <w:rFonts w:hint="eastAsia" w:ascii="仿宋" w:hAnsi="仿宋" w:eastAsia="仿宋" w:cs="Arial"/>
          <w:bCs/>
          <w:kern w:val="0"/>
          <w:szCs w:val="32"/>
        </w:rPr>
        <w:t>人</w:t>
      </w:r>
    </w:p>
    <w:p>
      <w:pPr>
        <w:widowControl/>
        <w:spacing w:line="576" w:lineRule="exact"/>
        <w:ind w:firstLine="640" w:firstLineChars="200"/>
        <w:jc w:val="left"/>
        <w:rPr>
          <w:rFonts w:hint="eastAsia" w:ascii="仿宋" w:hAnsi="仿宋" w:eastAsia="仿宋" w:cs="Arial"/>
          <w:bCs/>
          <w:kern w:val="0"/>
          <w:szCs w:val="32"/>
        </w:rPr>
      </w:pPr>
    </w:p>
    <w:p>
      <w:pPr>
        <w:widowControl/>
        <w:spacing w:line="576" w:lineRule="exact"/>
        <w:ind w:firstLine="640" w:firstLineChars="200"/>
        <w:jc w:val="left"/>
        <w:rPr>
          <w:rFonts w:hint="eastAsia" w:ascii="仿宋" w:hAnsi="仿宋" w:eastAsia="仿宋" w:cs="Arial"/>
          <w:bCs/>
          <w:kern w:val="0"/>
          <w:szCs w:val="32"/>
        </w:rPr>
      </w:pPr>
    </w:p>
    <w:p>
      <w:pPr>
        <w:widowControl/>
        <w:spacing w:line="576" w:lineRule="exact"/>
        <w:jc w:val="left"/>
        <w:rPr>
          <w:rFonts w:hint="default" w:eastAsia="仿宋"/>
          <w:lang w:val="en-US" w:eastAsia="zh-CN"/>
        </w:rPr>
      </w:pPr>
    </w:p>
    <w:p>
      <w:pPr>
        <w:pStyle w:val="51"/>
        <w:ind w:firstLine="640" w:firstLineChars="200"/>
        <w:rPr>
          <w:rFonts w:eastAsia="楷体"/>
        </w:rPr>
      </w:pPr>
    </w:p>
    <w:p>
      <w:pPr>
        <w:pStyle w:val="51"/>
        <w:spacing w:line="576" w:lineRule="exact"/>
        <w:rPr>
          <w:rFonts w:hint="eastAsia" w:ascii="仿宋" w:hAnsi="仿宋" w:eastAsia="仿宋"/>
          <w:bCs/>
          <w:lang w:val="en-US" w:eastAsia="zh-CN"/>
        </w:rPr>
      </w:pPr>
    </w:p>
    <w:p>
      <w:pPr>
        <w:numPr>
          <w:ilvl w:val="0"/>
          <w:numId w:val="0"/>
        </w:numPr>
        <w:spacing w:line="600" w:lineRule="atLeast"/>
        <w:rPr>
          <w:rFonts w:hint="eastAsia" w:ascii="仿宋" w:hAnsi="仿宋" w:eastAsia="宋体"/>
          <w:color w:val="auto"/>
          <w:sz w:val="32"/>
          <w:szCs w:val="28"/>
          <w:lang w:eastAsia="zh-CN"/>
        </w:rPr>
      </w:pPr>
    </w:p>
    <w:p>
      <w:pPr>
        <w:ind w:firstLine="640" w:firstLineChars="200"/>
        <w:rPr>
          <w:rFonts w:hint="eastAsia" w:eastAsia="楷体_GB2312"/>
          <w:lang w:val="en-US" w:eastAsia="zh-CN"/>
        </w:rPr>
      </w:pPr>
    </w:p>
    <w:p>
      <w:pPr>
        <w:rPr>
          <w:rFonts w:hint="eastAsia" w:ascii="仿宋_GB2312" w:hAnsi="仿宋_GB2312" w:eastAsia="仿宋_GB2312" w:cs="仿宋_GB2312"/>
          <w:color w:val="000000"/>
          <w:sz w:val="21"/>
          <w:szCs w:val="21"/>
        </w:rPr>
      </w:pPr>
    </w:p>
    <w:p>
      <w:pPr>
        <w:ind w:firstLine="640" w:firstLineChars="200"/>
        <w:rPr>
          <w:rFonts w:hint="eastAsia" w:ascii="仿宋_GB2312" w:hAnsi="仿宋_GB2312" w:eastAsia="仿宋_GB2312" w:cs="仿宋_GB2312"/>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支        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eastAsia="zh-CN"/>
              </w:rPr>
              <w:t>2024</w:t>
            </w:r>
            <w:r>
              <w:rPr>
                <w:rFonts w:hint="eastAsia" w:asciiTheme="minorEastAsia" w:hAnsiTheme="minorEastAsia" w:eastAsiaTheme="minorEastAsia" w:cstheme="minorEastAsia"/>
                <w:kern w:val="0"/>
                <w:sz w:val="20"/>
                <w:szCs w:val="20"/>
              </w:rPr>
              <w:t>年预算数</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eastAsia="zh-CN"/>
              </w:rPr>
              <w:t>2024</w:t>
            </w:r>
            <w:r>
              <w:rPr>
                <w:rFonts w:hint="eastAsia" w:asciiTheme="minorEastAsia" w:hAnsiTheme="minorEastAsia" w:eastAsiaTheme="minorEastAsia" w:cstheme="minorEastAsia"/>
                <w:kern w:val="0"/>
                <w:sz w:val="20"/>
                <w:szCs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当年预算</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073" w:type="dxa"/>
            <w:tcBorders>
              <w:top w:val="nil"/>
              <w:left w:val="nil"/>
              <w:bottom w:val="single" w:color="auto" w:sz="4" w:space="0"/>
              <w:right w:val="single" w:color="auto" w:sz="4" w:space="0"/>
            </w:tcBorders>
            <w:noWrap w:val="0"/>
            <w:vAlign w:val="center"/>
          </w:tcPr>
          <w:p>
            <w:pPr>
              <w:widowControl/>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both"/>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1008.77</w:t>
            </w:r>
          </w:p>
        </w:tc>
        <w:tc>
          <w:tcPr>
            <w:tcW w:w="1182" w:type="dxa"/>
            <w:gridSpan w:val="2"/>
            <w:tcBorders>
              <w:top w:val="nil"/>
              <w:left w:val="nil"/>
              <w:bottom w:val="single" w:color="auto" w:sz="4" w:space="0"/>
              <w:right w:val="single" w:color="auto" w:sz="4" w:space="0"/>
            </w:tcBorders>
            <w:noWrap w:val="0"/>
            <w:vAlign w:val="center"/>
          </w:tcPr>
          <w:p>
            <w:pPr>
              <w:widowControl/>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1008.77</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sz w:val="20"/>
                <w:szCs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151.99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151.99</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223.19</w:t>
            </w: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83.82</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83.82</w:t>
            </w: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49.96</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49.96</w:t>
            </w: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sz w:val="20"/>
                <w:szCs w:val="20"/>
              </w:rPr>
            </w:pPr>
            <w:r>
              <w:rPr>
                <w:rFonts w:hint="eastAsia" w:asciiTheme="minorEastAsia" w:hAnsiTheme="minorEastAsia" w:eastAsiaTheme="minorEastAsia" w:cstheme="minorEastAsia"/>
                <w:b w:val="0"/>
                <w:bCs/>
                <w:color w:val="000000"/>
                <w:kern w:val="0"/>
                <w:sz w:val="20"/>
                <w:szCs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kern w:val="0"/>
                <w:sz w:val="20"/>
                <w:szCs w:val="20"/>
                <w:lang w:val="en-US" w:eastAsia="zh-CN"/>
              </w:rPr>
            </w:pPr>
            <w:r>
              <w:rPr>
                <w:rFonts w:hint="eastAsia" w:asciiTheme="minorEastAsia" w:hAnsiTheme="minorEastAsia" w:eastAsiaTheme="minorEastAsia" w:cstheme="minorEastAsia"/>
                <w:b w:val="0"/>
                <w:bCs w:val="0"/>
                <w:kern w:val="0"/>
                <w:sz w:val="20"/>
                <w:szCs w:val="20"/>
                <w:lang w:val="en-US" w:eastAsia="zh-CN"/>
              </w:rPr>
              <w:t>1517.73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kern w:val="0"/>
                <w:sz w:val="20"/>
                <w:szCs w:val="20"/>
                <w:lang w:val="en-US" w:eastAsia="zh-CN"/>
              </w:rPr>
            </w:pPr>
            <w:r>
              <w:rPr>
                <w:rFonts w:hint="eastAsia" w:asciiTheme="minorEastAsia" w:hAnsiTheme="minorEastAsia" w:eastAsiaTheme="minorEastAsia" w:cstheme="minorEastAsia"/>
                <w:b w:val="0"/>
                <w:bCs w:val="0"/>
                <w:kern w:val="0"/>
                <w:sz w:val="20"/>
                <w:szCs w:val="20"/>
                <w:lang w:val="en-US" w:eastAsia="zh-CN"/>
              </w:rPr>
              <w:t>1517.73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kern w:val="0"/>
                <w:sz w:val="20"/>
                <w:szCs w:val="20"/>
                <w:lang w:val="en-US" w:eastAsia="zh-CN"/>
              </w:rPr>
            </w:pPr>
            <w:r>
              <w:rPr>
                <w:rFonts w:hint="eastAsia" w:asciiTheme="minorEastAsia" w:hAnsiTheme="minorEastAsia" w:eastAsiaTheme="minorEastAsia" w:cstheme="minorEastAsia"/>
                <w:b w:val="0"/>
                <w:bCs w:val="0"/>
                <w:kern w:val="0"/>
                <w:sz w:val="20"/>
                <w:szCs w:val="20"/>
                <w:lang w:val="en-US" w:eastAsia="zh-CN"/>
              </w:rPr>
              <w:t>1517.73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val="0"/>
                <w:kern w:val="0"/>
                <w:sz w:val="20"/>
                <w:szCs w:val="20"/>
                <w:lang w:val="en-US" w:eastAsia="zh-CN"/>
              </w:rPr>
            </w:pPr>
            <w:r>
              <w:rPr>
                <w:rFonts w:hint="eastAsia" w:asciiTheme="minorEastAsia" w:hAnsiTheme="minorEastAsia" w:eastAsiaTheme="minorEastAsia" w:cstheme="minorEastAsia"/>
                <w:b w:val="0"/>
                <w:bCs w:val="0"/>
                <w:kern w:val="0"/>
                <w:sz w:val="20"/>
                <w:szCs w:val="20"/>
                <w:lang w:val="en-US" w:eastAsia="zh-CN"/>
              </w:rPr>
              <w:t>1517.73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hint="eastAsia" w:asciiTheme="minorEastAsia" w:hAnsiTheme="minorEastAsia" w:eastAsiaTheme="minorEastAsia" w:cstheme="minorEastAsia"/>
                <w:color w:val="000000"/>
                <w:sz w:val="20"/>
                <w:szCs w:val="20"/>
              </w:rPr>
            </w:pPr>
          </w:p>
        </w:tc>
        <w:tc>
          <w:tcPr>
            <w:tcW w:w="4130" w:type="dxa"/>
            <w:gridSpan w:val="9"/>
            <w:tcBorders>
              <w:bottom w:val="single" w:color="000000" w:sz="4" w:space="0"/>
            </w:tcBorders>
            <w:noWrap w:val="0"/>
            <w:vAlign w:val="center"/>
          </w:tcPr>
          <w:p>
            <w:pPr>
              <w:autoSpaceDN w:val="0"/>
              <w:jc w:val="left"/>
              <w:textAlignment w:val="center"/>
              <w:rPr>
                <w:rFonts w:hint="eastAsia" w:asciiTheme="minorEastAsia" w:hAnsiTheme="minorEastAsia" w:eastAsiaTheme="minorEastAsia" w:cstheme="minorEastAsia"/>
                <w:color w:val="000000"/>
                <w:sz w:val="20"/>
                <w:szCs w:val="20"/>
              </w:rPr>
            </w:pPr>
          </w:p>
        </w:tc>
        <w:tc>
          <w:tcPr>
            <w:tcW w:w="1061" w:type="dxa"/>
            <w:gridSpan w:val="4"/>
            <w:noWrap w:val="0"/>
            <w:vAlign w:val="center"/>
          </w:tcPr>
          <w:p>
            <w:pPr>
              <w:autoSpaceDN w:val="0"/>
              <w:jc w:val="left"/>
              <w:textAlignment w:val="center"/>
              <w:rPr>
                <w:rFonts w:hint="eastAsia" w:asciiTheme="minorEastAsia" w:hAnsiTheme="minorEastAsia" w:eastAsiaTheme="minorEastAsia" w:cstheme="minorEastAsia"/>
                <w:color w:val="000000"/>
                <w:sz w:val="20"/>
                <w:szCs w:val="20"/>
              </w:rPr>
            </w:pPr>
          </w:p>
        </w:tc>
        <w:tc>
          <w:tcPr>
            <w:tcW w:w="531" w:type="dxa"/>
            <w:gridSpan w:val="2"/>
            <w:noWrap w:val="0"/>
            <w:vAlign w:val="center"/>
          </w:tcPr>
          <w:p>
            <w:pPr>
              <w:autoSpaceDN w:val="0"/>
              <w:jc w:val="left"/>
              <w:textAlignment w:val="center"/>
              <w:rPr>
                <w:rFonts w:hint="eastAsia" w:asciiTheme="minorEastAsia" w:hAnsiTheme="minorEastAsia" w:eastAsiaTheme="minorEastAsia" w:cstheme="minorEastAsia"/>
                <w:color w:val="000000"/>
                <w:sz w:val="20"/>
                <w:szCs w:val="20"/>
              </w:rPr>
            </w:pPr>
          </w:p>
        </w:tc>
        <w:tc>
          <w:tcPr>
            <w:tcW w:w="531" w:type="dxa"/>
            <w:gridSpan w:val="2"/>
            <w:noWrap w:val="0"/>
            <w:vAlign w:val="center"/>
          </w:tcPr>
          <w:p>
            <w:pPr>
              <w:autoSpaceDN w:val="0"/>
              <w:jc w:val="left"/>
              <w:textAlignment w:val="center"/>
              <w:rPr>
                <w:rFonts w:hint="eastAsia" w:asciiTheme="minorEastAsia" w:hAnsiTheme="minorEastAsia" w:eastAsiaTheme="minorEastAsia" w:cstheme="minorEastAsia"/>
                <w:color w:val="000000"/>
                <w:sz w:val="20"/>
                <w:szCs w:val="20"/>
              </w:rPr>
            </w:pPr>
          </w:p>
        </w:tc>
        <w:tc>
          <w:tcPr>
            <w:tcW w:w="531" w:type="dxa"/>
            <w:gridSpan w:val="2"/>
            <w:noWrap w:val="0"/>
            <w:vAlign w:val="bottom"/>
          </w:tcPr>
          <w:p>
            <w:pPr>
              <w:autoSpaceDN w:val="0"/>
              <w:jc w:val="left"/>
              <w:textAlignment w:val="bottom"/>
              <w:rPr>
                <w:rFonts w:hint="eastAsia" w:asciiTheme="minorEastAsia" w:hAnsiTheme="minorEastAsia" w:eastAsiaTheme="minorEastAsia" w:cstheme="minorEastAsia"/>
                <w:color w:val="000000"/>
                <w:sz w:val="20"/>
                <w:szCs w:val="20"/>
              </w:rPr>
            </w:pPr>
          </w:p>
        </w:tc>
        <w:tc>
          <w:tcPr>
            <w:tcW w:w="1716" w:type="dxa"/>
            <w:gridSpan w:val="5"/>
            <w:noWrap w:val="0"/>
            <w:vAlign w:val="top"/>
          </w:tcPr>
          <w:p>
            <w:pPr>
              <w:wordWrap w:val="0"/>
              <w:autoSpaceDN w:val="0"/>
              <w:jc w:val="right"/>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Theme="minorEastAsia" w:hAnsiTheme="minorEastAsia" w:eastAsiaTheme="minorEastAsia" w:cstheme="minorEastAsia"/>
                <w:sz w:val="20"/>
                <w:szCs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hint="eastAsia" w:asciiTheme="minorEastAsia" w:hAnsiTheme="minorEastAsia" w:eastAsiaTheme="minorEastAsia" w:cstheme="minorEastAsia"/>
                <w:sz w:val="20"/>
                <w:szCs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一般公</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政府性基</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国有资本</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财政专户</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事业单位</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上级</w:t>
            </w:r>
          </w:p>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补助</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附属单位</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其他</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用事业基</w:t>
            </w:r>
          </w:p>
          <w:p>
            <w:pPr>
              <w:autoSpaceDN w:val="0"/>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金弥补收</w:t>
            </w:r>
          </w:p>
          <w:p>
            <w:pPr>
              <w:autoSpaceDN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sz w:val="20"/>
                <w:szCs w:val="20"/>
                <w:lang w:val="en-US" w:eastAsia="zh-CN"/>
              </w:rPr>
            </w:pPr>
            <w:r>
              <w:rPr>
                <w:rFonts w:hint="eastAsia" w:asciiTheme="minorEastAsia" w:hAnsiTheme="minorEastAsia" w:eastAsiaTheme="minorEastAsia" w:cstheme="minorEastAsia"/>
                <w:color w:val="000000"/>
                <w:sz w:val="20"/>
                <w:szCs w:val="20"/>
                <w:lang w:val="en-US" w:eastAsia="zh-CN"/>
              </w:rPr>
              <w:t>新华镇人民政府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val="en-US" w:eastAsia="zh-CN"/>
              </w:rPr>
            </w:pPr>
            <w:r>
              <w:rPr>
                <w:rFonts w:hint="eastAsia" w:asciiTheme="minorEastAsia" w:hAnsiTheme="minorEastAsia" w:eastAsiaTheme="minorEastAsia" w:cstheme="minorEastAsia"/>
                <w:color w:val="000000"/>
                <w:sz w:val="20"/>
                <w:szCs w:val="20"/>
                <w:lang w:val="en-US" w:eastAsia="zh-CN"/>
              </w:rPr>
              <w:t>1517.73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val="en-US" w:eastAsia="zh-CN"/>
              </w:rPr>
            </w:pPr>
            <w:r>
              <w:rPr>
                <w:rFonts w:hint="eastAsia" w:asciiTheme="minorEastAsia" w:hAnsiTheme="minorEastAsia" w:eastAsiaTheme="minorEastAsia" w:cstheme="minorEastAsia"/>
                <w:color w:val="000000"/>
                <w:sz w:val="20"/>
                <w:szCs w:val="20"/>
                <w:lang w:val="en-US" w:eastAsia="zh-CN"/>
              </w:rPr>
              <w:t>1517.73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val="en-US" w:eastAsia="zh-CN"/>
              </w:rPr>
            </w:pPr>
            <w:r>
              <w:rPr>
                <w:rFonts w:hint="eastAsia" w:asciiTheme="minorEastAsia" w:hAnsiTheme="minorEastAsia" w:eastAsiaTheme="minorEastAsia" w:cstheme="minorEastAsia"/>
                <w:color w:val="000000"/>
                <w:sz w:val="20"/>
                <w:szCs w:val="20"/>
                <w:lang w:val="en-US" w:eastAsia="zh-CN"/>
              </w:rPr>
              <w:t>1517.73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zCs w:val="20"/>
                <w:shd w:val="clear" w:color="auto" w:fill="FFFFFF"/>
              </w:rPr>
            </w:pPr>
            <w:r>
              <w:rPr>
                <w:rFonts w:hint="eastAsia" w:asciiTheme="minorEastAsia" w:hAnsiTheme="minorEastAsia" w:eastAsiaTheme="minorEastAsia" w:cstheme="minorEastAsia"/>
                <w:kern w:val="0"/>
                <w:sz w:val="20"/>
                <w:szCs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eastAsia" w:asciiTheme="minorEastAsia" w:hAnsiTheme="minorEastAsia" w:eastAsiaTheme="minorEastAsia" w:cstheme="minorEastAsia"/>
                <w:color w:val="000000"/>
                <w:kern w:val="2"/>
                <w:sz w:val="20"/>
                <w:szCs w:val="20"/>
                <w:lang w:val="en-US" w:eastAsia="zh-CN" w:bidi="ar-SA"/>
              </w:rPr>
            </w:pPr>
            <w:r>
              <w:rPr>
                <w:rFonts w:hint="eastAsia" w:asciiTheme="minorEastAsia" w:hAnsiTheme="minorEastAsia" w:eastAsiaTheme="minorEastAsia" w:cstheme="minorEastAsia"/>
                <w:color w:val="000000"/>
                <w:sz w:val="20"/>
                <w:szCs w:val="20"/>
                <w:lang w:val="en-US" w:eastAsia="zh-CN"/>
              </w:rPr>
              <w:t>1517.73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eastAsia" w:asciiTheme="minorEastAsia" w:hAnsiTheme="minorEastAsia" w:eastAsiaTheme="minorEastAsia" w:cstheme="minorEastAsia"/>
                <w:color w:val="000000"/>
                <w:kern w:val="2"/>
                <w:sz w:val="20"/>
                <w:szCs w:val="20"/>
                <w:lang w:val="en-US" w:eastAsia="zh-CN" w:bidi="ar-SA"/>
              </w:rPr>
            </w:pPr>
            <w:r>
              <w:rPr>
                <w:rFonts w:hint="eastAsia" w:asciiTheme="minorEastAsia" w:hAnsiTheme="minorEastAsia" w:eastAsiaTheme="minorEastAsia" w:cstheme="minorEastAsia"/>
                <w:color w:val="000000"/>
                <w:sz w:val="20"/>
                <w:szCs w:val="20"/>
                <w:lang w:val="en-US" w:eastAsia="zh-CN"/>
              </w:rPr>
              <w:t>1517.73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eastAsia" w:asciiTheme="minorEastAsia" w:hAnsiTheme="minorEastAsia" w:eastAsiaTheme="minorEastAsia" w:cstheme="minorEastAsia"/>
                <w:color w:val="000000"/>
                <w:kern w:val="2"/>
                <w:sz w:val="20"/>
                <w:szCs w:val="20"/>
                <w:lang w:val="en-US" w:eastAsia="zh-CN" w:bidi="ar-SA"/>
              </w:rPr>
            </w:pPr>
            <w:r>
              <w:rPr>
                <w:rFonts w:hint="eastAsia" w:asciiTheme="minorEastAsia" w:hAnsiTheme="minorEastAsia" w:eastAsiaTheme="minorEastAsia" w:cstheme="minorEastAsia"/>
                <w:color w:val="000000"/>
                <w:sz w:val="20"/>
                <w:szCs w:val="20"/>
                <w:lang w:val="en-US" w:eastAsia="zh-CN"/>
              </w:rPr>
              <w:t>1517.73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Theme="minorEastAsia" w:hAnsiTheme="minorEastAsia" w:eastAsiaTheme="minorEastAsia" w:cstheme="minorEastAsia"/>
                <w:color w:val="000000"/>
                <w:sz w:val="20"/>
                <w:szCs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highlight w:val="yellow"/>
              </w:rPr>
            </w:pPr>
            <w:r>
              <w:rPr>
                <w:rFonts w:eastAsia="方正小标宋简体"/>
                <w:kern w:val="0"/>
                <w:sz w:val="36"/>
                <w:szCs w:val="36"/>
                <w:highlight w:val="none"/>
              </w:rPr>
              <w:t>支出</w:t>
            </w:r>
            <w:r>
              <w:rPr>
                <w:rFonts w:hint="eastAsia" w:eastAsia="方正小标宋简体"/>
                <w:kern w:val="0"/>
                <w:sz w:val="36"/>
                <w:szCs w:val="36"/>
                <w:highlight w:val="none"/>
              </w:rPr>
              <w:t>总</w:t>
            </w:r>
            <w:r>
              <w:rPr>
                <w:rFonts w:eastAsia="方正小标宋简体"/>
                <w:kern w:val="0"/>
                <w:sz w:val="36"/>
                <w:szCs w:val="36"/>
                <w:highlight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c>
                <w:tcPr>
                  <w:tcW w:w="1297" w:type="dxa"/>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97" w:type="dxa"/>
                  <w:gridSpan w:val="2"/>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97" w:type="dxa"/>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功能分类</w:t>
                  </w:r>
                </w:p>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sz w:val="20"/>
                      <w:szCs w:val="20"/>
                    </w:rPr>
                  </w:pPr>
                </w:p>
                <w:p>
                  <w:pPr>
                    <w:widowControl/>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基本</w:t>
                  </w:r>
                </w:p>
                <w:p>
                  <w:pPr>
                    <w:widowControl/>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支出</w:t>
                  </w:r>
                </w:p>
                <w:p>
                  <w:pPr>
                    <w:widowControl/>
                    <w:jc w:val="center"/>
                    <w:rPr>
                      <w:rFonts w:hint="eastAsia" w:asciiTheme="minorEastAsia" w:hAnsiTheme="minorEastAsia" w:eastAsiaTheme="minorEastAsia" w:cstheme="minorEastAsia"/>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事业单位</w:t>
                  </w:r>
                </w:p>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1008.77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882.94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125.83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xml:space="preserve"> 政府办公厅及相关机构事务</w:t>
                  </w:r>
                </w:p>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1008.77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882.94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125.83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lang w:val="en-US" w:eastAsia="zh-CN" w:bidi="ar-SA"/>
                    </w:rPr>
                  </w:pPr>
                  <w:r>
                    <w:rPr>
                      <w:rFonts w:hint="eastAsia" w:asciiTheme="minorEastAsia" w:hAnsiTheme="minorEastAsia" w:eastAsiaTheme="minorEastAsia" w:cstheme="minorEastAsia"/>
                      <w:color w:val="000000"/>
                      <w:kern w:val="0"/>
                      <w:sz w:val="20"/>
                      <w:szCs w:val="20"/>
                      <w:highlight w:val="none"/>
                      <w:lang w:val="en-US"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404.32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404.32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lang w:val="en-US" w:eastAsia="zh-CN"/>
                    </w:rPr>
                  </w:pPr>
                  <w:r>
                    <w:rPr>
                      <w:rFonts w:hint="eastAsia" w:asciiTheme="minorEastAsia" w:hAnsiTheme="minorEastAsia" w:eastAsiaTheme="minorEastAsia" w:cstheme="minorEastAsia"/>
                      <w:color w:val="000000"/>
                      <w:kern w:val="0"/>
                      <w:sz w:val="20"/>
                      <w:szCs w:val="20"/>
                      <w:highlight w:val="none"/>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604.46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604.46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151.99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151.99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151.99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151.99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rPr>
                    <w:t>123.04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123.04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rPr>
                    <w:t>28.95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28.95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49.96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49.96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49.96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49.96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auto"/>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rPr>
                    <w:t>14.72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14.72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35.23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35.23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四、农林水支出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223.19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223.19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223.19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　五、住房公积金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83.82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83.82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1517.73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1168.71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349.02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bl>
          <w:p>
            <w:pPr>
              <w:widowControl/>
              <w:jc w:val="center"/>
              <w:rPr>
                <w:rFonts w:eastAsia="方正小标宋简体"/>
                <w:kern w:val="0"/>
                <w:sz w:val="44"/>
                <w:szCs w:val="44"/>
              </w:rPr>
            </w:pPr>
          </w:p>
        </w:tc>
      </w:tr>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917"/>
              <w:gridCol w:w="459"/>
              <w:gridCol w:w="1721"/>
              <w:gridCol w:w="864"/>
              <w:gridCol w:w="814"/>
              <w:gridCol w:w="67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eastAsia="zh-CN"/>
                    </w:rPr>
                    <w:t>2024</w:t>
                  </w:r>
                  <w:r>
                    <w:rPr>
                      <w:rFonts w:hint="eastAsia" w:asciiTheme="minorEastAsia" w:hAnsiTheme="minorEastAsia" w:eastAsiaTheme="minorEastAsia" w:cstheme="minorEastAsia"/>
                      <w:kern w:val="0"/>
                      <w:sz w:val="20"/>
                      <w:szCs w:val="20"/>
                    </w:rPr>
                    <w:t>年预算</w:t>
                  </w:r>
                  <w:r>
                    <w:rPr>
                      <w:rFonts w:hint="eastAsia" w:asciiTheme="minorEastAsia" w:hAnsiTheme="minorEastAsia" w:eastAsiaTheme="minorEastAsia" w:cstheme="minorEastAsia"/>
                      <w:kern w:val="0"/>
                      <w:sz w:val="20"/>
                      <w:szCs w:val="20"/>
                      <w:lang w:eastAsia="zh-CN"/>
                    </w:rPr>
                    <w:t>数</w:t>
                  </w:r>
                </w:p>
              </w:tc>
              <w:tc>
                <w:tcPr>
                  <w:tcW w:w="91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当年预算</w:t>
                  </w:r>
                </w:p>
              </w:tc>
              <w:tc>
                <w:tcPr>
                  <w:tcW w:w="45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lang w:eastAsia="zh-CN"/>
                    </w:rPr>
                    <w:t>2024</w:t>
                  </w:r>
                  <w:r>
                    <w:rPr>
                      <w:rFonts w:hint="eastAsia" w:asciiTheme="minorEastAsia" w:hAnsiTheme="minorEastAsia" w:eastAsiaTheme="minorEastAsia" w:cstheme="minorEastAsia"/>
                      <w:kern w:val="0"/>
                      <w:sz w:val="20"/>
                      <w:szCs w:val="20"/>
                    </w:rPr>
                    <w:t>年预算</w:t>
                  </w:r>
                  <w:r>
                    <w:rPr>
                      <w:rFonts w:hint="eastAsia" w:asciiTheme="minorEastAsia" w:hAnsiTheme="minorEastAsia" w:eastAsiaTheme="minorEastAsia" w:cstheme="minorEastAsia"/>
                      <w:kern w:val="0"/>
                      <w:sz w:val="20"/>
                      <w:szCs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91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45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当年预算</w:t>
                  </w:r>
                </w:p>
              </w:tc>
              <w:tc>
                <w:tcPr>
                  <w:tcW w:w="6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上年</w:t>
                  </w:r>
                  <w:r>
                    <w:rPr>
                      <w:rFonts w:hint="eastAsia" w:asciiTheme="minorEastAsia" w:hAnsiTheme="minorEastAsia" w:eastAsiaTheme="minorEastAsia" w:cstheme="minorEastAsia"/>
                      <w:kern w:val="0"/>
                      <w:sz w:val="20"/>
                      <w:szCs w:val="20"/>
                      <w:lang w:val="en-US" w:eastAsia="zh-CN"/>
                    </w:rPr>
                    <w:t xml:space="preserve">  </w:t>
                  </w:r>
                  <w:r>
                    <w:rPr>
                      <w:rFonts w:hint="eastAsia" w:asciiTheme="minorEastAsia" w:hAnsiTheme="minorEastAsia" w:eastAsiaTheme="minorEastAsia" w:cstheme="minorEastAsia"/>
                      <w:kern w:val="0"/>
                      <w:sz w:val="20"/>
                      <w:szCs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1517.73</w:t>
                  </w:r>
                </w:p>
              </w:tc>
              <w:tc>
                <w:tcPr>
                  <w:tcW w:w="9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45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1008.77</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1008.77</w:t>
                  </w:r>
                </w:p>
              </w:tc>
              <w:tc>
                <w:tcPr>
                  <w:tcW w:w="6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rPr>
                  </w:pPr>
                  <w:r>
                    <w:rPr>
                      <w:rFonts w:hint="eastAsia" w:asciiTheme="minorEastAsia" w:hAnsiTheme="minorEastAsia" w:eastAsiaTheme="minorEastAsia" w:cstheme="minorEastAsia"/>
                      <w:kern w:val="0"/>
                      <w:sz w:val="20"/>
                      <w:szCs w:val="20"/>
                      <w:lang w:val="en-US" w:eastAsia="zh-CN"/>
                    </w:rPr>
                    <w:t>1517.73</w:t>
                  </w: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151.99</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151.99</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49.96</w:t>
                  </w:r>
                  <w:r>
                    <w:rPr>
                      <w:rFonts w:hint="eastAsia" w:asciiTheme="minorEastAsia" w:hAnsiTheme="minorEastAsia" w:eastAsiaTheme="minorEastAsia" w:cstheme="minorEastAsia"/>
                      <w:kern w:val="0"/>
                      <w:sz w:val="20"/>
                      <w:szCs w:val="20"/>
                    </w:rPr>
                    <w:t>　</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49.96</w:t>
                  </w:r>
                  <w:r>
                    <w:rPr>
                      <w:rFonts w:hint="eastAsia" w:asciiTheme="minorEastAsia" w:hAnsiTheme="minorEastAsia" w:eastAsiaTheme="minorEastAsia" w:cstheme="minorEastAsia"/>
                      <w:kern w:val="0"/>
                      <w:sz w:val="20"/>
                      <w:szCs w:val="20"/>
                    </w:rPr>
                    <w:t>　</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223.19</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223.19</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83.82</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83.82</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Theme="minorEastAsia" w:hAnsiTheme="minorEastAsia" w:eastAsiaTheme="minorEastAsia" w:cstheme="minorEastAsia"/>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 w:val="0"/>
                      <w:bCs/>
                      <w:kern w:val="0"/>
                      <w:sz w:val="20"/>
                      <w:szCs w:val="20"/>
                      <w:lang w:val="en-US" w:eastAsia="zh-CN" w:bidi="ar-SA"/>
                    </w:rPr>
                  </w:pPr>
                  <w:r>
                    <w:rPr>
                      <w:rFonts w:hint="eastAsia" w:asciiTheme="minorEastAsia" w:hAnsiTheme="minorEastAsia" w:eastAsiaTheme="minorEastAsia" w:cstheme="minorEastAsia"/>
                      <w:b w:val="0"/>
                      <w:bCs/>
                      <w:kern w:val="0"/>
                      <w:sz w:val="20"/>
                      <w:szCs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kern w:val="0"/>
                      <w:sz w:val="20"/>
                      <w:szCs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1517.73</w:t>
                  </w:r>
                </w:p>
              </w:tc>
              <w:tc>
                <w:tcPr>
                  <w:tcW w:w="9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b/>
                      <w:bCs/>
                      <w:kern w:val="0"/>
                      <w:sz w:val="20"/>
                      <w:szCs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1517.73</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heme="minorEastAsia" w:hAnsiTheme="minorEastAsia" w:eastAsiaTheme="minorEastAsia" w:cstheme="minorEastAsia"/>
                      <w:bCs/>
                      <w:kern w:val="0"/>
                      <w:sz w:val="20"/>
                      <w:szCs w:val="20"/>
                    </w:rPr>
                  </w:pPr>
                  <w:r>
                    <w:rPr>
                      <w:rFonts w:hint="eastAsia" w:asciiTheme="minorEastAsia" w:hAnsiTheme="minorEastAsia" w:eastAsiaTheme="minorEastAsia" w:cstheme="minorEastAsia"/>
                      <w:bCs/>
                      <w:kern w:val="0"/>
                      <w:sz w:val="20"/>
                      <w:szCs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kern w:val="0"/>
                      <w:sz w:val="20"/>
                      <w:szCs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Theme="minorEastAsia" w:hAnsiTheme="minorEastAsia" w:eastAsiaTheme="minorEastAsia" w:cstheme="minorEastAsia"/>
                      <w:sz w:val="20"/>
                      <w:szCs w:val="20"/>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Theme="minorEastAsia" w:hAnsiTheme="minorEastAsia" w:eastAsiaTheme="minorEastAsia" w:cstheme="minorEastAsia"/>
                      <w:sz w:val="20"/>
                      <w:szCs w:val="20"/>
                    </w:rPr>
                  </w:pPr>
                </w:p>
              </w:tc>
              <w:tc>
                <w:tcPr>
                  <w:tcW w:w="45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Theme="minorEastAsia" w:hAnsiTheme="minorEastAsia" w:eastAsiaTheme="minorEastAsia" w:cstheme="minorEastAsia"/>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Theme="minorEastAsia" w:hAnsiTheme="minorEastAsia" w:eastAsiaTheme="minorEastAsia" w:cstheme="minorEastAsia"/>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Theme="minorEastAsia" w:hAnsiTheme="minorEastAsia" w:eastAsiaTheme="minorEastAsia" w:cstheme="minorEastAsia"/>
                      <w:sz w:val="20"/>
                      <w:szCs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Theme="minorEastAsia" w:hAnsiTheme="minorEastAsia" w:eastAsiaTheme="minorEastAsia" w:cstheme="minorEastAsia"/>
                      <w:sz w:val="20"/>
                      <w:szCs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Theme="minorEastAsia" w:hAnsiTheme="minorEastAsia" w:eastAsiaTheme="minorEastAsia" w:cstheme="minorEastAsia"/>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Theme="minorEastAsia" w:hAnsiTheme="minorEastAsia" w:eastAsiaTheme="minorEastAsia" w:cstheme="minorEastAsia"/>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kern w:val="0"/>
                      <w:sz w:val="20"/>
                      <w:szCs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1517.73</w:t>
                  </w:r>
                </w:p>
              </w:tc>
              <w:tc>
                <w:tcPr>
                  <w:tcW w:w="9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45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kern w:val="0"/>
                      <w:sz w:val="20"/>
                      <w:szCs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1517.73</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1517.73</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heme="minorEastAsia" w:hAnsiTheme="minorEastAsia" w:eastAsiaTheme="minorEastAsia" w:cstheme="minorEastAsia"/>
                      <w:kern w:val="0"/>
                      <w:sz w:val="20"/>
                      <w:szCs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789" w:type="dxa"/>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功能分类</w:t>
                  </w:r>
                </w:p>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项目                                                               支出</w:t>
                  </w:r>
                </w:p>
              </w:tc>
            </w:tr>
            <w:tr>
              <w:tblPrEx>
                <w:tblCellMar>
                  <w:top w:w="15" w:type="dxa"/>
                  <w:left w:w="15" w:type="dxa"/>
                  <w:bottom w:w="15" w:type="dxa"/>
                  <w:right w:w="15" w:type="dxa"/>
                </w:tblCellMar>
              </w:tblPrEx>
              <w:trPr>
                <w:trHeight w:val="312"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1008.77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rPr>
                  </w:pPr>
                  <w:r>
                    <w:rPr>
                      <w:rFonts w:hint="eastAsia" w:asciiTheme="minorEastAsia" w:hAnsiTheme="minorEastAsia" w:eastAsiaTheme="minorEastAsia" w:cstheme="minorEastAsia"/>
                      <w:i w:val="0"/>
                      <w:iCs w:val="0"/>
                      <w:color w:val="000000"/>
                      <w:kern w:val="0"/>
                      <w:sz w:val="20"/>
                      <w:szCs w:val="20"/>
                      <w:lang w:val="en-US" w:eastAsia="zh-CN"/>
                    </w:rPr>
                    <w:t>882.94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rPr>
                  </w:pPr>
                  <w:r>
                    <w:rPr>
                      <w:rFonts w:hint="eastAsia" w:asciiTheme="minorEastAsia" w:hAnsiTheme="minorEastAsia" w:eastAsiaTheme="minorEastAsia" w:cstheme="minorEastAsia"/>
                      <w:i w:val="0"/>
                      <w:iCs w:val="0"/>
                      <w:color w:val="000000"/>
                      <w:kern w:val="0"/>
                      <w:sz w:val="20"/>
                      <w:szCs w:val="20"/>
                      <w:lang w:val="en-US" w:eastAsia="zh-CN"/>
                    </w:rPr>
                    <w:t>782.50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100.44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125.83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1008.77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rPr>
                  </w:pPr>
                  <w:r>
                    <w:rPr>
                      <w:rFonts w:hint="eastAsia" w:asciiTheme="minorEastAsia" w:hAnsiTheme="minorEastAsia" w:eastAsiaTheme="minorEastAsia" w:cstheme="minorEastAsia"/>
                      <w:i w:val="0"/>
                      <w:iCs w:val="0"/>
                      <w:color w:val="000000"/>
                      <w:kern w:val="0"/>
                      <w:sz w:val="20"/>
                      <w:szCs w:val="20"/>
                      <w:lang w:val="en-US" w:eastAsia="zh-CN"/>
                    </w:rPr>
                    <w:t>882.94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rPr>
                  </w:pPr>
                  <w:r>
                    <w:rPr>
                      <w:rFonts w:hint="eastAsia" w:asciiTheme="minorEastAsia" w:hAnsiTheme="minorEastAsia" w:eastAsiaTheme="minorEastAsia" w:cstheme="minorEastAsia"/>
                      <w:i w:val="0"/>
                      <w:iCs w:val="0"/>
                      <w:color w:val="000000"/>
                      <w:kern w:val="0"/>
                      <w:sz w:val="20"/>
                      <w:szCs w:val="20"/>
                      <w:lang w:val="en-US" w:eastAsia="zh-CN"/>
                    </w:rPr>
                    <w:t>782.50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100.44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125.83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404.31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rPr>
                    <w:t>278.48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rPr>
                    <w:t>234.68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125.83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rPr>
                    <w:t>604.46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rPr>
                    <w:t>604.46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rPr>
                    <w:t>547.82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 xml:space="preserve"> 56.64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151.99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151.99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151.99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151.99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151.99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lang w:val="en-US" w:eastAsia="zh-CN" w:bidi="ar-SA"/>
                    </w:rPr>
                    <w:t>151.99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rPr>
                  </w:pPr>
                  <w:r>
                    <w:rPr>
                      <w:rFonts w:hint="eastAsia" w:asciiTheme="minorEastAsia" w:hAnsiTheme="minorEastAsia" w:eastAsiaTheme="minorEastAsia" w:cstheme="minorEastAsia"/>
                      <w:i w:val="0"/>
                      <w:iCs w:val="0"/>
                      <w:color w:val="000000"/>
                      <w:kern w:val="0"/>
                      <w:sz w:val="20"/>
                      <w:szCs w:val="20"/>
                      <w:lang w:val="en-US" w:eastAsia="zh-CN"/>
                    </w:rPr>
                    <w:t>123.04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rPr>
                  </w:pPr>
                  <w:r>
                    <w:rPr>
                      <w:rFonts w:hint="eastAsia" w:asciiTheme="minorEastAsia" w:hAnsiTheme="minorEastAsia" w:eastAsiaTheme="minorEastAsia" w:cstheme="minorEastAsia"/>
                      <w:i w:val="0"/>
                      <w:iCs w:val="0"/>
                      <w:color w:val="000000"/>
                      <w:kern w:val="0"/>
                      <w:sz w:val="20"/>
                      <w:szCs w:val="20"/>
                      <w:lang w:val="en-US" w:eastAsia="zh-CN"/>
                    </w:rPr>
                    <w:t>123.04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i w:val="0"/>
                      <w:iCs w:val="0"/>
                      <w:color w:val="000000"/>
                      <w:kern w:val="0"/>
                      <w:sz w:val="20"/>
                      <w:szCs w:val="20"/>
                      <w:lang w:val="en-US" w:eastAsia="zh-CN"/>
                    </w:rPr>
                  </w:pPr>
                  <w:r>
                    <w:rPr>
                      <w:rFonts w:hint="eastAsia" w:asciiTheme="minorEastAsia" w:hAnsiTheme="minorEastAsia" w:eastAsiaTheme="minorEastAsia" w:cstheme="minorEastAsia"/>
                      <w:i w:val="0"/>
                      <w:iCs w:val="0"/>
                      <w:color w:val="000000"/>
                      <w:kern w:val="0"/>
                      <w:sz w:val="20"/>
                      <w:szCs w:val="20"/>
                      <w:lang w:val="en-US" w:eastAsia="zh-CN"/>
                    </w:rPr>
                    <w:t>123.04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28.95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28.95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28.95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49.96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49.96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49.96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49.96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49.96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49.96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40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rPr>
                    <w:t>14.72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rPr>
                    <w:t>14.72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auto"/>
                      <w:kern w:val="0"/>
                      <w:sz w:val="20"/>
                      <w:szCs w:val="20"/>
                      <w:lang w:val="en-US" w:eastAsia="zh-CN"/>
                    </w:rPr>
                    <w:t>14.72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35.23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35.23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35.23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223.19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223.19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对村民委员会和党支部的补助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223.19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五、住房公积金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83.82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83.82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83.82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heme="minorEastAsia" w:hAnsiTheme="minorEastAsia" w:eastAsiaTheme="minorEastAsia" w:cstheme="minorEastAsia"/>
                      <w:color w:val="000000"/>
                      <w:kern w:val="0"/>
                      <w:sz w:val="20"/>
                      <w:szCs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eastAsia" w:asciiTheme="minorEastAsia" w:hAnsiTheme="minorEastAsia" w:eastAsiaTheme="minorEastAsia" w:cstheme="minorEastAsia"/>
                      <w:color w:val="000000"/>
                      <w:kern w:val="0"/>
                      <w:sz w:val="20"/>
                      <w:szCs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eastAsia" w:asciiTheme="minorEastAsia" w:hAnsiTheme="minorEastAsia" w:eastAsiaTheme="minorEastAsia" w:cstheme="minorEastAsia"/>
                      <w:color w:val="000000"/>
                      <w:kern w:val="0"/>
                      <w:sz w:val="20"/>
                      <w:szCs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1517.73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1168.71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1068.27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100.44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349.02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color w:val="000000"/>
                      <w:kern w:val="0"/>
                      <w:sz w:val="20"/>
                      <w:szCs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1050.81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1050.81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363.15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363.15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136.51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136.51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100.11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asciiTheme="minorEastAsia" w:hAnsiTheme="minorEastAsia" w:eastAsiaTheme="minorEastAsia" w:cstheme="minorEastAsia"/>
                <w:color w:val="000000"/>
                <w:sz w:val="20"/>
                <w:szCs w:val="20"/>
                <w:lang w:val="en-US" w:eastAsia="zh-CN"/>
              </w:rPr>
            </w:pPr>
            <w:r>
              <w:rPr>
                <w:rFonts w:hint="eastAsia" w:asciiTheme="minorEastAsia" w:hAnsiTheme="minorEastAsia" w:eastAsiaTheme="minorEastAsia" w:cstheme="minorEastAsia"/>
                <w:color w:val="000000"/>
                <w:sz w:val="20"/>
                <w:szCs w:val="20"/>
                <w:lang w:val="en-US" w:eastAsia="zh-CN"/>
              </w:rPr>
              <w:t>绩效奖金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155.68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155.68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color w:val="000000"/>
                <w:sz w:val="20"/>
                <w:szCs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285.77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285.77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color w:val="000000"/>
                <w:sz w:val="20"/>
                <w:szCs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9.59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9.59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80.44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80.44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4.5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r>
      <w:tr>
        <w:tblPrEx>
          <w:tblCellMar>
            <w:top w:w="0" w:type="dxa"/>
            <w:left w:w="108" w:type="dxa"/>
            <w:bottom w:w="0" w:type="dxa"/>
            <w:right w:w="108" w:type="dxa"/>
          </w:tblCellMar>
        </w:tblPrEx>
        <w:trPr>
          <w:trHeight w:val="54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物业管理费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专用材料费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专用燃料费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2"/>
                <w:sz w:val="20"/>
                <w:szCs w:val="20"/>
                <w:lang w:val="en-US" w:eastAsia="zh-CN" w:bidi="ar-SA"/>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2"/>
                <w:sz w:val="20"/>
                <w:szCs w:val="20"/>
                <w:lang w:val="en-US" w:eastAsia="zh-CN" w:bidi="ar-SA"/>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15.5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其他商品服务支出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4.84</w:t>
            </w:r>
          </w:p>
        </w:tc>
      </w:tr>
      <w:tr>
        <w:tblPrEx>
          <w:tblCellMar>
            <w:top w:w="0" w:type="dxa"/>
            <w:left w:w="108" w:type="dxa"/>
            <w:bottom w:w="0" w:type="dxa"/>
            <w:right w:w="108" w:type="dxa"/>
          </w:tblCellMar>
        </w:tblPrEx>
        <w:trPr>
          <w:trHeight w:val="65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三、资本性支出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sz w:val="20"/>
                <w:szCs w:val="20"/>
                <w:lang w:val="en-US" w:eastAsia="zh-CN"/>
              </w:rPr>
              <w:t>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四、对个人和家庭的补助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2"/>
                <w:sz w:val="20"/>
                <w:szCs w:val="20"/>
                <w:lang w:val="en-US" w:eastAsia="zh-CN" w:bidi="ar-SA"/>
              </w:rPr>
              <w:t>17.46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17.46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15.78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15.78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1.68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1.68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heme="minorEastAsia" w:hAnsiTheme="minorEastAsia" w:eastAsiaTheme="minorEastAsia" w:cstheme="minorEastAsia"/>
                <w:sz w:val="20"/>
                <w:szCs w:val="20"/>
              </w:rPr>
            </w:pPr>
          </w:p>
        </w:tc>
      </w:tr>
    </w:tbl>
    <w:p>
      <w:pPr>
        <w:ind w:firstLine="420" w:firstLineChars="200"/>
        <w:jc w:val="center"/>
        <w:rPr>
          <w:rFonts w:hint="eastAsia" w:ascii="楷体" w:hAnsi="楷体" w:eastAsia="楷体" w:cs="楷体"/>
          <w:sz w:val="24"/>
          <w:szCs w:val="24"/>
        </w:rPr>
      </w:pPr>
      <w:r>
        <w:rPr>
          <w:rFonts w:hint="eastAsia" w:ascii="楷体" w:hAnsi="楷体" w:eastAsia="楷体" w:cs="楷体"/>
          <w:sz w:val="21"/>
          <w:szCs w:val="21"/>
        </w:rPr>
        <w:t>注：经济科目填列至款级。没有一般公共预算拨款的，公开空表，不</w:t>
      </w:r>
      <w:r>
        <w:rPr>
          <w:rFonts w:hint="eastAsia" w:ascii="楷体" w:hAnsi="楷体" w:eastAsia="楷体" w:cs="楷体"/>
          <w:sz w:val="24"/>
          <w:szCs w:val="24"/>
        </w:rPr>
        <w:t>得删除。</w:t>
      </w:r>
    </w:p>
    <w:p>
      <w:pPr>
        <w:ind w:firstLine="636"/>
        <w:jc w:val="cente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center"/>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center"/>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center"/>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center"/>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82</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82</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34</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9"/>
        <w:tblpPr w:leftFromText="180" w:rightFromText="180" w:vertAnchor="text" w:horzAnchor="page" w:tblpXSpec="center" w:tblpY="-482"/>
        <w:tblOverlap w:val="never"/>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1283"/>
        <w:gridCol w:w="746"/>
        <w:gridCol w:w="750"/>
        <w:gridCol w:w="472"/>
        <w:gridCol w:w="443"/>
        <w:gridCol w:w="439"/>
        <w:gridCol w:w="532"/>
        <w:gridCol w:w="517"/>
        <w:gridCol w:w="81"/>
        <w:gridCol w:w="289"/>
        <w:gridCol w:w="73"/>
        <w:gridCol w:w="8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579" w:type="dxa"/>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8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4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22" w:type="dxa"/>
            <w:gridSpan w:val="2"/>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880" w:type="dxa"/>
            <w:gridSpan w:val="9"/>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276" w:hRule="atLeast"/>
          <w:jc w:val="center"/>
        </w:trPr>
        <w:tc>
          <w:tcPr>
            <w:tcW w:w="759" w:type="dxa"/>
            <w:vMerge w:val="restart"/>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类型</w:t>
            </w:r>
          </w:p>
        </w:tc>
        <w:tc>
          <w:tcPr>
            <w:tcW w:w="2170" w:type="dxa"/>
            <w:gridSpan w:val="2"/>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项目名称</w:t>
            </w:r>
          </w:p>
        </w:tc>
        <w:tc>
          <w:tcPr>
            <w:tcW w:w="1283" w:type="dxa"/>
            <w:vMerge w:val="restart"/>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项目</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单位</w:t>
            </w:r>
          </w:p>
        </w:tc>
        <w:tc>
          <w:tcPr>
            <w:tcW w:w="746" w:type="dxa"/>
            <w:vMerge w:val="restart"/>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合计</w:t>
            </w:r>
          </w:p>
        </w:tc>
        <w:tc>
          <w:tcPr>
            <w:tcW w:w="1222" w:type="dxa"/>
            <w:gridSpan w:val="2"/>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本年财政拨款</w:t>
            </w:r>
          </w:p>
        </w:tc>
        <w:tc>
          <w:tcPr>
            <w:tcW w:w="1931" w:type="dxa"/>
            <w:gridSpan w:val="4"/>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财政拨款结转</w:t>
            </w:r>
          </w:p>
        </w:tc>
        <w:tc>
          <w:tcPr>
            <w:tcW w:w="443" w:type="dxa"/>
            <w:gridSpan w:val="3"/>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rPr>
              <w:t>财政专户</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管理资金</w:t>
            </w:r>
          </w:p>
        </w:tc>
        <w:tc>
          <w:tcPr>
            <w:tcW w:w="506" w:type="dxa"/>
            <w:gridSpan w:val="2"/>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jc w:val="center"/>
        </w:trPr>
        <w:tc>
          <w:tcPr>
            <w:tcW w:w="759" w:type="dxa"/>
            <w:vMerge w:val="continue"/>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1063"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一级项目</w:t>
            </w:r>
          </w:p>
        </w:tc>
        <w:tc>
          <w:tcPr>
            <w:tcW w:w="1107"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二级项目</w:t>
            </w:r>
          </w:p>
        </w:tc>
        <w:tc>
          <w:tcPr>
            <w:tcW w:w="1283" w:type="dxa"/>
            <w:vMerge w:val="continue"/>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746" w:type="dxa"/>
            <w:vMerge w:val="continue"/>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750"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一般公共预算</w:t>
            </w:r>
          </w:p>
        </w:tc>
        <w:tc>
          <w:tcPr>
            <w:tcW w:w="472"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政府性</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基金</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预算</w:t>
            </w:r>
          </w:p>
        </w:tc>
        <w:tc>
          <w:tcPr>
            <w:tcW w:w="443"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rPr>
              <w:t>国有资本</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经营预算</w:t>
            </w:r>
          </w:p>
        </w:tc>
        <w:tc>
          <w:tcPr>
            <w:tcW w:w="439"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rPr>
              <w:t>一般</w:t>
            </w:r>
          </w:p>
          <w:p>
            <w:pPr>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rPr>
              <w:t>公共</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预算</w:t>
            </w:r>
          </w:p>
        </w:tc>
        <w:tc>
          <w:tcPr>
            <w:tcW w:w="532"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rPr>
              <w:t>政府性</w:t>
            </w:r>
          </w:p>
          <w:p>
            <w:pPr>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rPr>
              <w:t>基金</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预算</w:t>
            </w:r>
          </w:p>
        </w:tc>
        <w:tc>
          <w:tcPr>
            <w:tcW w:w="598" w:type="dxa"/>
            <w:gridSpan w:val="2"/>
            <w:noWrap w:val="0"/>
            <w:vAlign w:val="center"/>
          </w:tcPr>
          <w:p>
            <w:pPr>
              <w:autoSpaceDN w:val="0"/>
              <w:jc w:val="center"/>
              <w:textAlignment w:val="center"/>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rPr>
              <w:t>国有资本经营</w:t>
            </w:r>
          </w:p>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预算</w:t>
            </w:r>
          </w:p>
        </w:tc>
        <w:tc>
          <w:tcPr>
            <w:tcW w:w="443" w:type="dxa"/>
            <w:gridSpan w:val="3"/>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425"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exact"/>
          <w:jc w:val="center"/>
        </w:trPr>
        <w:tc>
          <w:tcPr>
            <w:tcW w:w="759"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c>
          <w:tcPr>
            <w:tcW w:w="1063" w:type="dxa"/>
            <w:noWrap w:val="0"/>
            <w:vAlign w:val="center"/>
          </w:tcPr>
          <w:p>
            <w:pPr>
              <w:numPr>
                <w:ilvl w:val="0"/>
                <w:numId w:val="0"/>
              </w:numPr>
              <w:spacing w:line="240" w:lineRule="auto"/>
              <w:ind w:left="0" w:leftChars="0" w:firstLine="0" w:firstLineChars="0"/>
              <w:jc w:val="both"/>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bidi="ar-SA"/>
              </w:rPr>
              <w:t>新华镇大学生村官工资1.3（377528元）</w:t>
            </w:r>
          </w:p>
        </w:tc>
        <w:tc>
          <w:tcPr>
            <w:tcW w:w="1107" w:type="dxa"/>
            <w:noWrap w:val="0"/>
            <w:vAlign w:val="center"/>
          </w:tcPr>
          <w:p>
            <w:pPr>
              <w:numPr>
                <w:ilvl w:val="0"/>
                <w:numId w:val="0"/>
              </w:numPr>
              <w:spacing w:line="240" w:lineRule="auto"/>
              <w:ind w:left="0" w:leftChars="0" w:firstLine="0" w:firstLineChars="0"/>
              <w:jc w:val="both"/>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bidi="ar-SA"/>
              </w:rPr>
              <w:t>新华镇大学生村官工资1.3（377528元）</w:t>
            </w:r>
          </w:p>
        </w:tc>
        <w:tc>
          <w:tcPr>
            <w:tcW w:w="1283" w:type="dxa"/>
            <w:noWrap w:val="0"/>
            <w:vAlign w:val="center"/>
          </w:tcPr>
          <w:p>
            <w:pPr>
              <w:spacing w:line="240" w:lineRule="auto"/>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通榆县新华镇人民政府</w:t>
            </w:r>
          </w:p>
        </w:tc>
        <w:tc>
          <w:tcPr>
            <w:tcW w:w="746" w:type="dxa"/>
            <w:noWrap w:val="0"/>
            <w:vAlign w:val="center"/>
          </w:tcPr>
          <w:p>
            <w:pPr>
              <w:spacing w:line="240" w:lineRule="auto"/>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37.75</w:t>
            </w:r>
          </w:p>
        </w:tc>
        <w:tc>
          <w:tcPr>
            <w:tcW w:w="750" w:type="dxa"/>
            <w:noWrap w:val="0"/>
            <w:vAlign w:val="center"/>
          </w:tcPr>
          <w:p>
            <w:pPr>
              <w:spacing w:line="240" w:lineRule="auto"/>
              <w:ind w:left="0" w:leftChars="0"/>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37.75</w:t>
            </w:r>
          </w:p>
        </w:tc>
        <w:tc>
          <w:tcPr>
            <w:tcW w:w="47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39"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98" w:type="dxa"/>
            <w:gridSpan w:val="2"/>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gridSpan w:val="3"/>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25"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759"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c>
          <w:tcPr>
            <w:tcW w:w="1063" w:type="dxa"/>
            <w:noWrap w:val="0"/>
            <w:vAlign w:val="center"/>
          </w:tcPr>
          <w:p>
            <w:pPr>
              <w:numPr>
                <w:ilvl w:val="0"/>
                <w:numId w:val="0"/>
              </w:numPr>
              <w:spacing w:line="240" w:lineRule="auto"/>
              <w:ind w:left="0" w:leftChars="0" w:firstLine="0" w:firstLineChars="0"/>
              <w:jc w:val="both"/>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辅助岗工资</w:t>
            </w:r>
          </w:p>
        </w:tc>
        <w:tc>
          <w:tcPr>
            <w:tcW w:w="1107" w:type="dxa"/>
            <w:noWrap w:val="0"/>
            <w:vAlign w:val="center"/>
          </w:tcPr>
          <w:p>
            <w:pPr>
              <w:numPr>
                <w:ilvl w:val="0"/>
                <w:numId w:val="0"/>
              </w:numPr>
              <w:spacing w:line="240" w:lineRule="auto"/>
              <w:ind w:leftChars="0"/>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辅助岗工资</w:t>
            </w:r>
          </w:p>
        </w:tc>
        <w:tc>
          <w:tcPr>
            <w:tcW w:w="1283" w:type="dxa"/>
            <w:noWrap w:val="0"/>
            <w:vAlign w:val="center"/>
          </w:tcPr>
          <w:p>
            <w:pPr>
              <w:spacing w:line="240" w:lineRule="auto"/>
              <w:ind w:leftChars="10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通榆县新华镇人民政府</w:t>
            </w:r>
          </w:p>
        </w:tc>
        <w:tc>
          <w:tcPr>
            <w:tcW w:w="746" w:type="dxa"/>
            <w:noWrap w:val="0"/>
            <w:vAlign w:val="center"/>
          </w:tcPr>
          <w:p>
            <w:pPr>
              <w:spacing w:line="240" w:lineRule="auto"/>
              <w:ind w:left="0" w:leftChars="0"/>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38.07</w:t>
            </w:r>
          </w:p>
        </w:tc>
        <w:tc>
          <w:tcPr>
            <w:tcW w:w="750" w:type="dxa"/>
            <w:noWrap w:val="0"/>
            <w:vAlign w:val="center"/>
          </w:tcPr>
          <w:p>
            <w:pPr>
              <w:spacing w:line="240" w:lineRule="auto"/>
              <w:ind w:left="0" w:leftChars="0"/>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38.07</w:t>
            </w:r>
          </w:p>
        </w:tc>
        <w:tc>
          <w:tcPr>
            <w:tcW w:w="47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39"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98" w:type="dxa"/>
            <w:gridSpan w:val="2"/>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gridSpan w:val="3"/>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25"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exact"/>
          <w:jc w:val="center"/>
        </w:trPr>
        <w:tc>
          <w:tcPr>
            <w:tcW w:w="759"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c>
          <w:tcPr>
            <w:tcW w:w="1063" w:type="dxa"/>
            <w:noWrap w:val="0"/>
            <w:vAlign w:val="center"/>
          </w:tcPr>
          <w:p>
            <w:pPr>
              <w:numPr>
                <w:ilvl w:val="0"/>
                <w:numId w:val="0"/>
              </w:numPr>
              <w:spacing w:line="240" w:lineRule="auto"/>
              <w:ind w:left="0" w:leftChars="0" w:firstLine="0" w:firstLineChars="0"/>
              <w:jc w:val="both"/>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新华镇政府乡镇转移支付资金1.3（428108元）</w:t>
            </w:r>
          </w:p>
        </w:tc>
        <w:tc>
          <w:tcPr>
            <w:tcW w:w="1107" w:type="dxa"/>
            <w:noWrap w:val="0"/>
            <w:vAlign w:val="center"/>
          </w:tcPr>
          <w:p>
            <w:pPr>
              <w:numPr>
                <w:ilvl w:val="0"/>
                <w:numId w:val="0"/>
              </w:numPr>
              <w:spacing w:line="240" w:lineRule="auto"/>
              <w:ind w:leftChars="0"/>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 xml:space="preserve">新华镇政府乡镇转移支付资金1.3（428108元）                  </w:t>
            </w:r>
          </w:p>
        </w:tc>
        <w:tc>
          <w:tcPr>
            <w:tcW w:w="1283" w:type="dxa"/>
            <w:noWrap w:val="0"/>
            <w:vAlign w:val="center"/>
          </w:tcPr>
          <w:p>
            <w:pPr>
              <w:spacing w:line="240" w:lineRule="auto"/>
              <w:ind w:leftChars="10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通榆县新华镇人民政府</w:t>
            </w:r>
          </w:p>
        </w:tc>
        <w:tc>
          <w:tcPr>
            <w:tcW w:w="746" w:type="dxa"/>
            <w:noWrap w:val="0"/>
            <w:vAlign w:val="center"/>
          </w:tcPr>
          <w:p>
            <w:pPr>
              <w:spacing w:line="240" w:lineRule="auto"/>
              <w:ind w:left="0" w:leftChars="0"/>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42.81</w:t>
            </w:r>
          </w:p>
        </w:tc>
        <w:tc>
          <w:tcPr>
            <w:tcW w:w="750" w:type="dxa"/>
            <w:noWrap w:val="0"/>
            <w:vAlign w:val="center"/>
          </w:tcPr>
          <w:p>
            <w:pPr>
              <w:spacing w:line="240" w:lineRule="auto"/>
              <w:ind w:left="0" w:leftChars="0"/>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42.81</w:t>
            </w:r>
          </w:p>
        </w:tc>
        <w:tc>
          <w:tcPr>
            <w:tcW w:w="47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39"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98" w:type="dxa"/>
            <w:gridSpan w:val="2"/>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gridSpan w:val="3"/>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25"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exact"/>
          <w:jc w:val="center"/>
        </w:trPr>
        <w:tc>
          <w:tcPr>
            <w:tcW w:w="759"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c>
          <w:tcPr>
            <w:tcW w:w="1063" w:type="dxa"/>
            <w:noWrap w:val="0"/>
            <w:vAlign w:val="center"/>
          </w:tcPr>
          <w:p>
            <w:pPr>
              <w:numPr>
                <w:ilvl w:val="0"/>
                <w:numId w:val="0"/>
              </w:numPr>
              <w:spacing w:line="240" w:lineRule="auto"/>
              <w:ind w:left="0" w:leftChars="0" w:firstLine="0" w:firstLineChars="0"/>
              <w:jc w:val="both"/>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新华镇驻村工作队生活补贴1.3(72000)</w:t>
            </w:r>
          </w:p>
        </w:tc>
        <w:tc>
          <w:tcPr>
            <w:tcW w:w="1107" w:type="dxa"/>
            <w:noWrap w:val="0"/>
            <w:vAlign w:val="center"/>
          </w:tcPr>
          <w:p>
            <w:pPr>
              <w:numPr>
                <w:ilvl w:val="0"/>
                <w:numId w:val="0"/>
              </w:numPr>
              <w:spacing w:line="240" w:lineRule="auto"/>
              <w:ind w:leftChars="0"/>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驻村工作队生活补贴1.3(72000)</w:t>
            </w:r>
          </w:p>
        </w:tc>
        <w:tc>
          <w:tcPr>
            <w:tcW w:w="1283" w:type="dxa"/>
            <w:noWrap w:val="0"/>
            <w:vAlign w:val="center"/>
          </w:tcPr>
          <w:p>
            <w:pPr>
              <w:spacing w:line="240" w:lineRule="auto"/>
              <w:ind w:leftChars="10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通榆县新华镇人民政府</w:t>
            </w:r>
          </w:p>
        </w:tc>
        <w:tc>
          <w:tcPr>
            <w:tcW w:w="746" w:type="dxa"/>
            <w:noWrap w:val="0"/>
            <w:vAlign w:val="center"/>
          </w:tcPr>
          <w:p>
            <w:pPr>
              <w:spacing w:line="240" w:lineRule="auto"/>
              <w:ind w:left="0" w:leftChars="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7.2</w:t>
            </w:r>
          </w:p>
        </w:tc>
        <w:tc>
          <w:tcPr>
            <w:tcW w:w="750" w:type="dxa"/>
            <w:noWrap w:val="0"/>
            <w:vAlign w:val="center"/>
          </w:tcPr>
          <w:p>
            <w:pPr>
              <w:spacing w:line="240" w:lineRule="auto"/>
              <w:ind w:left="0" w:leftChars="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7.2</w:t>
            </w:r>
          </w:p>
        </w:tc>
        <w:tc>
          <w:tcPr>
            <w:tcW w:w="47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39"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98" w:type="dxa"/>
            <w:gridSpan w:val="2"/>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gridSpan w:val="3"/>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25"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exact"/>
          <w:jc w:val="center"/>
        </w:trPr>
        <w:tc>
          <w:tcPr>
            <w:tcW w:w="759"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c>
          <w:tcPr>
            <w:tcW w:w="1063" w:type="dxa"/>
            <w:noWrap w:val="0"/>
            <w:vAlign w:val="center"/>
          </w:tcPr>
          <w:p>
            <w:pPr>
              <w:numPr>
                <w:ilvl w:val="0"/>
                <w:numId w:val="0"/>
              </w:numPr>
              <w:spacing w:line="240" w:lineRule="auto"/>
              <w:ind w:left="0" w:leftChars="0" w:firstLine="0" w:firstLineChars="0"/>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新华镇综合服务中心对村组织运转经费1.3（223.19）</w:t>
            </w:r>
          </w:p>
        </w:tc>
        <w:tc>
          <w:tcPr>
            <w:tcW w:w="1107" w:type="dxa"/>
            <w:noWrap w:val="0"/>
            <w:vAlign w:val="center"/>
          </w:tcPr>
          <w:p>
            <w:pPr>
              <w:numPr>
                <w:ilvl w:val="0"/>
                <w:numId w:val="0"/>
              </w:numPr>
              <w:spacing w:line="240" w:lineRule="auto"/>
              <w:ind w:leftChars="0"/>
              <w:jc w:val="both"/>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新华镇综合服务中心对村组织运转经费1.3（223.19</w:t>
            </w:r>
          </w:p>
        </w:tc>
        <w:tc>
          <w:tcPr>
            <w:tcW w:w="1283" w:type="dxa"/>
            <w:noWrap w:val="0"/>
            <w:vAlign w:val="center"/>
          </w:tcPr>
          <w:p>
            <w:pPr>
              <w:spacing w:line="240" w:lineRule="auto"/>
              <w:ind w:leftChars="10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通榆县新华镇综合服务中心</w:t>
            </w:r>
          </w:p>
        </w:tc>
        <w:tc>
          <w:tcPr>
            <w:tcW w:w="746" w:type="dxa"/>
            <w:noWrap w:val="0"/>
            <w:vAlign w:val="center"/>
          </w:tcPr>
          <w:p>
            <w:pPr>
              <w:spacing w:line="240" w:lineRule="auto"/>
              <w:ind w:left="0" w:leftChars="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223.19</w:t>
            </w:r>
          </w:p>
        </w:tc>
        <w:tc>
          <w:tcPr>
            <w:tcW w:w="750" w:type="dxa"/>
            <w:noWrap w:val="0"/>
            <w:vAlign w:val="center"/>
          </w:tcPr>
          <w:p>
            <w:pPr>
              <w:spacing w:line="240" w:lineRule="auto"/>
              <w:ind w:left="0" w:leftChars="0"/>
              <w:jc w:val="left"/>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223.19</w:t>
            </w:r>
          </w:p>
        </w:tc>
        <w:tc>
          <w:tcPr>
            <w:tcW w:w="47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39"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98" w:type="dxa"/>
            <w:gridSpan w:val="2"/>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gridSpan w:val="3"/>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25"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759"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val="en-US" w:eastAsia="zh-CN"/>
              </w:rPr>
              <w:t>合</w:t>
            </w:r>
            <w:r>
              <w:rPr>
                <w:rFonts w:hint="eastAsia" w:asciiTheme="minorEastAsia" w:hAnsiTheme="minorEastAsia" w:eastAsiaTheme="minorEastAsia" w:cstheme="minorEastAsia"/>
                <w:color w:val="000000"/>
                <w:sz w:val="20"/>
                <w:szCs w:val="20"/>
              </w:rPr>
              <w:t>计</w:t>
            </w:r>
          </w:p>
        </w:tc>
        <w:tc>
          <w:tcPr>
            <w:tcW w:w="1063" w:type="dxa"/>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p>
        </w:tc>
        <w:tc>
          <w:tcPr>
            <w:tcW w:w="1107" w:type="dxa"/>
            <w:noWrap w:val="0"/>
            <w:vAlign w:val="center"/>
          </w:tcPr>
          <w:p>
            <w:pPr>
              <w:numPr>
                <w:ilvl w:val="0"/>
                <w:numId w:val="0"/>
              </w:numPr>
              <w:spacing w:line="700" w:lineRule="exact"/>
              <w:ind w:leftChars="0"/>
              <w:jc w:val="both"/>
              <w:rPr>
                <w:rFonts w:hint="eastAsia" w:asciiTheme="minorEastAsia" w:hAnsiTheme="minorEastAsia" w:eastAsiaTheme="minorEastAsia" w:cstheme="minorEastAsia"/>
                <w:kern w:val="0"/>
                <w:sz w:val="20"/>
                <w:szCs w:val="20"/>
              </w:rPr>
            </w:pPr>
          </w:p>
        </w:tc>
        <w:tc>
          <w:tcPr>
            <w:tcW w:w="1283"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746" w:type="dxa"/>
            <w:noWrap w:val="0"/>
            <w:vAlign w:val="center"/>
          </w:tcPr>
          <w:p>
            <w:pPr>
              <w:spacing w:line="240" w:lineRule="auto"/>
              <w:ind w:left="0" w:leftChars="0"/>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349.02</w:t>
            </w:r>
          </w:p>
        </w:tc>
        <w:tc>
          <w:tcPr>
            <w:tcW w:w="750" w:type="dxa"/>
            <w:noWrap w:val="0"/>
            <w:vAlign w:val="center"/>
          </w:tcPr>
          <w:p>
            <w:pPr>
              <w:spacing w:line="240" w:lineRule="auto"/>
              <w:ind w:left="0" w:leftChars="0"/>
              <w:jc w:val="distribute"/>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349.02</w:t>
            </w:r>
          </w:p>
        </w:tc>
        <w:tc>
          <w:tcPr>
            <w:tcW w:w="47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39"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598" w:type="dxa"/>
            <w:gridSpan w:val="2"/>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43" w:type="dxa"/>
            <w:gridSpan w:val="3"/>
            <w:noWrap w:val="0"/>
            <w:vAlign w:val="center"/>
          </w:tcPr>
          <w:p>
            <w:pPr>
              <w:spacing w:line="240" w:lineRule="auto"/>
              <w:ind w:leftChars="100"/>
              <w:jc w:val="distribute"/>
              <w:rPr>
                <w:rFonts w:hint="eastAsia" w:asciiTheme="minorEastAsia" w:hAnsiTheme="minorEastAsia" w:eastAsiaTheme="minorEastAsia" w:cstheme="minorEastAsia"/>
                <w:kern w:val="0"/>
                <w:sz w:val="20"/>
                <w:szCs w:val="20"/>
              </w:rPr>
            </w:pPr>
          </w:p>
        </w:tc>
        <w:tc>
          <w:tcPr>
            <w:tcW w:w="425" w:type="dxa"/>
            <w:noWrap w:val="0"/>
            <w:vAlign w:val="center"/>
          </w:tcPr>
          <w:p>
            <w:pPr>
              <w:spacing w:line="700" w:lineRule="exact"/>
              <w:jc w:val="center"/>
              <w:rPr>
                <w:rFonts w:hint="eastAsia" w:asciiTheme="minorEastAsia" w:hAnsiTheme="minorEastAsia" w:eastAsiaTheme="minorEastAsia" w:cstheme="minorEastAsia"/>
                <w:kern w:val="0"/>
                <w:sz w:val="20"/>
                <w:szCs w:val="20"/>
              </w:rPr>
            </w:pPr>
          </w:p>
        </w:tc>
      </w:tr>
    </w:tbl>
    <w:p>
      <w:pPr>
        <w:bidi w:val="0"/>
        <w:jc w:val="left"/>
        <w:rPr>
          <w:rFonts w:hint="eastAsia" w:asciiTheme="minorEastAsia" w:hAnsiTheme="minorEastAsia" w:eastAsiaTheme="minorEastAsia" w:cstheme="minorEastAsia"/>
          <w:kern w:val="2"/>
          <w:sz w:val="20"/>
          <w:szCs w:val="20"/>
          <w:lang w:val="en-US" w:eastAsia="zh-CN" w:bidi="ar-SA"/>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ind w:firstLine="720" w:firstLineChars="200"/>
              <w:jc w:val="center"/>
              <w:rPr>
                <w:rFonts w:eastAsia="黑体"/>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新华镇人民政府专项资金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349.02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349.02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2024年专项资金主要用于村官、辅助岗开资、乡村振兴工作队人员生活补助、村组织运转经费转移支付保证政府正常运行、开展、提高工作效率。</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一般公共服务支出</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1类</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资金使用规范率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达到100%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2024年新华镇人民政府专项资金支出费用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349.02万元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付款及时率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达到100%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专项资金受益人员经济生产恢复率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达到100%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2024年专项资金提升办公效率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达到98%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2024年专项资金提高人民的满意度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达到99%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受益人员对专项资金支出使用满意度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达到100%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96.81</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项目资金增加。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1168.71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349.02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23</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1008.77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151.99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49.96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83.82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1168.70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349.02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23</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1068.27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91.41</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100.44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8.59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1008.77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66.47</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人员工资和单位正常办公运转经费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r>
        <w:rPr>
          <w:rFonts w:hint="eastAsia" w:ascii="仿宋_GB2312" w:hAnsi="仿宋_GB2312" w:eastAsia="仿宋_GB2312" w:cs="仿宋_GB2312"/>
          <w:szCs w:val="32"/>
          <w:u w:val="single"/>
        </w:rPr>
        <w:t>主要用于本部门无一般公共预算拨款。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主要用于本部门无一般公共预算拨款。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151.99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10.01</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社保缴费和职业年金缴费支出</w:t>
      </w:r>
      <w:r>
        <w:rPr>
          <w:rFonts w:hint="eastAsia" w:ascii="仿宋_GB2312" w:hAnsi="仿宋_GB2312" w:eastAsia="仿宋_GB2312" w:cs="仿宋_GB2312"/>
          <w:szCs w:val="32"/>
        </w:rPr>
        <w:t>_。</w:t>
      </w:r>
    </w:p>
    <w:p>
      <w:pPr>
        <w:keepNext w:val="0"/>
        <w:keepLines w:val="0"/>
        <w:widowControl/>
        <w:suppressLineNumbers w:val="0"/>
        <w:ind w:firstLine="310" w:firstLineChars="100"/>
        <w:jc w:val="left"/>
        <w:rPr>
          <w:u w:val="single"/>
        </w:rPr>
      </w:pPr>
      <w:r>
        <w:rPr>
          <w:rFonts w:ascii="仿宋" w:hAnsi="仿宋" w:eastAsia="仿宋" w:cs="仿宋"/>
          <w:color w:val="000000"/>
          <w:kern w:val="0"/>
          <w:sz w:val="31"/>
          <w:szCs w:val="31"/>
          <w:lang w:val="en-US" w:eastAsia="zh-CN" w:bidi="ar"/>
        </w:rPr>
        <w:t>卫生健康（类）支出</w:t>
      </w:r>
      <w:r>
        <w:rPr>
          <w:rFonts w:hint="eastAsia" w:ascii="仿宋" w:hAnsi="仿宋" w:eastAsia="仿宋" w:cs="仿宋"/>
          <w:color w:val="000000"/>
          <w:kern w:val="0"/>
          <w:sz w:val="31"/>
          <w:szCs w:val="31"/>
          <w:u w:val="single"/>
          <w:lang w:val="en-US" w:eastAsia="zh-CN" w:bidi="ar"/>
        </w:rPr>
        <w:t>49.96</w:t>
      </w:r>
      <w:r>
        <w:rPr>
          <w:rFonts w:ascii="仿宋" w:hAnsi="仿宋" w:eastAsia="仿宋" w:cs="仿宋"/>
          <w:color w:val="000000"/>
          <w:kern w:val="0"/>
          <w:sz w:val="31"/>
          <w:szCs w:val="31"/>
          <w:lang w:val="en-US" w:eastAsia="zh-CN" w:bidi="ar"/>
        </w:rPr>
        <w:t>万元，占</w:t>
      </w:r>
      <w:r>
        <w:rPr>
          <w:rFonts w:ascii="仿宋" w:hAnsi="仿宋" w:eastAsia="仿宋" w:cs="仿宋"/>
          <w:color w:val="000000"/>
          <w:kern w:val="0"/>
          <w:sz w:val="31"/>
          <w:szCs w:val="31"/>
          <w:u w:val="single"/>
          <w:lang w:val="en-US" w:eastAsia="zh-CN" w:bidi="ar"/>
        </w:rPr>
        <w:t xml:space="preserve"> </w:t>
      </w:r>
      <w:r>
        <w:rPr>
          <w:rFonts w:hint="eastAsia" w:ascii="仿宋" w:hAnsi="仿宋" w:eastAsia="仿宋" w:cs="仿宋"/>
          <w:color w:val="000000"/>
          <w:kern w:val="0"/>
          <w:sz w:val="31"/>
          <w:szCs w:val="31"/>
          <w:u w:val="single"/>
          <w:lang w:val="en-US" w:eastAsia="zh-CN" w:bidi="ar"/>
        </w:rPr>
        <w:t>3.3</w:t>
      </w:r>
      <w:r>
        <w:rPr>
          <w:rFonts w:ascii="仿宋" w:hAnsi="仿宋" w:eastAsia="仿宋" w:cs="仿宋"/>
          <w:color w:val="000000"/>
          <w:kern w:val="0"/>
          <w:sz w:val="31"/>
          <w:szCs w:val="31"/>
          <w:u w:val="single"/>
          <w:lang w:val="en-US" w:eastAsia="zh-CN" w:bidi="ar"/>
        </w:rPr>
        <w:t>%</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 xml:space="preserve">行政事 </w:t>
      </w:r>
    </w:p>
    <w:p>
      <w:pPr>
        <w:keepNext w:val="0"/>
        <w:keepLines w:val="0"/>
        <w:widowControl/>
        <w:suppressLineNumbers w:val="0"/>
        <w:jc w:val="left"/>
        <w:rPr>
          <w:rFonts w:hint="eastAsia" w:ascii="仿宋_GB2312" w:hAnsi="仿宋_GB2312" w:eastAsia="仿宋_GB2312" w:cs="仿宋_GB2312"/>
          <w:szCs w:val="32"/>
        </w:rPr>
      </w:pPr>
      <w:r>
        <w:rPr>
          <w:rFonts w:hint="eastAsia" w:ascii="仿宋" w:hAnsi="仿宋" w:eastAsia="仿宋" w:cs="仿宋"/>
          <w:color w:val="000000"/>
          <w:kern w:val="0"/>
          <w:sz w:val="31"/>
          <w:szCs w:val="31"/>
          <w:u w:val="single"/>
          <w:lang w:val="en-US" w:eastAsia="zh-CN" w:bidi="ar"/>
        </w:rPr>
        <w:t>业单位医疗--事业单位医疗。</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223.19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14.71</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单位农林水支出</w:t>
      </w:r>
      <w:r>
        <w:rPr>
          <w:rFonts w:hint="eastAsia" w:ascii="仿宋_GB2312" w:hAnsi="仿宋_GB2312" w:eastAsia="仿宋_GB2312" w:cs="仿宋_GB2312"/>
          <w:szCs w:val="32"/>
          <w:u w:val="single"/>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83.82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5.52</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住房公积金缴费支出</w:t>
      </w:r>
      <w:r>
        <w:rPr>
          <w:rFonts w:hint="eastAsia" w:ascii="仿宋_GB2312" w:hAnsi="仿宋_GB2312" w:eastAsia="仿宋_GB2312" w:cs="仿宋_GB2312"/>
          <w:szCs w:val="32"/>
        </w:rPr>
        <w:t>。</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882.94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782.5</w:t>
      </w:r>
      <w:r>
        <w:rPr>
          <w:rFonts w:hint="eastAsia" w:ascii="仿宋_GB2312" w:hAnsi="仿宋_GB2312" w:eastAsia="仿宋_GB2312" w:cs="仿宋_GB2312"/>
          <w:szCs w:val="32"/>
        </w:rPr>
        <w:t>万元，主要包括：</w:t>
      </w:r>
    </w:p>
    <w:p>
      <w:pPr>
        <w:ind w:firstLine="640" w:firstLineChars="200"/>
        <w:rPr>
          <w:rFonts w:hint="eastAsia" w:ascii="仿宋_GB2312" w:hAnsi="仿宋_GB2312" w:eastAsia="仿宋_GB2312" w:cs="仿宋_GB2312"/>
          <w:kern w:val="0"/>
          <w:szCs w:val="32"/>
          <w:lang w:val="en-US" w:eastAsia="zh-CN"/>
        </w:rPr>
      </w:pPr>
      <w:r>
        <w:rPr>
          <w:rFonts w:hint="eastAsia" w:ascii="仿宋_GB2312" w:hAnsi="仿宋_GB2312" w:eastAsia="仿宋_GB2312" w:cs="仿宋_GB2312"/>
          <w:kern w:val="0"/>
          <w:szCs w:val="32"/>
          <w:lang w:val="en-US" w:eastAsia="zh-CN"/>
        </w:rPr>
        <w:t>基本工资、津贴补贴、奖金、社会保障缴费、其他工资福利支出、</w:t>
      </w:r>
      <w:r>
        <w:rPr>
          <w:rFonts w:hint="default" w:ascii="仿宋_GB2312" w:hAnsi="仿宋_GB2312" w:eastAsia="仿宋_GB2312" w:cs="仿宋_GB2312"/>
          <w:kern w:val="0"/>
          <w:szCs w:val="32"/>
          <w:lang w:val="en-US" w:eastAsia="zh-CN"/>
        </w:rPr>
        <w:t>机关事业单位基本养老保险缴费</w:t>
      </w:r>
      <w:r>
        <w:rPr>
          <w:rFonts w:hint="eastAsia" w:ascii="仿宋_GB2312" w:hAnsi="仿宋_GB2312" w:eastAsia="仿宋_GB2312" w:cs="仿宋_GB2312"/>
          <w:kern w:val="0"/>
          <w:szCs w:val="32"/>
          <w:lang w:val="en-US" w:eastAsia="zh-CN"/>
        </w:rPr>
        <w:t>、</w:t>
      </w:r>
      <w:r>
        <w:rPr>
          <w:rFonts w:hint="default" w:ascii="仿宋_GB2312" w:hAnsi="仿宋_GB2312" w:eastAsia="仿宋_GB2312" w:cs="仿宋_GB2312"/>
          <w:kern w:val="0"/>
          <w:szCs w:val="32"/>
          <w:lang w:val="en-US" w:eastAsia="zh-CN"/>
        </w:rPr>
        <w:t>职业年金缴费</w:t>
      </w:r>
      <w:r>
        <w:rPr>
          <w:rFonts w:hint="eastAsia" w:ascii="仿宋_GB2312" w:hAnsi="仿宋_GB2312" w:eastAsia="仿宋_GB2312" w:cs="仿宋_GB2312"/>
          <w:kern w:val="0"/>
          <w:szCs w:val="32"/>
          <w:lang w:val="en-US" w:eastAsia="zh-CN"/>
        </w:rPr>
        <w:t>、</w:t>
      </w:r>
      <w:r>
        <w:rPr>
          <w:rFonts w:hint="default" w:ascii="仿宋_GB2312" w:hAnsi="仿宋_GB2312" w:eastAsia="仿宋_GB2312" w:cs="仿宋_GB2312"/>
          <w:kern w:val="0"/>
          <w:szCs w:val="32"/>
          <w:lang w:val="en-US" w:eastAsia="zh-CN"/>
        </w:rPr>
        <w:t>住房公积金</w:t>
      </w:r>
      <w:r>
        <w:rPr>
          <w:rFonts w:hint="eastAsia" w:ascii="仿宋_GB2312" w:hAnsi="仿宋_GB2312" w:eastAsia="仿宋_GB2312" w:cs="仿宋_GB2312"/>
          <w:kern w:val="0"/>
          <w:szCs w:val="32"/>
          <w:lang w:val="en-US" w:eastAsia="zh-CN"/>
        </w:rPr>
        <w:t>、对个人和家庭的补助、</w:t>
      </w:r>
      <w:r>
        <w:rPr>
          <w:rFonts w:hint="default" w:ascii="仿宋_GB2312" w:hAnsi="仿宋_GB2312" w:eastAsia="仿宋_GB2312" w:cs="仿宋_GB2312"/>
          <w:kern w:val="0"/>
          <w:szCs w:val="32"/>
          <w:lang w:val="en-US" w:eastAsia="zh-CN"/>
        </w:rPr>
        <w:t>退休费</w:t>
      </w:r>
      <w:r>
        <w:rPr>
          <w:rFonts w:hint="eastAsia" w:ascii="仿宋_GB2312" w:hAnsi="仿宋_GB2312" w:eastAsia="仿宋_GB2312" w:cs="仿宋_GB2312"/>
          <w:kern w:val="0"/>
          <w:szCs w:val="32"/>
          <w:lang w:val="en-US" w:eastAsia="zh-CN"/>
        </w:rPr>
        <w:t>、</w:t>
      </w:r>
      <w:r>
        <w:rPr>
          <w:rFonts w:hint="default" w:ascii="仿宋_GB2312" w:hAnsi="仿宋_GB2312" w:eastAsia="仿宋_GB2312" w:cs="仿宋_GB2312"/>
          <w:kern w:val="0"/>
          <w:szCs w:val="32"/>
          <w:lang w:val="en-US" w:eastAsia="zh-CN"/>
        </w:rPr>
        <w:t>生活补助</w:t>
      </w:r>
      <w:r>
        <w:rPr>
          <w:rFonts w:hint="eastAsia" w:ascii="仿宋_GB2312" w:hAnsi="仿宋_GB2312" w:eastAsia="仿宋_GB2312" w:cs="仿宋_GB2312"/>
          <w:kern w:val="0"/>
          <w:szCs w:val="32"/>
          <w:lang w:val="en-US" w:eastAsia="zh-CN"/>
        </w:rPr>
        <w:t>。</w:t>
      </w:r>
    </w:p>
    <w:p>
      <w:pPr>
        <w:ind w:firstLine="640" w:firstLineChars="200"/>
        <w:rPr>
          <w:rFonts w:hint="default" w:ascii="仿宋_GB2312" w:hAnsi="仿宋_GB2312" w:eastAsia="仿宋_GB2312" w:cs="仿宋_GB2312"/>
          <w:kern w:val="0"/>
          <w:szCs w:val="32"/>
          <w:lang w:val="en-US" w:eastAsia="zh-CN"/>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100.44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lang w:val="en-US" w:eastAsia="zh-CN"/>
        </w:rPr>
        <w:t>办公费、印刷费、电费、水费、</w:t>
      </w:r>
      <w:r>
        <w:rPr>
          <w:rFonts w:hint="default" w:ascii="仿宋_GB2312" w:hAnsi="仿宋_GB2312" w:eastAsia="仿宋_GB2312" w:cs="仿宋_GB2312"/>
          <w:kern w:val="0"/>
          <w:szCs w:val="32"/>
          <w:lang w:val="en-US" w:eastAsia="zh-CN"/>
        </w:rPr>
        <w:t>劳务费</w:t>
      </w:r>
      <w:r>
        <w:rPr>
          <w:rFonts w:hint="eastAsia" w:ascii="仿宋_GB2312" w:hAnsi="仿宋_GB2312" w:eastAsia="仿宋_GB2312" w:cs="仿宋_GB2312"/>
          <w:kern w:val="0"/>
          <w:szCs w:val="32"/>
          <w:lang w:val="en-US" w:eastAsia="zh-CN"/>
        </w:rPr>
        <w:t>、</w:t>
      </w:r>
      <w:r>
        <w:rPr>
          <w:rFonts w:hint="default" w:ascii="仿宋_GB2312" w:hAnsi="仿宋_GB2312" w:eastAsia="仿宋_GB2312" w:cs="仿宋_GB2312"/>
          <w:kern w:val="0"/>
          <w:szCs w:val="32"/>
          <w:lang w:val="en-US" w:eastAsia="zh-CN"/>
        </w:rPr>
        <w:t>专用材料费</w:t>
      </w:r>
      <w:r>
        <w:rPr>
          <w:rFonts w:hint="eastAsia" w:ascii="仿宋_GB2312" w:hAnsi="仿宋_GB2312" w:eastAsia="仿宋_GB2312" w:cs="仿宋_GB2312"/>
          <w:kern w:val="0"/>
          <w:szCs w:val="32"/>
          <w:lang w:val="en-US" w:eastAsia="zh-CN"/>
        </w:rPr>
        <w:t>、邮电费、取暖费、物业管理费、差旅费、维修（护）费、培训费、工会经费、公务用车运行维护费、其他商品和服务支出、租赁费、</w:t>
      </w:r>
      <w:r>
        <w:rPr>
          <w:rFonts w:hint="default" w:ascii="仿宋_GB2312" w:hAnsi="仿宋_GB2312" w:eastAsia="仿宋_GB2312" w:cs="仿宋_GB2312"/>
          <w:kern w:val="0"/>
          <w:szCs w:val="32"/>
          <w:lang w:val="en-US" w:eastAsia="zh-CN"/>
        </w:rPr>
        <w:t>咨询费</w:t>
      </w:r>
      <w:r>
        <w:rPr>
          <w:rFonts w:hint="eastAsia" w:ascii="仿宋_GB2312" w:hAnsi="仿宋_GB2312" w:eastAsia="仿宋_GB2312" w:cs="仿宋_GB2312"/>
          <w:kern w:val="0"/>
          <w:szCs w:val="32"/>
          <w:lang w:val="en-US" w:eastAsia="zh-CN"/>
        </w:rPr>
        <w:t>、</w:t>
      </w:r>
      <w:r>
        <w:rPr>
          <w:rFonts w:hint="default" w:ascii="仿宋_GB2312" w:hAnsi="仿宋_GB2312" w:eastAsia="仿宋_GB2312" w:cs="仿宋_GB2312"/>
          <w:kern w:val="0"/>
          <w:szCs w:val="32"/>
          <w:lang w:val="en-US" w:eastAsia="zh-CN"/>
        </w:rPr>
        <w:t>手续费</w:t>
      </w:r>
      <w:r>
        <w:rPr>
          <w:rFonts w:hint="eastAsia" w:ascii="仿宋_GB2312" w:hAnsi="仿宋_GB2312" w:eastAsia="仿宋_GB2312" w:cs="仿宋_GB2312"/>
          <w:kern w:val="0"/>
          <w:szCs w:val="32"/>
          <w:lang w:val="en-US" w:eastAsia="zh-CN"/>
        </w:rPr>
        <w:t>、</w:t>
      </w:r>
      <w:r>
        <w:rPr>
          <w:rFonts w:hint="default" w:ascii="仿宋_GB2312" w:hAnsi="仿宋_GB2312" w:eastAsia="仿宋_GB2312" w:cs="仿宋_GB2312"/>
          <w:kern w:val="0"/>
          <w:szCs w:val="32"/>
          <w:lang w:val="en-US" w:eastAsia="zh-CN"/>
        </w:rPr>
        <w:t>委托业务费</w:t>
      </w:r>
      <w:r>
        <w:rPr>
          <w:rFonts w:hint="eastAsia" w:ascii="仿宋_GB2312" w:hAnsi="仿宋_GB2312" w:eastAsia="仿宋_GB2312" w:cs="仿宋_GB2312"/>
          <w:kern w:val="0"/>
          <w:szCs w:val="32"/>
          <w:lang w:val="en-US" w:eastAsia="zh-CN"/>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cs="仿宋_GB2312"/>
          <w:szCs w:val="32"/>
          <w:u w:val="single"/>
          <w:lang w:eastAsia="zh-CN"/>
        </w:rPr>
        <w:t>。</w:t>
      </w:r>
    </w:p>
    <w:p>
      <w:pPr>
        <w:ind w:firstLine="640" w:firstLineChars="200"/>
        <w:rPr>
          <w:rFonts w:hint="eastAsia" w:ascii="仿宋_GB2312" w:hAnsi="仿宋_GB2312" w:eastAsia="楷体"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车辆10年之久老旧，油耗大、修理次数多</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lang w:eastAsia="zh-CN"/>
        </w:rPr>
        <w:t>本部门无一般公共预算拨款</w:t>
      </w:r>
      <w:r>
        <w:rPr>
          <w:rFonts w:hint="eastAsia" w:ascii="仿宋_GB2312" w:hAnsi="仿宋_GB2312" w:cs="仿宋_GB2312"/>
          <w:szCs w:val="32"/>
          <w:u w:val="single"/>
          <w:lang w:eastAsia="zh-CN"/>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eastAsia="楷体"/>
          <w:szCs w:val="32"/>
        </w:rPr>
        <w:t>本部门无政府性基金预算拨款</w:t>
      </w:r>
    </w:p>
    <w:p>
      <w:pPr>
        <w:ind w:firstLine="640"/>
        <w:rPr>
          <w:rFonts w:hint="eastAsia" w:ascii="仿宋_GB2312" w:hAnsi="仿宋_GB2312" w:eastAsia="仿宋_GB2312" w:cs="仿宋_GB2312"/>
          <w:szCs w:val="32"/>
          <w:highlight w:val="none"/>
        </w:rPr>
      </w:pPr>
    </w:p>
    <w:p>
      <w:pPr>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lang w:eastAsia="zh-CN"/>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val="en-US" w:eastAsia="zh-CN"/>
        </w:rPr>
        <w:t>本部门没有</w:t>
      </w:r>
      <w:r>
        <w:rPr>
          <w:rFonts w:hint="eastAsia" w:ascii="仿宋_GB2312" w:hAnsi="仿宋_GB2312" w:eastAsia="仿宋_GB2312" w:cs="仿宋_GB2312"/>
          <w:szCs w:val="32"/>
          <w:highlight w:val="none"/>
        </w:rPr>
        <w:t>国有资本经营预算支出</w:t>
      </w:r>
      <w:r>
        <w:rPr>
          <w:rFonts w:hint="eastAsia" w:ascii="仿宋_GB2312" w:hAnsi="仿宋_GB2312" w:cs="仿宋_GB2312"/>
          <w:szCs w:val="32"/>
          <w:highlight w:val="none"/>
          <w:lang w:eastAsia="zh-CN"/>
        </w:rPr>
        <w:t>。</w:t>
      </w:r>
    </w:p>
    <w:p>
      <w:pPr>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所辖新华镇服务中心等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u w:val="single"/>
          <w:lang w:val="en-US" w:eastAsia="zh-CN"/>
        </w:rPr>
        <w:t>1517.73</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96.81</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6.81</w:t>
      </w:r>
      <w:r>
        <w:rPr>
          <w:rFonts w:hint="eastAsia" w:ascii="仿宋_GB2312" w:hAnsi="仿宋_GB2312" w:eastAsia="仿宋_GB2312" w:cs="仿宋_GB2312"/>
          <w:szCs w:val="32"/>
        </w:rPr>
        <w:t>%，主要原因是</w:t>
      </w:r>
      <w:r>
        <w:rPr>
          <w:rFonts w:hint="eastAsia" w:ascii="仿宋_GB2312" w:hAnsi="仿宋_GB2312" w:cs="仿宋_GB2312"/>
          <w:szCs w:val="32"/>
          <w:u w:val="single"/>
          <w:lang w:val="en-US" w:eastAsia="zh-CN"/>
        </w:rPr>
        <w:t>项目资金增加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25000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5142.79</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bookmarkStart w:id="0" w:name="_GoBack"/>
      <w:bookmarkEnd w:id="0"/>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349.02</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5</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349.02</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u w:val="single"/>
          <w:lang w:val="en-US" w:eastAsia="zh-CN"/>
        </w:rPr>
        <w:t>5</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349.02</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TVlZGQxOWYwYzM2ZDg4NGE1Y2Y5MGRjODRkZTM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8F1D18"/>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B77BE"/>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131184"/>
    <w:rsid w:val="01620FE6"/>
    <w:rsid w:val="019B69D8"/>
    <w:rsid w:val="01CF2AAD"/>
    <w:rsid w:val="020E6D2C"/>
    <w:rsid w:val="031D7D4B"/>
    <w:rsid w:val="04022755"/>
    <w:rsid w:val="0486486A"/>
    <w:rsid w:val="04954460"/>
    <w:rsid w:val="04F026C1"/>
    <w:rsid w:val="050D06DA"/>
    <w:rsid w:val="050F3BA7"/>
    <w:rsid w:val="05513E94"/>
    <w:rsid w:val="056B57EE"/>
    <w:rsid w:val="056F5A6D"/>
    <w:rsid w:val="059B3770"/>
    <w:rsid w:val="063949A0"/>
    <w:rsid w:val="067960C1"/>
    <w:rsid w:val="06BD5BC7"/>
    <w:rsid w:val="07D21289"/>
    <w:rsid w:val="07F544B0"/>
    <w:rsid w:val="09A0082A"/>
    <w:rsid w:val="0A334D52"/>
    <w:rsid w:val="0ABA06FE"/>
    <w:rsid w:val="0B5F5ADA"/>
    <w:rsid w:val="0B710869"/>
    <w:rsid w:val="0C2A5C84"/>
    <w:rsid w:val="0C6A44A1"/>
    <w:rsid w:val="0DA001B0"/>
    <w:rsid w:val="0DB6446C"/>
    <w:rsid w:val="0DEB170B"/>
    <w:rsid w:val="0E4C7841"/>
    <w:rsid w:val="0ECC5158"/>
    <w:rsid w:val="0F3E0406"/>
    <w:rsid w:val="0F8B592F"/>
    <w:rsid w:val="0FD62F63"/>
    <w:rsid w:val="107728C7"/>
    <w:rsid w:val="10855BDB"/>
    <w:rsid w:val="10AE7F82"/>
    <w:rsid w:val="10B77D5F"/>
    <w:rsid w:val="10C93B35"/>
    <w:rsid w:val="11177619"/>
    <w:rsid w:val="11187772"/>
    <w:rsid w:val="111D5E14"/>
    <w:rsid w:val="112605C8"/>
    <w:rsid w:val="11812847"/>
    <w:rsid w:val="12812FB7"/>
    <w:rsid w:val="12E711B7"/>
    <w:rsid w:val="13651CF4"/>
    <w:rsid w:val="136D62BD"/>
    <w:rsid w:val="13F21722"/>
    <w:rsid w:val="1441443C"/>
    <w:rsid w:val="14C12787"/>
    <w:rsid w:val="14C81C67"/>
    <w:rsid w:val="15593E10"/>
    <w:rsid w:val="159F7E25"/>
    <w:rsid w:val="15F848D0"/>
    <w:rsid w:val="160E1FA5"/>
    <w:rsid w:val="160F2600"/>
    <w:rsid w:val="16661F45"/>
    <w:rsid w:val="176D1128"/>
    <w:rsid w:val="17765BCA"/>
    <w:rsid w:val="17A027D8"/>
    <w:rsid w:val="181812B8"/>
    <w:rsid w:val="18756535"/>
    <w:rsid w:val="18867414"/>
    <w:rsid w:val="193F65E9"/>
    <w:rsid w:val="1A817DF8"/>
    <w:rsid w:val="1ADC594E"/>
    <w:rsid w:val="1AEB5252"/>
    <w:rsid w:val="1C852172"/>
    <w:rsid w:val="1CA40C0C"/>
    <w:rsid w:val="1CFF4A32"/>
    <w:rsid w:val="1D833200"/>
    <w:rsid w:val="1E2D59A2"/>
    <w:rsid w:val="1E3A3FD0"/>
    <w:rsid w:val="1E864866"/>
    <w:rsid w:val="1EB55C07"/>
    <w:rsid w:val="1F351A10"/>
    <w:rsid w:val="1FED47E9"/>
    <w:rsid w:val="2027280B"/>
    <w:rsid w:val="203521EF"/>
    <w:rsid w:val="206816AC"/>
    <w:rsid w:val="22A050C3"/>
    <w:rsid w:val="22A4003E"/>
    <w:rsid w:val="22AB70CE"/>
    <w:rsid w:val="23767606"/>
    <w:rsid w:val="23984063"/>
    <w:rsid w:val="23CE11F0"/>
    <w:rsid w:val="23D6724E"/>
    <w:rsid w:val="23EC61F6"/>
    <w:rsid w:val="244C543C"/>
    <w:rsid w:val="24624768"/>
    <w:rsid w:val="249B0579"/>
    <w:rsid w:val="2539376C"/>
    <w:rsid w:val="254C6FAD"/>
    <w:rsid w:val="259B5BC5"/>
    <w:rsid w:val="25C7462E"/>
    <w:rsid w:val="25F62C4E"/>
    <w:rsid w:val="26643D6C"/>
    <w:rsid w:val="26FE109D"/>
    <w:rsid w:val="27073E1E"/>
    <w:rsid w:val="27B04AB3"/>
    <w:rsid w:val="28A63332"/>
    <w:rsid w:val="290F0BD8"/>
    <w:rsid w:val="29C45F24"/>
    <w:rsid w:val="2A2A3FBC"/>
    <w:rsid w:val="2B6A5CA2"/>
    <w:rsid w:val="2DE0080A"/>
    <w:rsid w:val="2DF8796C"/>
    <w:rsid w:val="2EB22F18"/>
    <w:rsid w:val="2EE12108"/>
    <w:rsid w:val="2EED35E3"/>
    <w:rsid w:val="2F250383"/>
    <w:rsid w:val="2F63610B"/>
    <w:rsid w:val="2F641036"/>
    <w:rsid w:val="2FEA1B35"/>
    <w:rsid w:val="300965A3"/>
    <w:rsid w:val="30730D6E"/>
    <w:rsid w:val="30B91A70"/>
    <w:rsid w:val="31B0329A"/>
    <w:rsid w:val="32397E83"/>
    <w:rsid w:val="329F4483"/>
    <w:rsid w:val="32CF2C5D"/>
    <w:rsid w:val="335402B5"/>
    <w:rsid w:val="339466B2"/>
    <w:rsid w:val="34555AF5"/>
    <w:rsid w:val="35616772"/>
    <w:rsid w:val="35EA1663"/>
    <w:rsid w:val="364C598E"/>
    <w:rsid w:val="36CC2B0F"/>
    <w:rsid w:val="371A614D"/>
    <w:rsid w:val="3838492F"/>
    <w:rsid w:val="38496672"/>
    <w:rsid w:val="387258D7"/>
    <w:rsid w:val="3887374F"/>
    <w:rsid w:val="38AF6637"/>
    <w:rsid w:val="39041A07"/>
    <w:rsid w:val="39043B77"/>
    <w:rsid w:val="393F0DCD"/>
    <w:rsid w:val="39670895"/>
    <w:rsid w:val="39F347F1"/>
    <w:rsid w:val="3A657F9A"/>
    <w:rsid w:val="3A9113D4"/>
    <w:rsid w:val="3AC54F32"/>
    <w:rsid w:val="3B144A0A"/>
    <w:rsid w:val="3B1B2A0D"/>
    <w:rsid w:val="3B64626A"/>
    <w:rsid w:val="3B7C071F"/>
    <w:rsid w:val="3BC92948"/>
    <w:rsid w:val="3BE370D4"/>
    <w:rsid w:val="3C29381E"/>
    <w:rsid w:val="3C711E1D"/>
    <w:rsid w:val="3C7F463D"/>
    <w:rsid w:val="3CAE3960"/>
    <w:rsid w:val="3D365BF6"/>
    <w:rsid w:val="3DF23324"/>
    <w:rsid w:val="3EA14040"/>
    <w:rsid w:val="3EE8108D"/>
    <w:rsid w:val="3F777999"/>
    <w:rsid w:val="3FD96BF3"/>
    <w:rsid w:val="405745EF"/>
    <w:rsid w:val="405A3817"/>
    <w:rsid w:val="40B80EFF"/>
    <w:rsid w:val="419330CA"/>
    <w:rsid w:val="41A35364"/>
    <w:rsid w:val="41B07B0D"/>
    <w:rsid w:val="41C31686"/>
    <w:rsid w:val="41E20ADB"/>
    <w:rsid w:val="42982B4E"/>
    <w:rsid w:val="42B871C2"/>
    <w:rsid w:val="436B1E42"/>
    <w:rsid w:val="43993170"/>
    <w:rsid w:val="43EA7528"/>
    <w:rsid w:val="44054362"/>
    <w:rsid w:val="449C5E6A"/>
    <w:rsid w:val="456D114B"/>
    <w:rsid w:val="45EB670F"/>
    <w:rsid w:val="46AB7C0D"/>
    <w:rsid w:val="46D44808"/>
    <w:rsid w:val="47CF49E6"/>
    <w:rsid w:val="4843587B"/>
    <w:rsid w:val="48674ED2"/>
    <w:rsid w:val="487708E6"/>
    <w:rsid w:val="49645F71"/>
    <w:rsid w:val="499F5C68"/>
    <w:rsid w:val="49E8275C"/>
    <w:rsid w:val="4AF16062"/>
    <w:rsid w:val="4B646DDD"/>
    <w:rsid w:val="4B7F44F8"/>
    <w:rsid w:val="4BAC24C5"/>
    <w:rsid w:val="4BFA0656"/>
    <w:rsid w:val="4C5567C9"/>
    <w:rsid w:val="4D3301AA"/>
    <w:rsid w:val="4D730507"/>
    <w:rsid w:val="4D741DD3"/>
    <w:rsid w:val="4DBA56C2"/>
    <w:rsid w:val="4DC93207"/>
    <w:rsid w:val="4E2A22FD"/>
    <w:rsid w:val="4E5A52AA"/>
    <w:rsid w:val="4E8D5761"/>
    <w:rsid w:val="4EF54A85"/>
    <w:rsid w:val="4F6F75D9"/>
    <w:rsid w:val="4FA4387F"/>
    <w:rsid w:val="501B3C66"/>
    <w:rsid w:val="504B40C5"/>
    <w:rsid w:val="50987DC2"/>
    <w:rsid w:val="50A4703E"/>
    <w:rsid w:val="5100038B"/>
    <w:rsid w:val="5136104F"/>
    <w:rsid w:val="51E55C99"/>
    <w:rsid w:val="52071113"/>
    <w:rsid w:val="52447C09"/>
    <w:rsid w:val="525A440D"/>
    <w:rsid w:val="54741940"/>
    <w:rsid w:val="54810E66"/>
    <w:rsid w:val="54C2556E"/>
    <w:rsid w:val="55480EEF"/>
    <w:rsid w:val="5595415E"/>
    <w:rsid w:val="56570E30"/>
    <w:rsid w:val="57AE5C26"/>
    <w:rsid w:val="57BD3FFA"/>
    <w:rsid w:val="57C32D51"/>
    <w:rsid w:val="57DD75A9"/>
    <w:rsid w:val="58256ABD"/>
    <w:rsid w:val="59472AC7"/>
    <w:rsid w:val="59475E0B"/>
    <w:rsid w:val="59BD150F"/>
    <w:rsid w:val="59DD570D"/>
    <w:rsid w:val="59FF5EDC"/>
    <w:rsid w:val="5A084708"/>
    <w:rsid w:val="5AB343F7"/>
    <w:rsid w:val="5ABF50F2"/>
    <w:rsid w:val="5AF76904"/>
    <w:rsid w:val="5B052E7A"/>
    <w:rsid w:val="5B3D7F7E"/>
    <w:rsid w:val="5B7C7777"/>
    <w:rsid w:val="5B9462A0"/>
    <w:rsid w:val="5BC8007B"/>
    <w:rsid w:val="5BEC6771"/>
    <w:rsid w:val="5CA506B9"/>
    <w:rsid w:val="5CFD5FB2"/>
    <w:rsid w:val="5D2B52D8"/>
    <w:rsid w:val="5D5A7C63"/>
    <w:rsid w:val="5E256F6F"/>
    <w:rsid w:val="5E4C2E61"/>
    <w:rsid w:val="5F6235A9"/>
    <w:rsid w:val="614125C2"/>
    <w:rsid w:val="624C5C52"/>
    <w:rsid w:val="626F35C2"/>
    <w:rsid w:val="63952BB5"/>
    <w:rsid w:val="639F20DC"/>
    <w:rsid w:val="63DF08E4"/>
    <w:rsid w:val="64127E15"/>
    <w:rsid w:val="643066C0"/>
    <w:rsid w:val="64C04AFD"/>
    <w:rsid w:val="661A7B69"/>
    <w:rsid w:val="664909C1"/>
    <w:rsid w:val="66C63EB5"/>
    <w:rsid w:val="677772D0"/>
    <w:rsid w:val="679461D3"/>
    <w:rsid w:val="6858287E"/>
    <w:rsid w:val="685C6397"/>
    <w:rsid w:val="69157114"/>
    <w:rsid w:val="691A443E"/>
    <w:rsid w:val="69F04FE9"/>
    <w:rsid w:val="6A80735F"/>
    <w:rsid w:val="6AB5047B"/>
    <w:rsid w:val="6ACC5E47"/>
    <w:rsid w:val="6AD43ED1"/>
    <w:rsid w:val="6B11024D"/>
    <w:rsid w:val="6B7D5B36"/>
    <w:rsid w:val="6C4B6C60"/>
    <w:rsid w:val="6CF120A8"/>
    <w:rsid w:val="6D130961"/>
    <w:rsid w:val="6D520AA4"/>
    <w:rsid w:val="6F6B3577"/>
    <w:rsid w:val="714213DD"/>
    <w:rsid w:val="717F272E"/>
    <w:rsid w:val="728027C6"/>
    <w:rsid w:val="72D54D7C"/>
    <w:rsid w:val="737664E0"/>
    <w:rsid w:val="73FD6153"/>
    <w:rsid w:val="73FE7ACC"/>
    <w:rsid w:val="74053F35"/>
    <w:rsid w:val="74556746"/>
    <w:rsid w:val="74AB7A24"/>
    <w:rsid w:val="765F240A"/>
    <w:rsid w:val="76BB79B1"/>
    <w:rsid w:val="76C17E06"/>
    <w:rsid w:val="76CA67BD"/>
    <w:rsid w:val="774E6400"/>
    <w:rsid w:val="775B0046"/>
    <w:rsid w:val="778F40C6"/>
    <w:rsid w:val="78796248"/>
    <w:rsid w:val="79653A37"/>
    <w:rsid w:val="79700BEF"/>
    <w:rsid w:val="79F85634"/>
    <w:rsid w:val="7A090695"/>
    <w:rsid w:val="7AE175F4"/>
    <w:rsid w:val="7B417685"/>
    <w:rsid w:val="7B5220F0"/>
    <w:rsid w:val="7BA169C0"/>
    <w:rsid w:val="7BE95D3C"/>
    <w:rsid w:val="7CAD595B"/>
    <w:rsid w:val="7CF65D07"/>
    <w:rsid w:val="7D2975D1"/>
    <w:rsid w:val="7DCC0CD6"/>
    <w:rsid w:val="7F211C26"/>
    <w:rsid w:val="7FF317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52"/>
    <w:autoRedefine/>
    <w:qFormat/>
    <w:uiPriority w:val="0"/>
    <w:pPr>
      <w:widowControl/>
    </w:pPr>
    <w:rPr>
      <w:rFonts w:eastAsia="宋体"/>
      <w:kern w:val="0"/>
      <w:szCs w:val="32"/>
    </w:rPr>
  </w:style>
  <w:style w:type="paragraph" w:customStyle="1" w:styleId="52">
    <w:name w:val="正文 New New New New"/>
    <w:autoRedefine/>
    <w:qFormat/>
    <w:uiPriority w:val="0"/>
    <w:pPr>
      <w:widowControl w:val="0"/>
      <w:jc w:val="both"/>
    </w:pPr>
    <w:rPr>
      <w:rFonts w:ascii="Times New Roman" w:hAnsi="Times New Roman" w:eastAsia="仿宋_GB2312" w:cs="Times New Roman"/>
      <w:kern w:val="2"/>
      <w:sz w:val="32"/>
      <w:lang w:val="en-US" w:eastAsia="zh-CN" w:bidi="ar-SA"/>
    </w:rPr>
  </w:style>
  <w:style w:type="paragraph" w:customStyle="1" w:styleId="53">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4</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李爽</cp:lastModifiedBy>
  <cp:lastPrinted>2024-01-24T11:07:00Z</cp:lastPrinted>
  <dcterms:modified xsi:type="dcterms:W3CDTF">2024-01-30T10:57:22Z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05ABED0034D24DDAA1F554692655FDED_13</vt:lpwstr>
  </property>
</Properties>
</file>