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eastAsia="zh-CN"/>
        </w:rPr>
      </w:pPr>
      <w:r>
        <w:rPr>
          <w:rFonts w:hint="eastAsia" w:eastAsia="方正小标宋简体"/>
          <w:sz w:val="44"/>
          <w:szCs w:val="44"/>
          <w:u w:val="single"/>
          <w:lang w:eastAsia="zh-CN"/>
        </w:rPr>
        <w:t>通榆县新兴乡人民政府（汇总）</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numPr>
          <w:ilvl w:val="0"/>
          <w:numId w:val="0"/>
        </w:num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cs="仿宋_GB2312"/>
          <w:kern w:val="0"/>
          <w:sz w:val="32"/>
          <w:szCs w:val="32"/>
          <w:lang w:val="en-US" w:eastAsia="zh-CN" w:bidi="ar-SA"/>
        </w:rPr>
        <w:t>一、</w:t>
      </w:r>
      <w:r>
        <w:rPr>
          <w:rFonts w:hint="eastAsia" w:ascii="仿宋_GB2312" w:hAnsi="仿宋_GB2312" w:eastAsia="仿宋_GB2312" w:cs="仿宋_GB2312"/>
          <w:kern w:val="0"/>
          <w:sz w:val="32"/>
          <w:szCs w:val="32"/>
          <w:lang w:val="en-US" w:eastAsia="zh-CN" w:bidi="ar-SA"/>
        </w:rPr>
        <w:t>主要职能</w:t>
      </w:r>
    </w:p>
    <w:p>
      <w:pPr>
        <w:numPr>
          <w:ilvl w:val="0"/>
          <w:numId w:val="0"/>
        </w:num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中</w:t>
      </w:r>
      <w:r>
        <w:rPr>
          <w:rFonts w:hint="eastAsia" w:ascii="仿宋_GB2312" w:hAnsi="仿宋_GB2312" w:eastAsia="仿宋_GB2312" w:cs="仿宋_GB2312"/>
          <w:kern w:val="0"/>
          <w:sz w:val="32"/>
          <w:szCs w:val="32"/>
          <w:lang w:val="en-US" w:eastAsia="zh-CN" w:bidi="ar-SA"/>
        </w:rPr>
        <w:t>共通榆县新兴乡委员会（以下简称新兴乡党委）是乡各种组织、县级部门延伸机构和各项工作的领导核心，对乡经济、政治、文化、社会、生态文明建设实行全面领导，对乡党的建设和乡村振兴全面负责。通榆县新兴乡人民政府(以下简称新兴乡政府）根据乡经济社会发展的特点和资源禀赋，确定功能定位，加快职能转变步伐，推进区域发展。</w:t>
      </w:r>
    </w:p>
    <w:p>
      <w:pPr>
        <w:numPr>
          <w:ilvl w:val="0"/>
          <w:numId w:val="0"/>
        </w:num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一）加强党的建设。落实基层党建工作责任制，坚持和完善党的全面领导，加强党的组织体系建设，增强党的政治领导力、思想引领力、群众组织力、社会号召力。统筹抓好辖区内新领域新业态新群体党建工作，强化党的政治建设、思想建设、组织建设、作风建设、纪律建设，把制度建设贯穿其中。深入推进反腐败斗争，加强基层意识形态工作。</w:t>
      </w:r>
    </w:p>
    <w:p>
      <w:pPr>
        <w:numPr>
          <w:ilvl w:val="0"/>
          <w:numId w:val="0"/>
        </w:numPr>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xml:space="preserve">    （二）统筹区域发展。统筹落实辖区发展的重大决策和辖区建设规划，参与辖区公共服务设施建设规划，推动辖区健康、有序、可持续发展。合理确定经济发展职能，把经济工作重心转移到推进产业升级、促进经济结构调整和经济增长方式转变上来。统筹做好企业服务工作，营造良好营商环境。实施乡村振兴战略各项政策，规范“三资”管理工作。</w:t>
      </w:r>
    </w:p>
    <w:p>
      <w:pPr>
        <w:numPr>
          <w:ilvl w:val="0"/>
          <w:numId w:val="0"/>
        </w:num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三）组织公共服务。推进政府职能由“管理型”向“服务型”转变，积极推进基本公共服务均等化。推动优质公共服务资源向村延伸。创新公共服务供给方式，加快建立政府主导、社会参与、公办民办并举的公共服务供给模式，加大政府购买服务力度。组织实施与群众生活密切相关的各项公共服务，落实人力社保、民政、教育、文化、体育、卫生健康等各领域相关政</w:t>
      </w:r>
    </w:p>
    <w:p>
      <w:pPr>
        <w:numPr>
          <w:ilvl w:val="0"/>
          <w:numId w:val="0"/>
        </w:numPr>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四）实施综合管理。负责对辖区内城镇管理、人口管理、社会管理等综合性工作，承担组织领导、推进实施、综合协调和监督检查职能。统筹协调部门派驻机构的日常管理。突出基层治理职责，着力解决城镇化发展进程中的各种问题。加强和完善经济发展、综合执法、应急管理、自然资源管理、市场监管、生态环境保护等方面职能。负责对辖区内物业管理的监督指导，对辖区内住宅小区开展综合管理。</w:t>
      </w:r>
    </w:p>
    <w:p>
      <w:pPr>
        <w:widowControl w:val="0"/>
        <w:numPr>
          <w:ilvl w:val="0"/>
          <w:numId w:val="0"/>
        </w:numPr>
        <w:ind w:firstLine="640" w:firstLineChars="20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（五）完成法律、法规、法章规定的其他事项和县委、县政府交办的其他任务。</w:t>
      </w:r>
    </w:p>
    <w:p>
      <w:pPr>
        <w:widowControl w:val="0"/>
        <w:numPr>
          <w:ilvl w:val="0"/>
          <w:numId w:val="0"/>
        </w:numPr>
        <w:jc w:val="both"/>
        <w:rPr>
          <w:rFonts w:eastAsia="楷体_GB2312"/>
        </w:rPr>
      </w:pPr>
    </w:p>
    <w:p>
      <w:pPr>
        <w:widowControl w:val="0"/>
        <w:numPr>
          <w:ilvl w:val="0"/>
          <w:numId w:val="0"/>
        </w:numPr>
        <w:jc w:val="both"/>
        <w:rPr>
          <w:rFonts w:eastAsia="楷体_GB2312"/>
        </w:rPr>
      </w:pPr>
    </w:p>
    <w:p>
      <w:pPr>
        <w:ind w:firstLine="640" w:firstLineChars="200"/>
      </w:pPr>
      <w:r>
        <w:rPr>
          <w:rFonts w:eastAsia="楷体_GB2312"/>
        </w:rPr>
        <w:t>二、机构设置</w:t>
      </w:r>
    </w:p>
    <w:p>
      <w:pPr>
        <w:pStyle w:val="51"/>
        <w:ind w:firstLine="640" w:firstLineChars="200"/>
        <w:rPr>
          <w:rFonts w:hint="eastAsia" w:ascii="仿宋_GB2312" w:hAnsi="仿宋_GB2312" w:eastAsia="仿宋_GB2312" w:cs="仿宋_GB2312"/>
          <w:lang w:val="en-US" w:eastAsia="zh-CN"/>
        </w:rPr>
      </w:pPr>
      <w:r>
        <w:rPr>
          <w:rFonts w:hint="eastAsia" w:ascii="仿宋_GB2312" w:hAnsi="仿宋_GB2312" w:eastAsia="仿宋_GB2312" w:cs="仿宋_GB2312"/>
        </w:rPr>
        <w:t>根据上述职责，</w:t>
      </w:r>
      <w:r>
        <w:rPr>
          <w:rFonts w:hint="eastAsia" w:ascii="仿宋_GB2312" w:hAnsi="仿宋_GB2312" w:eastAsia="仿宋_GB2312" w:cs="仿宋_GB2312"/>
          <w:lang w:val="en-US" w:eastAsia="zh-CN"/>
        </w:rPr>
        <w:t>通榆县新兴乡人民政府（汇总）</w:t>
      </w: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r>
        <w:rPr>
          <w:rFonts w:hint="eastAsia" w:ascii="仿宋_GB2312" w:hAnsi="仿宋_GB2312" w:eastAsia="仿宋_GB2312" w:cs="仿宋_GB2312"/>
          <w:lang w:val="en-US" w:eastAsia="zh-CN"/>
        </w:rPr>
        <w:t>为  1.通榆县新兴乡人民政府本级，</w:t>
      </w:r>
    </w:p>
    <w:p>
      <w:pPr>
        <w:pStyle w:val="51"/>
        <w:ind w:firstLine="2240" w:firstLineChars="700"/>
        <w:rPr>
          <w:rFonts w:hint="eastAsia" w:ascii="仿宋_GB2312" w:hAnsi="仿宋_GB2312" w:eastAsia="仿宋_GB2312" w:cs="仿宋_GB2312"/>
        </w:rPr>
      </w:pPr>
      <w:r>
        <w:rPr>
          <w:rFonts w:hint="eastAsia" w:ascii="仿宋_GB2312" w:hAnsi="仿宋_GB2312" w:eastAsia="仿宋_GB2312" w:cs="仿宋_GB2312"/>
          <w:lang w:val="en-US" w:eastAsia="zh-CN"/>
        </w:rPr>
        <w:t>2.通榆县新兴镇综合服务中心</w:t>
      </w:r>
      <w:r>
        <w:rPr>
          <w:rFonts w:hint="eastAsia" w:ascii="仿宋_GB2312" w:hAnsi="仿宋_GB2312" w:eastAsia="仿宋_GB2312" w:cs="仿宋_GB2312"/>
        </w:rPr>
        <w:t>。</w:t>
      </w:r>
    </w:p>
    <w:p>
      <w:pPr>
        <w:jc w:val="both"/>
        <w:rPr>
          <w:rFonts w:eastAsia="黑体"/>
          <w:sz w:val="36"/>
          <w:szCs w:val="36"/>
        </w:rPr>
      </w:pPr>
    </w:p>
    <w:p>
      <w:pPr>
        <w:ind w:firstLine="2880" w:firstLineChars="800"/>
        <w:jc w:val="both"/>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1112.63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1112.63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787.07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color w:val="000000"/>
                <w:kern w:val="0"/>
                <w:sz w:val="20"/>
                <w:lang w:val="en-US" w:eastAsia="zh-CN"/>
              </w:rPr>
              <w:t>787.07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1112.63</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kern w:val="0"/>
                <w:sz w:val="20"/>
                <w:lang w:val="en-US" w:eastAsia="zh-CN"/>
              </w:rPr>
              <w:t>1112.63</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121.56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121.56</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96.42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96.42</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67.33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67.33</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40.25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40.25</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1112.63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1112.63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val="0"/>
                <w:bCs w:val="0"/>
                <w:kern w:val="0"/>
                <w:sz w:val="20"/>
                <w:lang w:val="en-US" w:eastAsia="zh-CN"/>
              </w:rPr>
              <w:t>1112.63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b w:val="0"/>
                <w:bCs w:val="0"/>
                <w:kern w:val="0"/>
                <w:sz w:val="20"/>
                <w:lang w:val="en-US" w:eastAsia="zh-CN"/>
              </w:rPr>
              <w:t>1112.63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1112.63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1112.63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b w:val="0"/>
                <w:bCs w:val="0"/>
                <w:kern w:val="0"/>
                <w:sz w:val="20"/>
                <w:lang w:val="en-US" w:eastAsia="zh-CN"/>
              </w:rPr>
              <w:t>1112.63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b w:val="0"/>
                <w:bCs w:val="0"/>
                <w:kern w:val="0"/>
                <w:sz w:val="20"/>
                <w:lang w:val="en-US" w:eastAsia="zh-CN"/>
              </w:rPr>
              <w:t>1112.63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通榆县新兴乡人民政府</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442.16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442.16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442.16</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eastAsia="宋体"/>
                <w:color w:val="000000"/>
                <w:sz w:val="20"/>
                <w:shd w:val="clear" w:color="auto" w:fill="FFFFFF"/>
                <w:lang w:eastAsia="zh-CN"/>
              </w:rPr>
            </w:pPr>
            <w:r>
              <w:rPr>
                <w:rFonts w:hint="eastAsia" w:eastAsia="宋体"/>
                <w:color w:val="000000"/>
                <w:sz w:val="20"/>
                <w:shd w:val="clear" w:color="auto" w:fill="FFFFFF"/>
                <w:lang w:eastAsia="zh-CN"/>
              </w:rPr>
              <w:t>通榆县新兴乡综合服务中心</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eastAsia="宋体"/>
                <w:color w:val="000000"/>
                <w:sz w:val="20"/>
                <w:shd w:val="clear" w:color="auto" w:fill="FFFFFF"/>
                <w:lang w:val="en-US" w:eastAsia="zh-CN"/>
              </w:rPr>
            </w:pPr>
            <w:r>
              <w:rPr>
                <w:rFonts w:hint="eastAsia" w:eastAsia="宋体"/>
                <w:color w:val="000000"/>
                <w:sz w:val="20"/>
                <w:shd w:val="clear" w:color="auto" w:fill="FFFFFF"/>
                <w:lang w:val="en-US" w:eastAsia="zh-CN"/>
              </w:rPr>
              <w:t>670.47</w:t>
            </w:r>
          </w:p>
          <w:p>
            <w:pPr>
              <w:shd w:val="solid" w:color="FFFFFF" w:fill="auto"/>
              <w:autoSpaceDN w:val="0"/>
              <w:jc w:val="right"/>
              <w:textAlignment w:val="center"/>
              <w:rPr>
                <w:rFonts w:hint="default" w:ascii="Times New Roman" w:hAnsi="Times New Roman" w:eastAsia="宋体" w:cs="Times New Roman"/>
                <w:color w:val="000000"/>
                <w:kern w:val="2"/>
                <w:sz w:val="20"/>
                <w:shd w:val="clear" w:color="auto" w:fill="FFFFFF"/>
                <w:lang w:val="en-US" w:eastAsia="zh-CN" w:bidi="ar-SA"/>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eastAsia="宋体"/>
                <w:color w:val="000000"/>
                <w:sz w:val="20"/>
                <w:shd w:val="clear" w:color="auto" w:fill="FFFFFF"/>
                <w:lang w:val="en-US" w:eastAsia="zh-CN"/>
              </w:rPr>
            </w:pPr>
            <w:r>
              <w:rPr>
                <w:rFonts w:hint="eastAsia" w:eastAsia="宋体"/>
                <w:color w:val="000000"/>
                <w:sz w:val="20"/>
                <w:shd w:val="clear" w:color="auto" w:fill="FFFFFF"/>
                <w:lang w:val="en-US" w:eastAsia="zh-CN"/>
              </w:rPr>
              <w:t>670.47</w:t>
            </w:r>
          </w:p>
          <w:p>
            <w:pPr>
              <w:shd w:val="solid" w:color="FFFFFF" w:fill="auto"/>
              <w:autoSpaceDN w:val="0"/>
              <w:jc w:val="right"/>
              <w:textAlignment w:val="center"/>
              <w:rPr>
                <w:rFonts w:hint="default" w:ascii="Times New Roman" w:hAnsi="Times New Roman" w:eastAsia="宋体" w:cs="Times New Roman"/>
                <w:color w:val="000000"/>
                <w:kern w:val="2"/>
                <w:sz w:val="20"/>
                <w:shd w:val="clear" w:color="auto" w:fill="FFFFFF"/>
                <w:lang w:val="en-US" w:eastAsia="zh-CN" w:bidi="ar-SA"/>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eastAsia="宋体"/>
                <w:color w:val="000000"/>
                <w:sz w:val="20"/>
                <w:shd w:val="clear" w:color="auto" w:fill="FFFFFF"/>
                <w:lang w:val="en-US" w:eastAsia="zh-CN"/>
              </w:rPr>
            </w:pPr>
            <w:r>
              <w:rPr>
                <w:rFonts w:hint="eastAsia" w:eastAsia="宋体"/>
                <w:color w:val="000000"/>
                <w:sz w:val="20"/>
                <w:shd w:val="clear" w:color="auto" w:fill="FFFFFF"/>
                <w:lang w:val="en-US" w:eastAsia="zh-CN"/>
              </w:rPr>
              <w:t>670.47</w:t>
            </w:r>
          </w:p>
          <w:p>
            <w:pPr>
              <w:shd w:val="solid" w:color="FFFFFF" w:fill="auto"/>
              <w:autoSpaceDN w:val="0"/>
              <w:jc w:val="right"/>
              <w:textAlignment w:val="center"/>
              <w:rPr>
                <w:rFonts w:hint="default" w:eastAsia="宋体"/>
                <w:color w:val="000000"/>
                <w:sz w:val="20"/>
                <w:shd w:val="clear" w:color="auto" w:fill="FFFFFF"/>
                <w:lang w:val="en-US" w:eastAsia="zh-CN"/>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1112.63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color w:val="000000"/>
                <w:sz w:val="20"/>
                <w:shd w:val="clear" w:color="auto" w:fill="FFFFFF"/>
                <w:lang w:val="en-US" w:eastAsia="zh-CN"/>
              </w:rPr>
              <w:t>1112.63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color w:val="000000"/>
                <w:sz w:val="20"/>
                <w:shd w:val="clear" w:color="auto" w:fill="FFFFFF"/>
                <w:lang w:val="en-US" w:eastAsia="zh-CN"/>
              </w:rPr>
              <w:t>1112.63</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787.07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714.19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169.3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val="en-US" w:eastAsia="zh-CN"/>
                    </w:rPr>
                    <w:t>政府办公厅（室）及相关机关事务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787.07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714.19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169.3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358.48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72.88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9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eastAsia="zh-CN"/>
                    </w:rPr>
                  </w:pPr>
                  <w:r>
                    <w:rPr>
                      <w:rFonts w:hint="eastAsia" w:eastAsia="宋体"/>
                      <w:color w:val="000000"/>
                      <w:kern w:val="0"/>
                      <w:sz w:val="20"/>
                      <w:lang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428.59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428.59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二、</w:t>
                  </w:r>
                  <w:r>
                    <w:rPr>
                      <w:rFonts w:hint="eastAsia" w:eastAsia="宋体"/>
                      <w:color w:val="000000"/>
                      <w:kern w:val="0"/>
                      <w:sz w:val="20"/>
                      <w:lang w:val="en-US" w:eastAsia="zh-CN"/>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67.33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67.33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rPr>
                  </w:pPr>
                  <w:r>
                    <w:rPr>
                      <w:rFonts w:hint="eastAsia" w:eastAsia="宋体"/>
                      <w:color w:val="000000"/>
                      <w:kern w:val="0"/>
                      <w:sz w:val="20"/>
                      <w:lang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67.33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67.33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rPr>
                  </w:pPr>
                  <w:r>
                    <w:rPr>
                      <w:rFonts w:hint="eastAsia" w:eastAsia="宋体"/>
                      <w:color w:val="000000"/>
                      <w:kern w:val="0"/>
                      <w:sz w:val="20"/>
                      <w:lang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67.33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67.33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三</w:t>
                  </w:r>
                  <w:r>
                    <w:rPr>
                      <w:rFonts w:eastAsia="宋体"/>
                      <w:color w:val="000000"/>
                      <w:kern w:val="0"/>
                      <w:sz w:val="20"/>
                    </w:rPr>
                    <w:t>、</w:t>
                  </w:r>
                  <w:r>
                    <w:rPr>
                      <w:rFonts w:hint="eastAsia" w:eastAsia="宋体"/>
                      <w:color w:val="000000"/>
                      <w:kern w:val="0"/>
                      <w:sz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121.56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121.56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val="en-US" w:eastAsia="zh-CN"/>
                    </w:rPr>
                  </w:pPr>
                  <w:r>
                    <w:rPr>
                      <w:rFonts w:hint="eastAsia" w:eastAsia="宋体"/>
                      <w:color w:val="000000"/>
                      <w:kern w:val="0"/>
                      <w:sz w:val="20"/>
                      <w:lang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121.56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121.56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eastAsia="zh-CN"/>
                    </w:rPr>
                    <w:t>机关事业单位基本养老保险缴费</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95.73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95.73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eastAsia="zh-CN"/>
                    </w:rPr>
                    <w:t>机关事业单位职业年金缴费</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23.16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23.16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eastAsia="zh-CN"/>
                    </w:rPr>
                    <w:t>其他行政事业单位养老保险缴费支出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2.67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2.67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四、</w:t>
                  </w:r>
                  <w:r>
                    <w:rPr>
                      <w:rFonts w:hint="eastAsia" w:eastAsia="宋体"/>
                      <w:color w:val="000000"/>
                      <w:kern w:val="0"/>
                      <w:sz w:val="20"/>
                    </w:rPr>
                    <w:t>医疗卫生和计划生育支出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40.25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40.25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40.25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40.25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eastAsia="zh-CN"/>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24.27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24.27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hint="eastAsia" w:eastAsia="宋体"/>
                      <w:color w:val="000000"/>
                      <w:kern w:val="0"/>
                      <w:sz w:val="20"/>
                      <w:lang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五、农林水支出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96.42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96.42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1112.63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943.33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169.3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1112.63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1112.63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787.07</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color w:val="000000"/>
                      <w:kern w:val="0"/>
                      <w:sz w:val="20"/>
                      <w:lang w:val="en-US" w:eastAsia="zh-CN"/>
                    </w:rPr>
                    <w:t>787.07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1112.63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1112.63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121.56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cs="Times New Roman"/>
                      <w:color w:val="000000"/>
                      <w:kern w:val="0"/>
                      <w:sz w:val="20"/>
                      <w:lang w:val="en-US" w:eastAsia="zh-CN" w:bidi="ar-SA"/>
                    </w:rPr>
                    <w:t>121.56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40.25</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40.25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96.42</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96.42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67.33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67.33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1112.63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1112.63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1112.63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1112.63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1112.63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1112.63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1112.63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1112.63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787.07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714.19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630.61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83.58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72.88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lang w:val="en-US" w:eastAsia="zh-CN"/>
                    </w:rPr>
                    <w:t>政府办公厅（室）及相关机关事务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787.07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714.19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630.61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83.58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72.88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358.48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241.38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72.88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428.59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428.59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389.23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39.36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45"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二、</w:t>
                  </w:r>
                  <w:r>
                    <w:rPr>
                      <w:rFonts w:hint="eastAsia" w:eastAsia="宋体"/>
                      <w:color w:val="000000"/>
                      <w:kern w:val="0"/>
                      <w:sz w:val="20"/>
                      <w:lang w:val="en-US" w:eastAsia="zh-CN"/>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67.33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67.33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67.33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45"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67.33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67.33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67.33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45"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67.33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67.33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67.33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三</w:t>
                  </w:r>
                  <w:r>
                    <w:rPr>
                      <w:rFonts w:eastAsia="宋体"/>
                      <w:color w:val="000000"/>
                      <w:kern w:val="0"/>
                      <w:sz w:val="20"/>
                    </w:rPr>
                    <w:t>、</w:t>
                  </w:r>
                  <w:r>
                    <w:rPr>
                      <w:rFonts w:hint="eastAsia" w:eastAsia="宋体"/>
                      <w:color w:val="000000"/>
                      <w:kern w:val="0"/>
                      <w:sz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121.56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508"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机关事业单位基本养老保险缴费</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95.73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95.73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95.73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9"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机关事业单位职业年金缴费</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23.16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23.16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9"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其他行政事业单位养老保险缴费支出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四、</w:t>
                  </w:r>
                  <w:r>
                    <w:rPr>
                      <w:rFonts w:hint="eastAsia" w:eastAsia="宋体"/>
                      <w:color w:val="000000"/>
                      <w:kern w:val="0"/>
                      <w:sz w:val="20"/>
                    </w:rPr>
                    <w:t>医疗卫生和计划生育支出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行政事业单位医疗</w:t>
                  </w:r>
                  <w:r>
                    <w:rPr>
                      <w:rFonts w:hint="eastAsia" w:eastAsia="宋体"/>
                      <w:color w:val="000000"/>
                      <w:kern w:val="0"/>
                      <w:sz w:val="20"/>
                      <w:lang w:val="en-US" w:eastAsia="zh-CN"/>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40.25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行政单位医疗</w:t>
                  </w:r>
                  <w:r>
                    <w:rPr>
                      <w:rFonts w:hint="eastAsia" w:eastAsia="宋体"/>
                      <w:color w:val="000000"/>
                      <w:kern w:val="0"/>
                      <w:sz w:val="20"/>
                      <w:lang w:val="en-US" w:eastAsia="zh-CN"/>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eastAsia="zh-CN"/>
                    </w:rPr>
                    <w:t>事业单位医疗</w:t>
                  </w:r>
                  <w:r>
                    <w:rPr>
                      <w:rFonts w:hint="eastAsia" w:eastAsia="宋体"/>
                      <w:color w:val="000000"/>
                      <w:kern w:val="0"/>
                      <w:sz w:val="20"/>
                      <w:lang w:val="en-US" w:eastAsia="zh-CN"/>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24.27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24.27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五、农林水支出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96.42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96.42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农村综合改革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96.42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96.42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对村民委员会和村党支部的补助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96.42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96.42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1112.63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943.33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859.75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83.58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169.3</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845.4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845.4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290.78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290.79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123.53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123.53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108.23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108.23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86.09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86.09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98.38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95.73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23.18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23.18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39.28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39.28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其他社保保障缴费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5.06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3.64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67.33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67.33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7.6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7.6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ascii="Times New Roman" w:hAnsi="Times New Roman" w:eastAsia="宋体" w:cs="Times New Roman"/>
                <w:kern w:val="0"/>
                <w:sz w:val="20"/>
                <w:lang w:val="en-US" w:eastAsia="zh-CN" w:bidi="ar-SA"/>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83.58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83.58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kern w:val="0"/>
                <w:sz w:val="20"/>
                <w:lang w:val="en-US" w:eastAsia="zh-CN" w:bidi="ar-SA"/>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15.2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15.2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default" w:eastAsia="宋体"/>
                <w:kern w:val="0"/>
                <w:sz w:val="20"/>
                <w:lang w:val="en-US" w:eastAsia="zh-CN"/>
              </w:rPr>
            </w:pPr>
            <w:r>
              <w:rPr>
                <w:rFonts w:hint="eastAsia" w:eastAsia="宋体"/>
                <w:kern w:val="0"/>
                <w:sz w:val="20"/>
                <w:lang w:val="en-US" w:eastAsia="zh-CN"/>
              </w:rPr>
              <w:t xml:space="preserve">    印刷费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5.6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5.6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kern w:val="0"/>
                <w:sz w:val="20"/>
                <w:lang w:eastAsia="zh-CN"/>
              </w:rPr>
              <w:t>电费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eastAsia"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eastAsia" w:eastAsia="宋体"/>
                <w:color w:val="000000"/>
                <w:sz w:val="20"/>
                <w:lang w:val="en-US" w:eastAsia="zh-CN"/>
              </w:rPr>
            </w:pPr>
            <w:r>
              <w:rPr>
                <w:rFonts w:hint="eastAsia" w:eastAsia="宋体"/>
                <w:color w:val="000000"/>
                <w:sz w:val="20"/>
                <w:lang w:val="en-US" w:eastAsia="zh-CN"/>
              </w:rPr>
              <w:t>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kern w:val="0"/>
                <w:sz w:val="20"/>
                <w:lang w:eastAsia="zh-CN"/>
              </w:rPr>
              <w:t>劳务费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eastAsia"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eastAsia" w:eastAsia="宋体"/>
                <w:color w:val="000000"/>
                <w:sz w:val="20"/>
                <w:lang w:val="en-US" w:eastAsia="zh-CN"/>
              </w:rPr>
            </w:pPr>
            <w:r>
              <w:rPr>
                <w:rFonts w:hint="eastAsia" w:eastAsia="宋体"/>
                <w:color w:val="000000"/>
                <w:sz w:val="20"/>
                <w:lang w:val="en-US" w:eastAsia="zh-CN"/>
              </w:rPr>
              <w:t>9</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3.5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3.5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eastAsia="zh-CN"/>
              </w:rPr>
              <w:t>委托业务费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eastAsia" w:eastAsia="宋体"/>
                <w:color w:val="000000"/>
                <w:sz w:val="20"/>
                <w:lang w:val="en-US" w:eastAsia="zh-CN"/>
              </w:rPr>
            </w:pPr>
            <w:r>
              <w:rPr>
                <w:rFonts w:hint="eastAsia" w:eastAsia="宋体"/>
                <w:color w:val="000000"/>
                <w:sz w:val="20"/>
                <w:lang w:val="en-US" w:eastAsia="zh-CN"/>
              </w:rPr>
              <w:t>4.7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eastAsia="zh-CN"/>
              </w:rPr>
              <w:t>公车运行维护费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2.8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kern w:val="0"/>
                <w:sz w:val="20"/>
                <w:lang w:val="en-US" w:eastAsia="zh-CN" w:bidi="ar-SA"/>
              </w:rPr>
            </w:pPr>
            <w:r>
              <w:rPr>
                <w:rFonts w:hint="eastAsia" w:eastAsia="宋体"/>
                <w:kern w:val="0"/>
                <w:sz w:val="20"/>
                <w:lang w:eastAsia="zh-CN"/>
              </w:rPr>
              <w:t>取暖费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eastAsia" w:eastAsia="宋体"/>
                <w:color w:val="000000"/>
                <w:sz w:val="20"/>
                <w:lang w:val="en-US" w:eastAsia="zh-CN"/>
              </w:rPr>
            </w:pPr>
            <w:r>
              <w:rPr>
                <w:rFonts w:hint="eastAsia" w:eastAsia="宋体"/>
                <w:color w:val="000000"/>
                <w:sz w:val="20"/>
                <w:lang w:val="en-US" w:eastAsia="zh-CN"/>
              </w:rPr>
              <w:t>20</w:t>
            </w:r>
          </w:p>
          <w:p>
            <w:pPr>
              <w:autoSpaceDN w:val="0"/>
              <w:jc w:val="center"/>
              <w:textAlignment w:val="center"/>
              <w:rPr>
                <w:rFonts w:hint="default" w:eastAsia="宋体"/>
                <w:color w:val="000000"/>
                <w:sz w:val="20"/>
                <w:lang w:val="en-US" w:eastAsia="zh-CN"/>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其它交通费用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15.42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15.42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维修（护）费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eastAsia" w:eastAsia="宋体"/>
                <w:color w:val="000000"/>
                <w:sz w:val="20"/>
                <w:lang w:val="en-US" w:eastAsia="zh-CN"/>
              </w:rPr>
            </w:pPr>
            <w:r>
              <w:rPr>
                <w:rFonts w:hint="eastAsia" w:eastAsia="宋体"/>
                <w:color w:val="000000"/>
                <w:sz w:val="20"/>
                <w:lang w:val="en-US" w:eastAsia="zh-CN"/>
              </w:rPr>
              <w:t>4.36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4.36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13.5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lang w:val="en-US" w:eastAsia="zh-CN"/>
              </w:rPr>
            </w:pPr>
            <w:r>
              <w:rPr>
                <w:rFonts w:hint="eastAsia" w:eastAsia="宋体"/>
                <w:color w:val="000000"/>
                <w:sz w:val="20"/>
                <w:lang w:val="en-US" w:eastAsia="zh-CN"/>
              </w:rPr>
              <w:t>13.5</w:t>
            </w: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eastAsia" w:eastAsia="宋体"/>
                <w:color w:val="00000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9.23</w:t>
            </w: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9.23</w:t>
            </w: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eastAsia="宋体"/>
                <w:color w:val="00000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其他对个人和家庭补助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4.27</w:t>
            </w: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4.27</w:t>
            </w: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eastAsia="宋体"/>
                <w:color w:val="00000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资本性支出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0.85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0.85</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93</w:t>
            </w:r>
            <w:r>
              <w:rPr>
                <w:rFonts w:eastAsia="宋体"/>
                <w:color w:val="000000"/>
                <w:kern w:val="0"/>
                <w:sz w:val="28"/>
                <w:szCs w:val="28"/>
                <w:u w:val="single"/>
              </w:rPr>
              <w:t xml:space="preserve"> </w:t>
            </w:r>
            <w:r>
              <w:rPr>
                <w:color w:val="000000"/>
                <w:kern w:val="0"/>
                <w:sz w:val="28"/>
                <w:szCs w:val="28"/>
              </w:rPr>
              <w:t>人，其中：在职人员</w:t>
            </w:r>
            <w:r>
              <w:rPr>
                <w:rFonts w:hint="eastAsia"/>
                <w:color w:val="000000"/>
                <w:kern w:val="0"/>
                <w:sz w:val="28"/>
                <w:szCs w:val="28"/>
                <w:u w:val="single"/>
                <w:lang w:val="en-US" w:eastAsia="zh-CN"/>
              </w:rPr>
              <w:t>65</w:t>
            </w:r>
            <w:r>
              <w:rPr>
                <w:rFonts w:eastAsia="宋体"/>
                <w:color w:val="000000"/>
                <w:kern w:val="0"/>
                <w:sz w:val="28"/>
                <w:szCs w:val="28"/>
                <w:u w:val="single"/>
              </w:rPr>
              <w:t xml:space="preserve">  </w:t>
            </w:r>
            <w:r>
              <w:rPr>
                <w:color w:val="000000"/>
                <w:kern w:val="0"/>
                <w:sz w:val="28"/>
                <w:szCs w:val="28"/>
              </w:rPr>
              <w:t>人，离退休人员</w:t>
            </w:r>
            <w:r>
              <w:rPr>
                <w:rFonts w:hint="eastAsia" w:eastAsia="宋体"/>
                <w:color w:val="000000"/>
                <w:kern w:val="0"/>
                <w:sz w:val="28"/>
                <w:szCs w:val="28"/>
                <w:u w:val="single"/>
                <w:lang w:val="en-US" w:eastAsia="zh-CN"/>
              </w:rPr>
              <w:t>28</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exact"/>
          <w:jc w:val="center"/>
        </w:trPr>
        <w:tc>
          <w:tcPr>
            <w:tcW w:w="759"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专项业务支出</w:t>
            </w:r>
          </w:p>
        </w:tc>
        <w:tc>
          <w:tcPr>
            <w:tcW w:w="1063" w:type="dxa"/>
            <w:noWrap w:val="0"/>
            <w:vAlign w:val="center"/>
          </w:tcPr>
          <w:p>
            <w:pPr>
              <w:autoSpaceDN w:val="0"/>
              <w:jc w:val="center"/>
              <w:textAlignment w:val="center"/>
              <w:rPr>
                <w:rFonts w:hint="default"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2024年大学生村官工资</w:t>
            </w:r>
          </w:p>
        </w:tc>
        <w:tc>
          <w:tcPr>
            <w:tcW w:w="1107"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2024年大学生村官工资</w:t>
            </w:r>
          </w:p>
        </w:tc>
        <w:tc>
          <w:tcPr>
            <w:tcW w:w="864"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eastAsia="zh-CN"/>
              </w:rPr>
              <w:t>新兴乡人民政府</w:t>
            </w:r>
          </w:p>
        </w:tc>
        <w:tc>
          <w:tcPr>
            <w:tcW w:w="498" w:type="dxa"/>
            <w:noWrap w:val="0"/>
            <w:vAlign w:val="center"/>
          </w:tcPr>
          <w:p>
            <w:pPr>
              <w:autoSpaceDN w:val="0"/>
              <w:jc w:val="center"/>
              <w:textAlignment w:val="center"/>
              <w:rPr>
                <w:rFonts w:hint="default"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9.44</w:t>
            </w:r>
          </w:p>
        </w:tc>
        <w:tc>
          <w:tcPr>
            <w:tcW w:w="553" w:type="dxa"/>
            <w:noWrap w:val="0"/>
            <w:vAlign w:val="center"/>
          </w:tcPr>
          <w:p>
            <w:pPr>
              <w:autoSpaceDN w:val="0"/>
              <w:jc w:val="center"/>
              <w:textAlignment w:val="center"/>
              <w:rPr>
                <w:rFonts w:hint="default"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9.44</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exact"/>
          <w:jc w:val="center"/>
        </w:trPr>
        <w:tc>
          <w:tcPr>
            <w:tcW w:w="759"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专项业务支出</w:t>
            </w:r>
          </w:p>
        </w:tc>
        <w:tc>
          <w:tcPr>
            <w:tcW w:w="1063" w:type="dxa"/>
            <w:noWrap w:val="0"/>
            <w:vAlign w:val="center"/>
          </w:tcPr>
          <w:p>
            <w:pPr>
              <w:autoSpaceDN w:val="0"/>
              <w:jc w:val="center"/>
              <w:textAlignment w:val="center"/>
              <w:rPr>
                <w:rFonts w:hint="default"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2024年转移支付</w:t>
            </w:r>
          </w:p>
        </w:tc>
        <w:tc>
          <w:tcPr>
            <w:tcW w:w="1107"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2024年转移支付</w:t>
            </w:r>
          </w:p>
        </w:tc>
        <w:tc>
          <w:tcPr>
            <w:tcW w:w="864"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eastAsia="zh-CN"/>
              </w:rPr>
              <w:t>新兴乡人民政府</w:t>
            </w:r>
          </w:p>
        </w:tc>
        <w:tc>
          <w:tcPr>
            <w:tcW w:w="498"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21.98</w:t>
            </w:r>
          </w:p>
        </w:tc>
        <w:tc>
          <w:tcPr>
            <w:tcW w:w="553" w:type="dxa"/>
            <w:noWrap w:val="0"/>
            <w:vAlign w:val="center"/>
          </w:tcPr>
          <w:p>
            <w:pPr>
              <w:autoSpaceDN w:val="0"/>
              <w:jc w:val="center"/>
              <w:textAlignment w:val="center"/>
              <w:rPr>
                <w:rFonts w:hint="default"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21.98</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exact"/>
          <w:jc w:val="center"/>
        </w:trPr>
        <w:tc>
          <w:tcPr>
            <w:tcW w:w="759"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专项业务支出</w:t>
            </w:r>
          </w:p>
        </w:tc>
        <w:tc>
          <w:tcPr>
            <w:tcW w:w="1063" w:type="dxa"/>
            <w:noWrap w:val="0"/>
            <w:vAlign w:val="center"/>
          </w:tcPr>
          <w:p>
            <w:pPr>
              <w:autoSpaceDN w:val="0"/>
              <w:jc w:val="center"/>
              <w:textAlignment w:val="center"/>
              <w:rPr>
                <w:rFonts w:hint="default"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2024年辅助岗人员工资</w:t>
            </w:r>
          </w:p>
        </w:tc>
        <w:tc>
          <w:tcPr>
            <w:tcW w:w="1107"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2024年辅助岗人员工资</w:t>
            </w:r>
          </w:p>
        </w:tc>
        <w:tc>
          <w:tcPr>
            <w:tcW w:w="864"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eastAsia="zh-CN"/>
              </w:rPr>
              <w:t>新兴乡人民政府</w:t>
            </w:r>
          </w:p>
        </w:tc>
        <w:tc>
          <w:tcPr>
            <w:tcW w:w="498"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34.26</w:t>
            </w:r>
          </w:p>
        </w:tc>
        <w:tc>
          <w:tcPr>
            <w:tcW w:w="553" w:type="dxa"/>
            <w:noWrap w:val="0"/>
            <w:vAlign w:val="center"/>
          </w:tcPr>
          <w:p>
            <w:pPr>
              <w:autoSpaceDN w:val="0"/>
              <w:jc w:val="center"/>
              <w:textAlignment w:val="center"/>
              <w:rPr>
                <w:rFonts w:hint="default"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34.26</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exact"/>
          <w:jc w:val="center"/>
        </w:trPr>
        <w:tc>
          <w:tcPr>
            <w:tcW w:w="759"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专项业务支出</w:t>
            </w:r>
          </w:p>
        </w:tc>
        <w:tc>
          <w:tcPr>
            <w:tcW w:w="1063" w:type="dxa"/>
            <w:noWrap w:val="0"/>
            <w:vAlign w:val="center"/>
          </w:tcPr>
          <w:p>
            <w:pPr>
              <w:autoSpaceDN w:val="0"/>
              <w:jc w:val="center"/>
              <w:textAlignment w:val="center"/>
              <w:rPr>
                <w:rFonts w:hint="default"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2024年驻村工作队生活补贴</w:t>
            </w:r>
          </w:p>
        </w:tc>
        <w:tc>
          <w:tcPr>
            <w:tcW w:w="1107"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2024年驻村工作队生活补贴</w:t>
            </w:r>
          </w:p>
        </w:tc>
        <w:tc>
          <w:tcPr>
            <w:tcW w:w="864"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eastAsia="zh-CN"/>
              </w:rPr>
              <w:t>新兴乡人民政府</w:t>
            </w:r>
          </w:p>
        </w:tc>
        <w:tc>
          <w:tcPr>
            <w:tcW w:w="498" w:type="dxa"/>
            <w:noWrap w:val="0"/>
            <w:vAlign w:val="center"/>
          </w:tcPr>
          <w:p>
            <w:pPr>
              <w:autoSpaceDN w:val="0"/>
              <w:jc w:val="center"/>
              <w:textAlignment w:val="center"/>
              <w:rPr>
                <w:rFonts w:hint="eastAsia"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7.2</w:t>
            </w:r>
          </w:p>
        </w:tc>
        <w:tc>
          <w:tcPr>
            <w:tcW w:w="553" w:type="dxa"/>
            <w:noWrap w:val="0"/>
            <w:vAlign w:val="center"/>
          </w:tcPr>
          <w:p>
            <w:pPr>
              <w:autoSpaceDN w:val="0"/>
              <w:jc w:val="center"/>
              <w:textAlignment w:val="center"/>
              <w:rPr>
                <w:rFonts w:hint="default" w:ascii="宋体" w:hAnsi="宋体" w:eastAsia="宋体" w:cs="宋体"/>
                <w:color w:val="000000"/>
                <w:kern w:val="2"/>
                <w:sz w:val="20"/>
                <w:szCs w:val="22"/>
                <w:lang w:val="en-US" w:eastAsia="zh-CN" w:bidi="ar-SA"/>
              </w:rPr>
            </w:pPr>
            <w:r>
              <w:rPr>
                <w:rFonts w:hint="eastAsia" w:ascii="宋体" w:hAnsi="宋体" w:eastAsia="宋体" w:cs="宋体"/>
                <w:color w:val="000000"/>
                <w:sz w:val="20"/>
                <w:szCs w:val="22"/>
                <w:lang w:val="en-US" w:eastAsia="zh-CN"/>
              </w:rPr>
              <w:t>7.2</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2" w:hRule="exact"/>
          <w:jc w:val="center"/>
        </w:trPr>
        <w:tc>
          <w:tcPr>
            <w:tcW w:w="75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Calibri" w:hAnsi="Calibri" w:eastAsia="楷体" w:cs="Times New Roman"/>
                <w:kern w:val="0"/>
                <w:sz w:val="18"/>
                <w:szCs w:val="18"/>
                <w:lang w:val="en-US" w:eastAsia="zh-CN" w:bidi="ar-SA"/>
              </w:rPr>
            </w:pPr>
            <w:r>
              <w:rPr>
                <w:rFonts w:hint="eastAsia" w:ascii="宋体" w:hAnsi="宋体" w:eastAsia="宋体" w:cs="宋体"/>
                <w:kern w:val="0"/>
                <w:sz w:val="18"/>
                <w:szCs w:val="18"/>
                <w:lang w:val="en-US" w:eastAsia="zh-CN"/>
              </w:rPr>
              <w:t>专项业务支出</w:t>
            </w:r>
          </w:p>
        </w:tc>
        <w:tc>
          <w:tcPr>
            <w:tcW w:w="106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Calibri" w:hAnsi="Calibri" w:eastAsia="楷体" w:cs="Times New Roman"/>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rPr>
              <w:t>新兴乡2023年全年村级组织运转经费资金</w:t>
            </w:r>
          </w:p>
        </w:tc>
        <w:tc>
          <w:tcPr>
            <w:tcW w:w="110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Calibri" w:hAnsi="Calibri" w:eastAsia="楷体" w:cs="Times New Roman"/>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rPr>
              <w:t>新兴乡2023年全年村级组织运转经费资金</w:t>
            </w:r>
          </w:p>
        </w:tc>
        <w:tc>
          <w:tcPr>
            <w:tcW w:w="86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Calibri" w:hAnsi="Calibri" w:eastAsia="楷体" w:cs="Times New Roman"/>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rPr>
              <w:t>通榆县新兴乡综合服务中心</w:t>
            </w:r>
          </w:p>
        </w:tc>
        <w:tc>
          <w:tcPr>
            <w:tcW w:w="498" w:type="dxa"/>
            <w:noWrap w:val="0"/>
            <w:vAlign w:val="center"/>
          </w:tcPr>
          <w:p>
            <w:pPr>
              <w:spacing w:line="700" w:lineRule="exact"/>
              <w:jc w:val="both"/>
              <w:rPr>
                <w:rFonts w:hint="eastAsia" w:ascii="Calibri" w:hAnsi="Calibri" w:eastAsia="楷体" w:cs="Times New Roman"/>
                <w:kern w:val="0"/>
                <w:sz w:val="18"/>
                <w:szCs w:val="18"/>
                <w:lang w:val="en-US" w:eastAsia="zh-CN" w:bidi="ar-SA"/>
              </w:rPr>
            </w:pPr>
            <w:r>
              <w:rPr>
                <w:rFonts w:hint="eastAsia" w:ascii="Calibri" w:hAnsi="Calibri" w:eastAsia="楷体"/>
                <w:kern w:val="0"/>
                <w:sz w:val="18"/>
                <w:szCs w:val="18"/>
                <w:lang w:val="en-US" w:eastAsia="zh-CN"/>
              </w:rPr>
              <w:t>96.42</w:t>
            </w:r>
          </w:p>
        </w:tc>
        <w:tc>
          <w:tcPr>
            <w:tcW w:w="553" w:type="dxa"/>
            <w:noWrap w:val="0"/>
            <w:vAlign w:val="center"/>
          </w:tcPr>
          <w:p>
            <w:pPr>
              <w:spacing w:line="700" w:lineRule="exact"/>
              <w:jc w:val="both"/>
              <w:rPr>
                <w:rFonts w:hint="eastAsia" w:ascii="Calibri" w:hAnsi="Calibri" w:eastAsia="楷体" w:cs="Times New Roman"/>
                <w:kern w:val="0"/>
                <w:sz w:val="18"/>
                <w:szCs w:val="18"/>
                <w:lang w:val="en-US" w:eastAsia="zh-CN" w:bidi="ar-SA"/>
              </w:rPr>
            </w:pPr>
            <w:r>
              <w:rPr>
                <w:rFonts w:hint="eastAsia" w:ascii="Calibri" w:hAnsi="Calibri" w:eastAsia="楷体"/>
                <w:kern w:val="0"/>
                <w:sz w:val="18"/>
                <w:szCs w:val="18"/>
                <w:lang w:val="en-US" w:eastAsia="zh-CN"/>
              </w:rPr>
              <w:t>96.42</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0"/>
                <w:sz w:val="18"/>
                <w:szCs w:val="18"/>
                <w:lang w:val="en-US" w:eastAsia="zh-CN"/>
              </w:rPr>
            </w:pPr>
          </w:p>
        </w:tc>
        <w:tc>
          <w:tcPr>
            <w:tcW w:w="110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0"/>
                <w:sz w:val="18"/>
                <w:szCs w:val="18"/>
                <w:lang w:val="en-US" w:eastAsia="zh-CN"/>
              </w:rPr>
            </w:pPr>
          </w:p>
        </w:tc>
        <w:tc>
          <w:tcPr>
            <w:tcW w:w="86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0"/>
                <w:sz w:val="18"/>
                <w:szCs w:val="18"/>
                <w:lang w:val="en-US" w:eastAsia="zh-CN"/>
              </w:rPr>
            </w:pPr>
          </w:p>
        </w:tc>
        <w:tc>
          <w:tcPr>
            <w:tcW w:w="49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lang w:val="en-US" w:eastAsia="zh-CN"/>
              </w:rPr>
              <w:t>169.3</w:t>
            </w:r>
          </w:p>
        </w:tc>
        <w:tc>
          <w:tcPr>
            <w:tcW w:w="55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lang w:val="en-US" w:eastAsia="zh-CN"/>
              </w:rPr>
              <w:t>169.3</w:t>
            </w:r>
          </w:p>
        </w:tc>
        <w:tc>
          <w:tcPr>
            <w:tcW w:w="554" w:type="dxa"/>
            <w:noWrap w:val="0"/>
            <w:vAlign w:val="center"/>
          </w:tcPr>
          <w:p>
            <w:pPr>
              <w:spacing w:line="700" w:lineRule="exact"/>
              <w:jc w:val="both"/>
              <w:rPr>
                <w:rFonts w:hint="eastAsia" w:ascii="Calibri" w:hAnsi="Calibri" w:eastAsia="楷体"/>
                <w:kern w:val="0"/>
                <w:sz w:val="18"/>
                <w:szCs w:val="18"/>
                <w:lang w:val="en-US" w:eastAsia="zh-CN"/>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both"/>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2024年转移支出项目</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21.98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21.98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2024年用于本单位机构正常运转日常经费支出</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使用转移支付单位数量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通过使用转移支付资金的政府完成工作质量的达标情况</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 xml:space="preserve">使用转移支付的金额 </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21.98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拨付及时率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bookmarkStart w:id="0" w:name="_GoBack" w:colFirst="3" w:colLast="4"/>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保障工作正常运转率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bookmarkEnd w:id="0"/>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工作完成满意度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Calibri" w:hAnsi="Calibri" w:eastAsia="华文细黑"/>
                <w:color w:val="000000"/>
                <w:sz w:val="20"/>
                <w:szCs w:val="22"/>
              </w:rPr>
              <w:t>村级组织运转经费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96.42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96.42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新兴乡2024年村级组织运转经费用于保障村集体正常运转所需要的经费资金，对于提升村集体行政运行效力具有十分重要的意义。新兴乡共6个行政村，新兴乡本次申请资金总额为96.42万元。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经费保障村数量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村级组织运转率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村均每月经费金额</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&lt;=1.34万元/村/月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经费拨付及时率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提升基层党组织等情况，组织等情况</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&gt;=99%</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2024年大学生村官工资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9.44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9.44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新兴乡用于支付</w:t>
            </w:r>
            <w:r>
              <w:rPr>
                <w:rFonts w:hint="eastAsia" w:ascii="宋体" w:hAnsi="宋体" w:eastAsia="宋体" w:cs="宋体"/>
                <w:color w:val="000000"/>
                <w:sz w:val="20"/>
                <w:lang w:val="en-US" w:eastAsia="zh-CN"/>
              </w:rPr>
              <w:t>2024年大学生村官工资本年内实施</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18"/>
                <w:szCs w:val="18"/>
                <w:lang w:eastAsia="zh-CN"/>
              </w:rPr>
              <w:t>大学生村官人数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18"/>
                <w:szCs w:val="18"/>
                <w:lang w:eastAsia="zh-CN"/>
              </w:rPr>
              <w:t>工资发放对村官生活质量影响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18"/>
                <w:szCs w:val="18"/>
                <w:lang w:eastAsia="zh-CN"/>
              </w:rPr>
              <w:t>在职村官月平均收入</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&lt;=3933元/月/人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18"/>
                <w:szCs w:val="18"/>
                <w:lang w:eastAsia="zh-CN"/>
              </w:rPr>
              <w:t>村官工资及五险一金发放及时率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18"/>
                <w:szCs w:val="18"/>
                <w:lang w:eastAsia="zh-CN"/>
              </w:rPr>
              <w:t>在职村官对工作完成及时率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18"/>
                <w:szCs w:val="18"/>
                <w:lang w:eastAsia="zh-CN"/>
              </w:rPr>
              <w:t>在职村官对工作完成满意度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jc w:val="both"/>
        <w:rPr>
          <w:rFonts w:eastAsia="黑体"/>
          <w:sz w:val="36"/>
          <w:szCs w:val="36"/>
        </w:rPr>
      </w:pPr>
      <w:r>
        <w:rPr>
          <w:rFonts w:hint="eastAsia" w:eastAsia="楷体"/>
          <w:kern w:val="0"/>
          <w:szCs w:val="32"/>
        </w:rPr>
        <w:br w:type="page"/>
      </w: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2024年大学生辅助岗人员工资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34.26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34.26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用于支付</w:t>
                  </w:r>
                  <w:r>
                    <w:rPr>
                      <w:rFonts w:hint="eastAsia" w:ascii="宋体" w:hAnsi="宋体" w:eastAsia="宋体" w:cs="宋体"/>
                      <w:color w:val="000000"/>
                      <w:sz w:val="20"/>
                      <w:lang w:val="en-US" w:eastAsia="zh-CN"/>
                    </w:rPr>
                    <w:t>2024年大学生村官及辅助岗人员工资，保证辅助岗人员工资正常发放</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18"/>
                      <w:szCs w:val="18"/>
                      <w:lang w:eastAsia="zh-CN"/>
                    </w:rPr>
                    <w:t>工资发放对辅助岗生活质量影响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辅助岗月平均收入</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&lt;=3172元/月/人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eastAsia="zh-CN"/>
                    </w:rPr>
                    <w:t>工作完成满意度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widowControl/>
              <w:jc w:val="both"/>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2024年驻村干部补助</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新兴乡2024年驻村工作队生活补贴本年实施。</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驻村第一书记人数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保证工作质量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驻村补助</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=100元/天/人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经费对第一书记帮助率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驻村第一书记对驻村经费满意度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default" w:ascii="仿宋_GB2312" w:hAnsi="仿宋_GB2312" w:eastAsia="仿宋_GB2312" w:cs="仿宋_GB2312"/>
          <w:szCs w:val="32"/>
          <w:u w:val="none"/>
          <w:lang w:val="en-US"/>
        </w:rPr>
      </w:pPr>
      <w:r>
        <w:rPr>
          <w:rFonts w:hint="eastAsia" w:ascii="仿宋_GB2312" w:hAnsi="仿宋_GB2312" w:eastAsia="仿宋_GB2312" w:cs="仿宋_GB2312"/>
          <w:szCs w:val="32"/>
          <w:u w:val="none"/>
        </w:rPr>
        <w:t>按照综合预算的原则，所有收入和支出全部纳入部门预算管理。收入包括：一般公共预算拨款收入</w:t>
      </w:r>
      <w:r>
        <w:rPr>
          <w:rFonts w:hint="eastAsia" w:ascii="仿宋_GB2312" w:hAnsi="仿宋_GB2312" w:cs="仿宋_GB2312"/>
          <w:szCs w:val="32"/>
          <w:u w:val="none"/>
          <w:lang w:val="en-US" w:eastAsia="zh-CN"/>
        </w:rPr>
        <w:t>1112.63</w:t>
      </w:r>
      <w:r>
        <w:rPr>
          <w:rFonts w:hint="eastAsia" w:ascii="仿宋_GB2312" w:hAnsi="仿宋_GB2312" w:eastAsia="仿宋_GB2312" w:cs="仿宋_GB2312"/>
          <w:szCs w:val="32"/>
          <w:u w:val="none"/>
        </w:rPr>
        <w:t>；支出包括：一般公共服务支出</w:t>
      </w:r>
      <w:r>
        <w:rPr>
          <w:rFonts w:hint="eastAsia" w:ascii="仿宋_GB2312" w:hAnsi="仿宋_GB2312" w:cs="仿宋_GB2312"/>
          <w:szCs w:val="32"/>
          <w:u w:val="none"/>
          <w:lang w:val="en-US" w:eastAsia="zh-CN"/>
        </w:rPr>
        <w:t>787.07</w:t>
      </w:r>
      <w:r>
        <w:rPr>
          <w:rFonts w:hint="eastAsia" w:ascii="仿宋_GB2312" w:hAnsi="仿宋_GB2312" w:eastAsia="仿宋_GB2312" w:cs="仿宋_GB2312"/>
          <w:szCs w:val="32"/>
          <w:u w:val="none"/>
        </w:rPr>
        <w:t>、社会保障和就业支出</w:t>
      </w:r>
      <w:r>
        <w:rPr>
          <w:rFonts w:hint="eastAsia" w:ascii="仿宋_GB2312" w:hAnsi="仿宋_GB2312" w:cs="仿宋_GB2312"/>
          <w:szCs w:val="32"/>
          <w:u w:val="none"/>
          <w:lang w:val="en-US" w:eastAsia="zh-CN"/>
        </w:rPr>
        <w:t>121.56万元</w:t>
      </w:r>
      <w:r>
        <w:rPr>
          <w:rFonts w:hint="eastAsia" w:ascii="仿宋_GB2312" w:hAnsi="仿宋_GB2312" w:eastAsia="仿宋_GB2312" w:cs="仿宋_GB2312"/>
          <w:szCs w:val="32"/>
          <w:u w:val="none"/>
        </w:rPr>
        <w:t>、农林水支出</w:t>
      </w:r>
      <w:r>
        <w:rPr>
          <w:rFonts w:hint="eastAsia" w:ascii="仿宋_GB2312" w:hAnsi="仿宋_GB2312" w:cs="仿宋_GB2312"/>
          <w:szCs w:val="32"/>
          <w:u w:val="none"/>
          <w:lang w:val="en-US" w:eastAsia="zh-CN"/>
        </w:rPr>
        <w:t>96.42万元</w:t>
      </w:r>
      <w:r>
        <w:rPr>
          <w:rFonts w:hint="eastAsia" w:ascii="仿宋_GB2312" w:hAnsi="仿宋_GB2312" w:eastAsia="仿宋_GB2312" w:cs="仿宋_GB2312"/>
          <w:szCs w:val="32"/>
          <w:u w:val="none"/>
        </w:rPr>
        <w:t>、住房保障支出</w:t>
      </w:r>
      <w:r>
        <w:rPr>
          <w:rFonts w:hint="eastAsia" w:ascii="仿宋_GB2312" w:hAnsi="仿宋_GB2312" w:cs="仿宋_GB2312"/>
          <w:szCs w:val="32"/>
          <w:u w:val="none"/>
          <w:lang w:val="en-US" w:eastAsia="zh-CN"/>
        </w:rPr>
        <w:t>67.33万元、卫生健康支出40.25万元</w:t>
      </w:r>
      <w:r>
        <w:rPr>
          <w:rFonts w:hint="eastAsia" w:ascii="仿宋_GB2312" w:hAnsi="仿宋_GB2312" w:eastAsia="仿宋_GB2312" w:cs="仿宋_GB2312"/>
          <w:szCs w:val="32"/>
          <w:u w:val="none"/>
        </w:rPr>
        <w:t>。</w:t>
      </w: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年收支总预算</w:t>
      </w:r>
      <w:r>
        <w:rPr>
          <w:rFonts w:hint="eastAsia" w:ascii="仿宋_GB2312" w:hAnsi="仿宋_GB2312" w:cs="仿宋_GB2312"/>
          <w:szCs w:val="32"/>
          <w:u w:val="none"/>
          <w:lang w:val="en-US" w:eastAsia="zh-CN"/>
        </w:rPr>
        <w:t>1112.63</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1112.63</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b w:val="0"/>
          <w:bCs w:val="0"/>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w:t>
      </w:r>
      <w:r>
        <w:rPr>
          <w:rFonts w:hint="eastAsia" w:ascii="仿宋_GB2312" w:hAnsi="仿宋_GB2312" w:cs="仿宋_GB2312"/>
          <w:szCs w:val="32"/>
          <w:u w:val="none"/>
          <w:lang w:val="en-US" w:eastAsia="zh-CN"/>
        </w:rPr>
        <w:t>3</w:t>
      </w:r>
      <w:r>
        <w:rPr>
          <w:rFonts w:hint="eastAsia" w:ascii="仿宋_GB2312" w:hAnsi="仿宋_GB2312" w:eastAsia="仿宋_GB2312" w:cs="仿宋_GB2312"/>
          <w:szCs w:val="32"/>
          <w:u w:val="none"/>
        </w:rPr>
        <w:t>年预算增加</w:t>
      </w:r>
      <w:r>
        <w:rPr>
          <w:rFonts w:hint="eastAsia" w:ascii="仿宋_GB2312" w:hAnsi="仿宋_GB2312" w:cs="仿宋_GB2312"/>
          <w:szCs w:val="32"/>
          <w:u w:val="none"/>
          <w:lang w:val="en-US" w:eastAsia="zh-CN"/>
        </w:rPr>
        <w:t>16.25</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none"/>
          <w:lang w:val="en-US" w:eastAsia="zh-CN"/>
        </w:rPr>
        <w:t>2024年人员工资待遇调整，</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年收入预算</w:t>
      </w:r>
      <w:r>
        <w:rPr>
          <w:rFonts w:hint="eastAsia" w:ascii="仿宋_GB2312" w:hAnsi="仿宋_GB2312" w:cs="仿宋_GB2312"/>
          <w:szCs w:val="32"/>
          <w:u w:val="none"/>
          <w:lang w:val="en-US" w:eastAsia="zh-CN"/>
        </w:rPr>
        <w:t>1112.63</w:t>
      </w:r>
      <w:r>
        <w:rPr>
          <w:rFonts w:hint="eastAsia" w:ascii="仿宋_GB2312" w:hAnsi="仿宋_GB2312" w:eastAsia="仿宋_GB2312" w:cs="仿宋_GB2312"/>
          <w:szCs w:val="32"/>
          <w:u w:val="none"/>
        </w:rPr>
        <w:t>万元，其中：本年收入</w:t>
      </w:r>
      <w:r>
        <w:rPr>
          <w:rFonts w:hint="eastAsia" w:ascii="仿宋_GB2312" w:hAnsi="仿宋_GB2312" w:cs="仿宋_GB2312"/>
          <w:szCs w:val="32"/>
          <w:u w:val="none"/>
          <w:lang w:val="en-US" w:eastAsia="zh-CN"/>
        </w:rPr>
        <w:t>1112.63</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%。本年收入中，一般公共预算拨款收入</w:t>
      </w:r>
      <w:r>
        <w:rPr>
          <w:rFonts w:hint="eastAsia" w:ascii="仿宋_GB2312" w:hAnsi="仿宋_GB2312" w:cs="仿宋_GB2312"/>
          <w:szCs w:val="32"/>
          <w:u w:val="none"/>
          <w:lang w:val="en-US" w:eastAsia="zh-CN"/>
        </w:rPr>
        <w:t>1112.63</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%；政府性基金预算拨款收入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%；国有资本经营预算拨款收入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%；财政专户管理资金收入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_%；事业收入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%；上级补助收入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%；附属单位上缴收入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%；事业单位经营收入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%；其他收入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%。上年结转中，一般公共预算拨款结转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%；政府性基金预算拨款结转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%；国有资本经营预算拨款结转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%；财政专户管理资金结转结余</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%；单位资金结转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%；用事业基金弥补收支差额</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年支出预算</w:t>
      </w:r>
      <w:r>
        <w:rPr>
          <w:rFonts w:hint="eastAsia" w:ascii="仿宋_GB2312" w:hAnsi="仿宋_GB2312" w:cs="仿宋_GB2312"/>
          <w:szCs w:val="32"/>
          <w:u w:val="none"/>
          <w:lang w:val="en-US" w:eastAsia="zh-CN"/>
        </w:rPr>
        <w:t>1112.63</w:t>
      </w:r>
      <w:r>
        <w:rPr>
          <w:rFonts w:hint="eastAsia" w:ascii="仿宋_GB2312" w:hAnsi="仿宋_GB2312" w:eastAsia="仿宋_GB2312" w:cs="仿宋_GB2312"/>
          <w:szCs w:val="32"/>
          <w:u w:val="none"/>
        </w:rPr>
        <w:t>万元，其中：基本支出</w:t>
      </w:r>
      <w:r>
        <w:rPr>
          <w:rFonts w:hint="eastAsia" w:ascii="仿宋_GB2312" w:hAnsi="仿宋_GB2312" w:cs="仿宋_GB2312"/>
          <w:szCs w:val="32"/>
          <w:u w:val="none"/>
          <w:lang w:val="en-US" w:eastAsia="zh-CN"/>
        </w:rPr>
        <w:t xml:space="preserve">943.33 </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84.78</w:t>
      </w:r>
      <w:r>
        <w:rPr>
          <w:rFonts w:hint="eastAsia" w:ascii="仿宋_GB2312" w:hAnsi="仿宋_GB2312" w:eastAsia="仿宋_GB2312" w:cs="仿宋_GB2312"/>
          <w:szCs w:val="32"/>
          <w:u w:val="none"/>
        </w:rPr>
        <w:t>%；项目支出</w:t>
      </w:r>
      <w:r>
        <w:rPr>
          <w:rFonts w:hint="eastAsia" w:ascii="仿宋_GB2312" w:hAnsi="仿宋_GB2312" w:cs="仿宋_GB2312"/>
          <w:szCs w:val="32"/>
          <w:u w:val="none"/>
          <w:lang w:val="en-US" w:eastAsia="zh-CN"/>
        </w:rPr>
        <w:t>169.3</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15.22</w:t>
      </w:r>
      <w:r>
        <w:rPr>
          <w:rFonts w:hint="eastAsia" w:ascii="仿宋_GB2312" w:hAnsi="仿宋_GB2312" w:eastAsia="仿宋_GB2312" w:cs="仿宋_GB2312"/>
          <w:szCs w:val="32"/>
          <w:u w:val="none"/>
        </w:rPr>
        <w:t>%；事业单位经营支出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%；上缴上级支出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%；对附属单位补助支出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年财政拨款收支总预算</w:t>
      </w:r>
      <w:r>
        <w:rPr>
          <w:rFonts w:hint="eastAsia" w:ascii="仿宋_GB2312" w:hAnsi="仿宋_GB2312" w:cs="仿宋_GB2312"/>
          <w:szCs w:val="32"/>
          <w:u w:val="none"/>
          <w:lang w:val="en-US" w:eastAsia="zh-CN"/>
        </w:rPr>
        <w:t>1112.63</w:t>
      </w:r>
      <w:r>
        <w:rPr>
          <w:rFonts w:hint="eastAsia" w:ascii="仿宋_GB2312" w:hAnsi="仿宋_GB2312" w:eastAsia="仿宋_GB2312" w:cs="仿宋_GB2312"/>
          <w:szCs w:val="32"/>
          <w:u w:val="none"/>
        </w:rPr>
        <w:t>万元，其中：本年收入</w:t>
      </w:r>
      <w:r>
        <w:rPr>
          <w:rFonts w:hint="eastAsia" w:ascii="仿宋_GB2312" w:hAnsi="仿宋_GB2312" w:cs="仿宋_GB2312"/>
          <w:szCs w:val="32"/>
          <w:u w:val="none"/>
          <w:lang w:val="en-US" w:eastAsia="zh-CN"/>
        </w:rPr>
        <w:t>1112.63</w:t>
      </w:r>
      <w:r>
        <w:rPr>
          <w:rFonts w:hint="eastAsia" w:ascii="仿宋_GB2312" w:hAnsi="仿宋_GB2312" w:eastAsia="仿宋_GB2312" w:cs="仿宋_GB2312"/>
          <w:szCs w:val="32"/>
          <w:u w:val="none"/>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万元。支出包括：</w:t>
      </w:r>
      <w:r>
        <w:rPr>
          <w:rFonts w:hint="eastAsia" w:ascii="仿宋_GB2312" w:hAnsi="仿宋_GB2312" w:eastAsia="仿宋_GB2312" w:cs="仿宋_GB2312"/>
          <w:kern w:val="0"/>
          <w:szCs w:val="32"/>
          <w:u w:val="none"/>
        </w:rPr>
        <w:t>一般公共服务支出</w:t>
      </w:r>
      <w:r>
        <w:rPr>
          <w:rFonts w:hint="eastAsia" w:ascii="仿宋_GB2312" w:hAnsi="仿宋_GB2312" w:cs="仿宋_GB2312"/>
          <w:szCs w:val="32"/>
          <w:u w:val="none"/>
          <w:lang w:val="en-US" w:eastAsia="zh-CN"/>
        </w:rPr>
        <w:t>787.07</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国防支出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公共安全支出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教育支出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科学技术支出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文化旅游体育与传媒支出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社会保障和就业支出</w:t>
      </w:r>
      <w:r>
        <w:rPr>
          <w:rFonts w:hint="eastAsia" w:ascii="仿宋_GB2312" w:hAnsi="仿宋_GB2312" w:cs="仿宋_GB2312"/>
          <w:szCs w:val="32"/>
          <w:u w:val="none"/>
          <w:lang w:val="en-US" w:eastAsia="zh-CN"/>
        </w:rPr>
        <w:t>121.56</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社会保险基金支出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卫生健康支出</w:t>
      </w:r>
      <w:r>
        <w:rPr>
          <w:rFonts w:hint="eastAsia" w:ascii="仿宋_GB2312" w:hAnsi="仿宋_GB2312" w:cs="仿宋_GB2312"/>
          <w:szCs w:val="32"/>
          <w:u w:val="none"/>
          <w:lang w:val="en-US" w:eastAsia="zh-CN"/>
        </w:rPr>
        <w:t>40.25</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节能环保支出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城乡社区支出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农林水支出</w:t>
      </w:r>
      <w:r>
        <w:rPr>
          <w:rFonts w:hint="eastAsia" w:ascii="仿宋_GB2312" w:hAnsi="仿宋_GB2312" w:cs="仿宋_GB2312"/>
          <w:szCs w:val="32"/>
          <w:u w:val="none"/>
          <w:lang w:val="en-US" w:eastAsia="zh-CN"/>
        </w:rPr>
        <w:t>96.42</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交通运输支出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资源勘探信息等支出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商业服务业等支出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金融支出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援助其他地区支出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自然资源海洋气象等支出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住房保障支出</w:t>
      </w:r>
      <w:r>
        <w:rPr>
          <w:rFonts w:hint="eastAsia" w:ascii="仿宋_GB2312" w:hAnsi="仿宋_GB2312" w:cs="仿宋_GB2312"/>
          <w:szCs w:val="32"/>
          <w:u w:val="none"/>
          <w:lang w:val="en-US" w:eastAsia="zh-CN"/>
        </w:rPr>
        <w:t>67.33</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粮油物资储备支出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万元，灾害防治及应急管理支出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其他支出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结转下年支出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年一般公共预算拨款</w:t>
      </w:r>
      <w:r>
        <w:rPr>
          <w:rFonts w:hint="eastAsia" w:ascii="仿宋_GB2312" w:hAnsi="仿宋_GB2312" w:cs="仿宋_GB2312"/>
          <w:szCs w:val="32"/>
          <w:u w:val="none"/>
          <w:lang w:val="en-US" w:eastAsia="zh-CN"/>
        </w:rPr>
        <w:t>1112.63</w:t>
      </w:r>
      <w:r>
        <w:rPr>
          <w:rFonts w:hint="eastAsia" w:ascii="仿宋_GB2312" w:hAnsi="仿宋_GB2312" w:eastAsia="仿宋_GB2312" w:cs="仿宋_GB2312"/>
          <w:szCs w:val="32"/>
          <w:u w:val="none"/>
        </w:rPr>
        <w:t>万元，其中：基本支出</w:t>
      </w:r>
      <w:r>
        <w:rPr>
          <w:rFonts w:hint="eastAsia" w:ascii="仿宋_GB2312" w:hAnsi="仿宋_GB2312" w:cs="仿宋_GB2312"/>
          <w:szCs w:val="32"/>
          <w:u w:val="none"/>
          <w:lang w:val="en-US" w:eastAsia="zh-CN"/>
        </w:rPr>
        <w:t>943.33</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87.78</w:t>
      </w:r>
      <w:r>
        <w:rPr>
          <w:rFonts w:hint="eastAsia" w:ascii="仿宋_GB2312" w:hAnsi="仿宋_GB2312" w:eastAsia="仿宋_GB2312" w:cs="仿宋_GB2312"/>
          <w:szCs w:val="32"/>
          <w:u w:val="none"/>
        </w:rPr>
        <w:t>%；项目支出</w:t>
      </w:r>
      <w:r>
        <w:rPr>
          <w:rFonts w:hint="eastAsia" w:ascii="仿宋_GB2312" w:hAnsi="仿宋_GB2312" w:cs="仿宋_GB2312"/>
          <w:szCs w:val="32"/>
          <w:u w:val="none"/>
          <w:lang w:val="en-US" w:eastAsia="zh-CN"/>
        </w:rPr>
        <w:t>169.3</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15.22</w:t>
      </w:r>
      <w:r>
        <w:rPr>
          <w:rFonts w:hint="eastAsia" w:ascii="仿宋_GB2312" w:hAnsi="仿宋_GB2312" w:eastAsia="仿宋_GB2312" w:cs="仿宋_GB2312"/>
          <w:szCs w:val="32"/>
          <w:u w:val="none"/>
        </w:rPr>
        <w:t>%%。基本支出中，人员经费</w:t>
      </w:r>
      <w:r>
        <w:rPr>
          <w:rFonts w:hint="eastAsia" w:ascii="仿宋_GB2312" w:hAnsi="仿宋_GB2312" w:cs="仿宋_GB2312"/>
          <w:szCs w:val="32"/>
          <w:u w:val="none"/>
          <w:lang w:val="en-US" w:eastAsia="zh-CN"/>
        </w:rPr>
        <w:t>859.75</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91.14</w:t>
      </w:r>
      <w:r>
        <w:rPr>
          <w:rFonts w:hint="eastAsia" w:ascii="仿宋_GB2312" w:hAnsi="仿宋_GB2312" w:eastAsia="仿宋_GB2312" w:cs="仿宋_GB2312"/>
          <w:szCs w:val="32"/>
          <w:u w:val="none"/>
        </w:rPr>
        <w:t>%；公用经费</w:t>
      </w:r>
      <w:r>
        <w:rPr>
          <w:rFonts w:hint="eastAsia" w:ascii="仿宋_GB2312" w:hAnsi="仿宋_GB2312" w:cs="仿宋_GB2312"/>
          <w:szCs w:val="32"/>
          <w:u w:val="none"/>
          <w:lang w:val="en-US" w:eastAsia="zh-CN"/>
        </w:rPr>
        <w:t>83.58</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8.86</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一般公共服务（类）支出</w:t>
      </w:r>
      <w:r>
        <w:rPr>
          <w:rFonts w:hint="eastAsia" w:ascii="仿宋_GB2312" w:hAnsi="仿宋_GB2312" w:cs="仿宋_GB2312"/>
          <w:szCs w:val="32"/>
          <w:u w:val="none"/>
          <w:lang w:val="en-US" w:eastAsia="zh-CN"/>
        </w:rPr>
        <w:t>787.07</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70.74</w:t>
      </w:r>
      <w:r>
        <w:rPr>
          <w:rFonts w:hint="eastAsia" w:ascii="仿宋_GB2312" w:hAnsi="仿宋_GB2312" w:eastAsia="仿宋_GB2312" w:cs="仿宋_GB2312"/>
          <w:szCs w:val="32"/>
          <w:u w:val="none"/>
        </w:rPr>
        <w:t>%，主要用于</w:t>
      </w:r>
      <w:r>
        <w:rPr>
          <w:rFonts w:hint="eastAsia" w:ascii="仿宋_GB2312" w:hAnsi="仿宋_GB2312" w:cs="仿宋_GB2312"/>
          <w:szCs w:val="32"/>
          <w:u w:val="none"/>
          <w:lang w:eastAsia="zh-CN"/>
        </w:rPr>
        <w:t>新兴乡人民政府正常机构运转所需的人员经费和公用经费</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国防（类）支</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教育（类）支出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科学技术（类）支出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文化旅游体育与传媒（类）支出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社会保障和就业（类）支出</w:t>
      </w:r>
      <w:r>
        <w:rPr>
          <w:rFonts w:hint="eastAsia" w:ascii="仿宋_GB2312" w:hAnsi="仿宋_GB2312" w:cs="仿宋_GB2312"/>
          <w:szCs w:val="32"/>
          <w:u w:val="none"/>
          <w:lang w:val="en-US" w:eastAsia="zh-CN"/>
        </w:rPr>
        <w:t>121.56</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10.93</w:t>
      </w:r>
      <w:r>
        <w:rPr>
          <w:rFonts w:hint="eastAsia" w:ascii="仿宋_GB2312" w:hAnsi="仿宋_GB2312" w:eastAsia="仿宋_GB2312" w:cs="仿宋_GB2312"/>
          <w:szCs w:val="32"/>
          <w:u w:val="none"/>
        </w:rPr>
        <w:t>%，主要用于</w:t>
      </w:r>
      <w:r>
        <w:rPr>
          <w:rFonts w:hint="eastAsia" w:ascii="仿宋_GB2312" w:hAnsi="仿宋_GB2312" w:cs="仿宋_GB2312"/>
          <w:szCs w:val="32"/>
          <w:u w:val="none"/>
          <w:lang w:eastAsia="zh-CN"/>
        </w:rPr>
        <w:t>新兴乡人民政府所有在职人员社保缴费</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cs="仿宋_GB2312"/>
          <w:szCs w:val="32"/>
          <w:u w:val="none"/>
          <w:lang w:eastAsia="zh-CN"/>
        </w:rPr>
      </w:pPr>
      <w:r>
        <w:rPr>
          <w:rFonts w:hint="eastAsia" w:ascii="仿宋_GB2312" w:hAnsi="仿宋_GB2312" w:eastAsia="仿宋_GB2312" w:cs="仿宋_GB2312"/>
          <w:szCs w:val="32"/>
          <w:u w:val="none"/>
        </w:rPr>
        <w:t>农林水支出（类）支出</w:t>
      </w:r>
      <w:r>
        <w:rPr>
          <w:rFonts w:hint="eastAsia" w:ascii="仿宋_GB2312" w:hAnsi="仿宋_GB2312" w:cs="仿宋_GB2312"/>
          <w:szCs w:val="32"/>
          <w:u w:val="none"/>
          <w:lang w:val="en-US" w:eastAsia="zh-CN"/>
        </w:rPr>
        <w:t>96.42</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8.67</w:t>
      </w:r>
      <w:r>
        <w:rPr>
          <w:rFonts w:hint="eastAsia" w:ascii="仿宋_GB2312" w:hAnsi="仿宋_GB2312" w:eastAsia="仿宋_GB2312" w:cs="仿宋_GB2312"/>
          <w:szCs w:val="32"/>
          <w:u w:val="none"/>
        </w:rPr>
        <w:t>%，主要用于</w:t>
      </w:r>
      <w:r>
        <w:rPr>
          <w:rFonts w:hint="eastAsia" w:ascii="仿宋_GB2312" w:hAnsi="仿宋_GB2312" w:cs="仿宋_GB2312"/>
          <w:szCs w:val="32"/>
          <w:u w:val="none"/>
          <w:lang w:eastAsia="zh-CN"/>
        </w:rPr>
        <w:t>新兴乡各级村级组织运转所需的经费支出。</w:t>
      </w:r>
    </w:p>
    <w:p>
      <w:pPr>
        <w:spacing w:line="520" w:lineRule="exact"/>
        <w:ind w:firstLine="200"/>
        <w:rPr>
          <w:rFonts w:hint="eastAsia" w:ascii="仿宋_GB2312" w:hAnsi="仿宋_GB2312" w:cs="仿宋_GB2312"/>
          <w:szCs w:val="32"/>
          <w:u w:val="none"/>
          <w:lang w:eastAsia="zh-CN"/>
        </w:rPr>
      </w:pPr>
      <w:r>
        <w:rPr>
          <w:rFonts w:hint="eastAsia" w:ascii="仿宋_GB2312" w:hAnsi="仿宋_GB2312" w:eastAsia="仿宋_GB2312" w:cs="仿宋_GB2312"/>
          <w:szCs w:val="32"/>
          <w:u w:val="none"/>
        </w:rPr>
        <w:t>住房保障（类）支出</w:t>
      </w:r>
      <w:r>
        <w:rPr>
          <w:rFonts w:hint="eastAsia" w:ascii="仿宋_GB2312" w:hAnsi="仿宋_GB2312" w:cs="仿宋_GB2312"/>
          <w:szCs w:val="32"/>
          <w:u w:val="none"/>
          <w:lang w:val="en-US" w:eastAsia="zh-CN"/>
        </w:rPr>
        <w:t>67.33</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6.05</w:t>
      </w:r>
      <w:r>
        <w:rPr>
          <w:rFonts w:hint="eastAsia" w:ascii="仿宋_GB2312" w:hAnsi="仿宋_GB2312" w:eastAsia="仿宋_GB2312" w:cs="仿宋_GB2312"/>
          <w:szCs w:val="32"/>
          <w:u w:val="none"/>
        </w:rPr>
        <w:t>%，主要用于</w:t>
      </w:r>
      <w:r>
        <w:rPr>
          <w:rFonts w:hint="eastAsia" w:ascii="仿宋_GB2312" w:hAnsi="仿宋_GB2312" w:cs="仿宋_GB2312"/>
          <w:szCs w:val="32"/>
          <w:u w:val="none"/>
          <w:lang w:eastAsia="zh-CN"/>
        </w:rPr>
        <w:t>新兴乡人民政府所有在职人员住房公积金缴费。</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卫生健康</w:t>
      </w:r>
      <w:r>
        <w:rPr>
          <w:rFonts w:hint="eastAsia" w:ascii="仿宋_GB2312" w:hAnsi="仿宋_GB2312" w:eastAsia="仿宋_GB2312" w:cs="仿宋_GB2312"/>
          <w:szCs w:val="32"/>
          <w:u w:val="none"/>
        </w:rPr>
        <w:t>（类）支出</w:t>
      </w:r>
      <w:r>
        <w:rPr>
          <w:rFonts w:hint="eastAsia" w:ascii="仿宋_GB2312" w:hAnsi="仿宋_GB2312" w:cs="仿宋_GB2312"/>
          <w:szCs w:val="32"/>
          <w:u w:val="none"/>
          <w:lang w:val="en-US" w:eastAsia="zh-CN"/>
        </w:rPr>
        <w:t>40.25</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3.62</w:t>
      </w:r>
      <w:r>
        <w:rPr>
          <w:rFonts w:hint="eastAsia" w:ascii="仿宋_GB2312" w:hAnsi="仿宋_GB2312" w:eastAsia="仿宋_GB2312" w:cs="仿宋_GB2312"/>
          <w:szCs w:val="32"/>
          <w:u w:val="none"/>
        </w:rPr>
        <w:t>%，主要用于</w:t>
      </w:r>
      <w:r>
        <w:rPr>
          <w:rFonts w:hint="eastAsia" w:ascii="仿宋_GB2312" w:hAnsi="仿宋_GB2312" w:cs="仿宋_GB2312"/>
          <w:szCs w:val="32"/>
          <w:u w:val="none"/>
          <w:lang w:eastAsia="zh-CN"/>
        </w:rPr>
        <w:t>新兴乡人民政府所有在职人员医保缴费</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cs="仿宋_GB2312"/>
          <w:szCs w:val="32"/>
          <w:u w:val="single"/>
          <w:lang w:eastAsia="zh-CN"/>
        </w:rPr>
      </w:pP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1112.63</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u w:val="none"/>
        </w:rPr>
      </w:pPr>
      <w:r>
        <w:rPr>
          <w:rFonts w:hint="eastAsia" w:ascii="仿宋_GB2312" w:hAnsi="仿宋_GB2312" w:eastAsia="仿宋_GB2312" w:cs="仿宋_GB2312"/>
          <w:szCs w:val="32"/>
          <w:u w:val="none"/>
        </w:rPr>
        <w:t>人员经费</w:t>
      </w:r>
      <w:r>
        <w:rPr>
          <w:rFonts w:hint="eastAsia" w:ascii="仿宋_GB2312" w:hAnsi="仿宋_GB2312" w:cs="仿宋_GB2312"/>
          <w:szCs w:val="32"/>
          <w:u w:val="none"/>
          <w:lang w:val="en-US" w:eastAsia="zh-CN"/>
        </w:rPr>
        <w:t>859.75</w:t>
      </w:r>
      <w:r>
        <w:rPr>
          <w:rFonts w:hint="eastAsia" w:ascii="仿宋_GB2312" w:hAnsi="仿宋_GB2312" w:eastAsia="仿宋_GB2312" w:cs="仿宋_GB2312"/>
          <w:szCs w:val="32"/>
          <w:u w:val="none"/>
        </w:rPr>
        <w:t>万元，主要包括：</w:t>
      </w:r>
      <w:r>
        <w:rPr>
          <w:rFonts w:hint="eastAsia" w:ascii="仿宋_GB2312" w:hAnsi="仿宋_GB2312" w:eastAsia="仿宋_GB2312" w:cs="仿宋_GB2312"/>
          <w:kern w:val="0"/>
          <w:szCs w:val="32"/>
          <w:u w:val="none"/>
        </w:rPr>
        <w:t>基本工资、津贴补贴</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奖金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社会保障缴费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其他工资福利支出</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离休费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退休费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抚恤金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生活补助</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助学金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住房公积金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采暖补贴</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其他对个人和家庭的补助支出。</w:t>
      </w:r>
    </w:p>
    <w:p>
      <w:pPr>
        <w:ind w:firstLine="640" w:firstLineChars="200"/>
        <w:rPr>
          <w:szCs w:val="32"/>
          <w:u w:val="none"/>
        </w:rPr>
      </w:pPr>
      <w:r>
        <w:rPr>
          <w:rFonts w:hint="eastAsia" w:ascii="仿宋_GB2312" w:hAnsi="仿宋_GB2312" w:eastAsia="仿宋_GB2312" w:cs="仿宋_GB2312"/>
          <w:kern w:val="0"/>
          <w:szCs w:val="32"/>
          <w:u w:val="none"/>
        </w:rPr>
        <w:t>公用经费</w:t>
      </w:r>
      <w:r>
        <w:rPr>
          <w:rFonts w:hint="eastAsia" w:ascii="仿宋_GB2312" w:hAnsi="仿宋_GB2312" w:cs="仿宋_GB2312"/>
          <w:szCs w:val="32"/>
          <w:u w:val="none"/>
          <w:lang w:val="en-US" w:eastAsia="zh-CN"/>
        </w:rPr>
        <w:t>83.58</w:t>
      </w:r>
      <w:r>
        <w:rPr>
          <w:rFonts w:hint="eastAsia" w:ascii="仿宋_GB2312" w:hAnsi="仿宋_GB2312" w:eastAsia="仿宋_GB2312" w:cs="仿宋_GB2312"/>
          <w:szCs w:val="32"/>
          <w:u w:val="none"/>
        </w:rPr>
        <w:t>万元，主要包括：</w:t>
      </w:r>
      <w:r>
        <w:rPr>
          <w:rFonts w:hint="eastAsia" w:ascii="仿宋_GB2312" w:hAnsi="仿宋_GB2312" w:eastAsia="仿宋_GB2312" w:cs="仿宋_GB2312"/>
          <w:kern w:val="0"/>
          <w:szCs w:val="32"/>
          <w:u w:val="none"/>
        </w:rPr>
        <w:t>办公费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印刷费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水费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电费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邮电费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取暖费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物业管理费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差旅费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维修（护）费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会议费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培训费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公务接待费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工会经费、福利费</w:t>
      </w:r>
      <w:r>
        <w:rPr>
          <w:rFonts w:hint="eastAsia" w:ascii="仿宋_GB2312" w:hAnsi="仿宋_GB2312" w:eastAsia="仿宋_GB2312" w:cs="仿宋_GB2312"/>
          <w:szCs w:val="32"/>
          <w:u w:val="none"/>
        </w:rPr>
        <w:t>、公</w:t>
      </w:r>
      <w:r>
        <w:rPr>
          <w:rFonts w:hint="eastAsia" w:ascii="仿宋_GB2312" w:hAnsi="仿宋_GB2312" w:eastAsia="仿宋_GB2312" w:cs="仿宋_GB2312"/>
          <w:kern w:val="0"/>
          <w:szCs w:val="32"/>
          <w:u w:val="none"/>
        </w:rPr>
        <w:t>务用车运行维护费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其他交通补助</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年“三公”经费预算数为</w:t>
      </w:r>
      <w:r>
        <w:rPr>
          <w:rFonts w:hint="eastAsia" w:ascii="仿宋_GB2312" w:hAnsi="仿宋_GB2312" w:cs="仿宋_GB2312"/>
          <w:szCs w:val="32"/>
          <w:u w:val="none"/>
          <w:lang w:val="en-US" w:eastAsia="zh-CN"/>
        </w:rPr>
        <w:t>2.8</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w:t>
      </w:r>
      <w:r>
        <w:rPr>
          <w:rFonts w:hint="eastAsia" w:ascii="仿宋_GB2312" w:hAnsi="仿宋_GB2312" w:eastAsia="仿宋_GB2312" w:cs="仿宋_GB2312"/>
          <w:szCs w:val="32"/>
          <w:u w:val="none"/>
          <w:lang w:val="en-US" w:eastAsia="zh-CN"/>
        </w:rPr>
        <w:t>:</w:t>
      </w:r>
      <w:r>
        <w:rPr>
          <w:rFonts w:hint="eastAsia" w:ascii="仿宋_GB2312" w:hAnsi="仿宋_GB2312" w:eastAsia="仿宋_GB2312" w:cs="仿宋_GB2312"/>
          <w:szCs w:val="32"/>
          <w:u w:val="none"/>
          <w:lang w:eastAsia="zh-CN"/>
        </w:rPr>
        <w:t>当年预算</w:t>
      </w:r>
      <w:r>
        <w:rPr>
          <w:rFonts w:hint="eastAsia" w:ascii="仿宋_GB2312" w:hAnsi="仿宋_GB2312" w:cs="仿宋_GB2312"/>
          <w:szCs w:val="32"/>
          <w:u w:val="none"/>
          <w:lang w:val="en-US" w:eastAsia="zh-CN"/>
        </w:rPr>
        <w:t>2.8</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2022</w:t>
      </w:r>
      <w:r>
        <w:rPr>
          <w:rFonts w:hint="eastAsia" w:ascii="仿宋_GB2312" w:hAnsi="仿宋_GB2312" w:eastAsia="仿宋_GB2312" w:cs="仿宋_GB2312"/>
          <w:szCs w:val="32"/>
          <w:u w:val="none"/>
        </w:rPr>
        <w:t>年预算数增加</w:t>
      </w:r>
      <w:r>
        <w:rPr>
          <w:rFonts w:hint="eastAsia" w:ascii="仿宋_GB2312" w:hAnsi="仿宋_GB2312" w:cs="仿宋_GB2312"/>
          <w:szCs w:val="32"/>
          <w:u w:val="none"/>
          <w:lang w:val="en-US" w:eastAsia="zh-CN"/>
        </w:rPr>
        <w:t>2.4</w:t>
      </w:r>
      <w:r>
        <w:rPr>
          <w:rFonts w:hint="eastAsia" w:ascii="仿宋_GB2312" w:hAnsi="仿宋_GB2312" w:eastAsia="仿宋_GB2312" w:cs="仿宋_GB2312"/>
          <w:szCs w:val="32"/>
          <w:u w:val="none"/>
        </w:rPr>
        <w:t>万元。其中：</w:t>
      </w:r>
    </w:p>
    <w:p>
      <w:pPr>
        <w:ind w:firstLine="640" w:firstLineChars="200"/>
        <w:jc w:val="both"/>
        <w:rPr>
          <w:rFonts w:hint="eastAsia" w:ascii="仿宋_GB2312" w:hAnsi="仿宋_GB2312" w:eastAsia="仿宋_GB2312" w:cs="仿宋_GB2312"/>
          <w:szCs w:val="32"/>
          <w:u w:val="none"/>
          <w:lang w:val="en-US" w:eastAsia="zh-CN"/>
        </w:rPr>
      </w:pPr>
      <w:r>
        <w:rPr>
          <w:rFonts w:hint="eastAsia" w:ascii="仿宋_GB2312" w:hAnsi="仿宋_GB2312" w:eastAsia="仿宋_GB2312" w:cs="仿宋_GB2312"/>
          <w:szCs w:val="32"/>
          <w:u w:val="none"/>
        </w:rPr>
        <w:t>1.因公出国（境）费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2022</w:t>
      </w:r>
      <w:r>
        <w:rPr>
          <w:rFonts w:hint="eastAsia" w:ascii="仿宋_GB2312" w:hAnsi="仿宋_GB2312" w:eastAsia="仿宋_GB2312" w:cs="仿宋_GB2312"/>
          <w:szCs w:val="32"/>
          <w:u w:val="none"/>
        </w:rPr>
        <w:t>年预算数增加（减少）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eastAsia="仿宋_GB2312" w:cs="仿宋_GB2312"/>
          <w:szCs w:val="32"/>
          <w:u w:val="none"/>
          <w:lang w:eastAsia="zh-CN"/>
        </w:rPr>
        <w:t>。</w:t>
      </w:r>
    </w:p>
    <w:p>
      <w:pPr>
        <w:ind w:firstLine="640" w:firstLineChars="200"/>
        <w:rPr>
          <w:rFonts w:hint="eastAsia" w:ascii="仿宋_GB2312" w:hAnsi="仿宋_GB2312" w:eastAsia="仿宋_GB2312" w:cs="仿宋_GB2312"/>
          <w:szCs w:val="32"/>
          <w:u w:val="none"/>
          <w:lang w:eastAsia="zh-CN"/>
        </w:rPr>
      </w:pPr>
      <w:r>
        <w:rPr>
          <w:rFonts w:hint="eastAsia" w:ascii="仿宋_GB2312" w:hAnsi="仿宋_GB2312" w:eastAsia="仿宋_GB2312" w:cs="仿宋_GB2312"/>
          <w:szCs w:val="32"/>
          <w:u w:val="none"/>
        </w:rPr>
        <w:t>2.公务接待费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2022</w:t>
      </w:r>
      <w:r>
        <w:rPr>
          <w:rFonts w:hint="eastAsia" w:ascii="仿宋_GB2312" w:hAnsi="仿宋_GB2312" w:eastAsia="仿宋_GB2312" w:cs="仿宋_GB2312"/>
          <w:szCs w:val="32"/>
          <w:u w:val="none"/>
        </w:rPr>
        <w:t>年预算数增加（减少）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w:t>
      </w:r>
    </w:p>
    <w:p>
      <w:pPr>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3.公务用车购置及运行费</w:t>
      </w:r>
      <w:r>
        <w:rPr>
          <w:rFonts w:hint="eastAsia" w:ascii="仿宋_GB2312" w:hAnsi="仿宋_GB2312" w:cs="仿宋_GB2312"/>
          <w:szCs w:val="32"/>
          <w:u w:val="none"/>
          <w:lang w:val="en-US" w:eastAsia="zh-CN"/>
        </w:rPr>
        <w:t>2.8</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2.8</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w:t>
      </w:r>
      <w:r>
        <w:rPr>
          <w:rFonts w:hint="eastAsia" w:ascii="仿宋_GB2312" w:hAnsi="仿宋_GB2312" w:cs="仿宋_GB2312"/>
          <w:szCs w:val="32"/>
          <w:u w:val="none"/>
          <w:lang w:val="en-US" w:eastAsia="zh-CN"/>
        </w:rPr>
        <w:t>3</w:t>
      </w:r>
      <w:r>
        <w:rPr>
          <w:rFonts w:hint="eastAsia" w:ascii="仿宋_GB2312" w:hAnsi="仿宋_GB2312" w:eastAsia="仿宋_GB2312" w:cs="仿宋_GB2312"/>
          <w:szCs w:val="32"/>
          <w:u w:val="none"/>
        </w:rPr>
        <w:t>年预算数增加</w:t>
      </w:r>
      <w:r>
        <w:rPr>
          <w:rFonts w:hint="eastAsia" w:ascii="仿宋_GB2312" w:hAnsi="仿宋_GB2312" w:cs="仿宋_GB2312"/>
          <w:szCs w:val="32"/>
          <w:u w:val="none"/>
          <w:lang w:val="en-US" w:eastAsia="zh-CN"/>
        </w:rPr>
        <w:t>2.4</w:t>
      </w:r>
      <w:r>
        <w:rPr>
          <w:rFonts w:hint="eastAsia" w:ascii="仿宋_GB2312" w:hAnsi="仿宋_GB2312" w:eastAsia="仿宋_GB2312" w:cs="仿宋_GB2312"/>
          <w:szCs w:val="32"/>
          <w:u w:val="none"/>
        </w:rPr>
        <w:t>万元。公务用车运行维护费</w:t>
      </w:r>
      <w:r>
        <w:rPr>
          <w:rFonts w:hint="eastAsia" w:ascii="仿宋_GB2312" w:hAnsi="仿宋_GB2312" w:cs="仿宋_GB2312"/>
          <w:szCs w:val="32"/>
          <w:u w:val="none"/>
          <w:lang w:val="en-US" w:eastAsia="zh-CN"/>
        </w:rPr>
        <w:t>2.8</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2.8</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w:t>
      </w:r>
      <w:r>
        <w:rPr>
          <w:rFonts w:hint="eastAsia" w:ascii="仿宋_GB2312" w:hAnsi="仿宋_GB2312" w:cs="仿宋_GB2312"/>
          <w:szCs w:val="32"/>
          <w:u w:val="none"/>
          <w:lang w:val="en-US" w:eastAsia="zh-CN"/>
        </w:rPr>
        <w:t>3</w:t>
      </w:r>
      <w:r>
        <w:rPr>
          <w:rFonts w:hint="eastAsia" w:ascii="仿宋_GB2312" w:hAnsi="仿宋_GB2312" w:eastAsia="仿宋_GB2312" w:cs="仿宋_GB2312"/>
          <w:szCs w:val="32"/>
          <w:u w:val="none"/>
        </w:rPr>
        <w:t>年预算数增加</w:t>
      </w:r>
      <w:r>
        <w:rPr>
          <w:rFonts w:hint="eastAsia" w:ascii="仿宋_GB2312" w:hAnsi="仿宋_GB2312" w:cs="仿宋_GB2312"/>
          <w:szCs w:val="32"/>
          <w:u w:val="none"/>
          <w:lang w:val="en-US" w:eastAsia="zh-CN"/>
        </w:rPr>
        <w:t>2</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none"/>
          <w:lang w:val="en-US" w:eastAsia="zh-CN"/>
        </w:rPr>
        <w:t>2024工作量增加，增加公车用车次数</w:t>
      </w:r>
      <w:r>
        <w:rPr>
          <w:rFonts w:hint="eastAsia" w:ascii="仿宋_GB2312" w:hAnsi="仿宋_GB2312" w:eastAsia="仿宋_GB2312" w:cs="仿宋_GB2312"/>
          <w:szCs w:val="32"/>
          <w:u w:val="none"/>
        </w:rPr>
        <w:t>；公务用车购置费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2022</w:t>
      </w:r>
      <w:r>
        <w:rPr>
          <w:rFonts w:hint="eastAsia" w:ascii="仿宋_GB2312" w:hAnsi="仿宋_GB2312" w:eastAsia="仿宋_GB2312" w:cs="仿宋_GB2312"/>
          <w:szCs w:val="32"/>
          <w:u w:val="none"/>
        </w:rPr>
        <w:t>年预算数增加（减少）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szCs w:val="32"/>
        </w:rPr>
      </w:pPr>
      <w:r>
        <w:rPr>
          <w:rFonts w:eastAsia="楷体"/>
          <w:szCs w:val="32"/>
        </w:rPr>
        <w:t>本部门无政府性基金预算拨款</w:t>
      </w: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szCs w:val="32"/>
        </w:rPr>
      </w:pPr>
      <w:r>
        <w:rPr>
          <w:rFonts w:eastAsia="楷体"/>
          <w:szCs w:val="32"/>
        </w:rPr>
        <w:t>本部门无</w:t>
      </w:r>
      <w:r>
        <w:rPr>
          <w:rFonts w:hint="eastAsia" w:eastAsia="楷体"/>
          <w:szCs w:val="32"/>
        </w:rPr>
        <w:t>国有资本经营</w:t>
      </w:r>
      <w:r>
        <w:rPr>
          <w:rFonts w:eastAsia="楷体"/>
          <w:szCs w:val="32"/>
        </w:rPr>
        <w:t>预算拨款</w:t>
      </w: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hint="eastAsia" w:eastAsia="黑体"/>
          <w:szCs w:val="32"/>
        </w:rPr>
      </w:pPr>
    </w:p>
    <w:p>
      <w:pPr>
        <w:ind w:firstLine="640"/>
        <w:rPr>
          <w:rFonts w:hint="eastAsia" w:eastAsia="黑体"/>
          <w:szCs w:val="32"/>
        </w:rPr>
      </w:pPr>
    </w:p>
    <w:p>
      <w:pPr>
        <w:ind w:firstLine="640"/>
        <w:rPr>
          <w:rFonts w:hint="eastAsia" w:eastAsia="黑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年部门本级</w:t>
      </w:r>
      <w:r>
        <w:rPr>
          <w:rFonts w:hint="eastAsia" w:ascii="仿宋_GB2312" w:hAnsi="仿宋_GB2312" w:cs="仿宋_GB2312"/>
          <w:szCs w:val="32"/>
          <w:u w:val="none"/>
          <w:lang w:eastAsia="zh-CN"/>
        </w:rPr>
        <w:t>一</w:t>
      </w:r>
      <w:r>
        <w:rPr>
          <w:rFonts w:hint="eastAsia" w:ascii="仿宋_GB2312" w:hAnsi="仿宋_GB2312" w:eastAsia="仿宋_GB2312" w:cs="仿宋_GB2312"/>
          <w:szCs w:val="32"/>
          <w:u w:val="none"/>
        </w:rPr>
        <w:t>家行政单位</w:t>
      </w:r>
      <w:r>
        <w:rPr>
          <w:rFonts w:hint="eastAsia" w:ascii="仿宋_GB2312" w:hAnsi="仿宋_GB2312" w:cs="仿宋_GB2312"/>
          <w:szCs w:val="32"/>
          <w:u w:val="none"/>
          <w:lang w:eastAsia="zh-CN"/>
        </w:rPr>
        <w:t>以及一家事业单位，</w:t>
      </w:r>
      <w:r>
        <w:rPr>
          <w:rFonts w:hint="eastAsia" w:ascii="仿宋_GB2312" w:hAnsi="仿宋_GB2312" w:eastAsia="仿宋_GB2312" w:cs="仿宋_GB2312"/>
          <w:szCs w:val="32"/>
          <w:u w:val="none"/>
        </w:rPr>
        <w:t>机关运行经费财政拨款预算</w:t>
      </w:r>
      <w:r>
        <w:rPr>
          <w:rFonts w:hint="eastAsia" w:ascii="仿宋_GB2312" w:hAnsi="仿宋_GB2312" w:cs="仿宋_GB2312"/>
          <w:szCs w:val="32"/>
          <w:u w:val="none"/>
          <w:lang w:val="en-US" w:eastAsia="zh-CN"/>
        </w:rPr>
        <w:t>44.22</w:t>
      </w:r>
      <w:r>
        <w:rPr>
          <w:rFonts w:hint="eastAsia" w:ascii="仿宋_GB2312" w:hAnsi="仿宋_GB2312" w:eastAsia="仿宋_GB2312" w:cs="仿宋_GB2312"/>
          <w:szCs w:val="32"/>
          <w:u w:val="none"/>
        </w:rPr>
        <w:t>万元，比</w:t>
      </w:r>
      <w:r>
        <w:rPr>
          <w:rFonts w:hint="eastAsia" w:ascii="仿宋_GB2312" w:hAnsi="仿宋_GB2312" w:cs="仿宋_GB2312"/>
          <w:szCs w:val="32"/>
          <w:u w:val="none"/>
          <w:lang w:eastAsia="zh-CN"/>
        </w:rPr>
        <w:t>202</w:t>
      </w:r>
      <w:r>
        <w:rPr>
          <w:rFonts w:hint="eastAsia" w:ascii="仿宋_GB2312" w:hAnsi="仿宋_GB2312" w:cs="仿宋_GB2312"/>
          <w:szCs w:val="32"/>
          <w:u w:val="none"/>
          <w:lang w:val="en-US" w:eastAsia="zh-CN"/>
        </w:rPr>
        <w:t>3</w:t>
      </w:r>
      <w:r>
        <w:rPr>
          <w:rFonts w:hint="eastAsia" w:ascii="仿宋_GB2312" w:hAnsi="仿宋_GB2312" w:eastAsia="仿宋_GB2312" w:cs="仿宋_GB2312"/>
          <w:szCs w:val="32"/>
          <w:u w:val="none"/>
        </w:rPr>
        <w:t>年预算增加</w:t>
      </w:r>
      <w:r>
        <w:rPr>
          <w:rFonts w:hint="eastAsia" w:ascii="仿宋_GB2312" w:hAnsi="仿宋_GB2312" w:cs="仿宋_GB2312"/>
          <w:szCs w:val="32"/>
          <w:u w:val="none"/>
          <w:lang w:val="en-US" w:eastAsia="zh-CN"/>
        </w:rPr>
        <w:t>17.82</w:t>
      </w:r>
      <w:r>
        <w:rPr>
          <w:rFonts w:hint="eastAsia" w:ascii="仿宋_GB2312" w:hAnsi="仿宋_GB2312" w:eastAsia="仿宋_GB2312" w:cs="仿宋_GB2312"/>
          <w:szCs w:val="32"/>
          <w:u w:val="none"/>
        </w:rPr>
        <w:t>万元，增长</w:t>
      </w:r>
      <w:r>
        <w:rPr>
          <w:rFonts w:hint="eastAsia" w:ascii="仿宋_GB2312" w:hAnsi="仿宋_GB2312" w:cs="仿宋_GB2312"/>
          <w:szCs w:val="32"/>
          <w:u w:val="none"/>
          <w:lang w:val="en-US" w:eastAsia="zh-CN"/>
        </w:rPr>
        <w:t>67.5</w:t>
      </w:r>
      <w:r>
        <w:rPr>
          <w:rFonts w:hint="eastAsia" w:ascii="仿宋_GB2312" w:hAnsi="仿宋_GB2312" w:eastAsia="仿宋_GB2312" w:cs="仿宋_GB2312"/>
          <w:szCs w:val="32"/>
          <w:u w:val="none"/>
        </w:rPr>
        <w:t>%，主要原因是</w:t>
      </w:r>
      <w:r>
        <w:rPr>
          <w:rFonts w:hint="eastAsia" w:ascii="仿宋_GB2312" w:hAnsi="仿宋_GB2312" w:cs="仿宋_GB2312"/>
          <w:szCs w:val="32"/>
          <w:u w:val="none"/>
          <w:lang w:val="en-US" w:eastAsia="zh-CN"/>
        </w:rPr>
        <w:t>2024年人员增加，机关运行经费增加</w:t>
      </w:r>
      <w:r>
        <w:rPr>
          <w:rFonts w:hint="eastAsia" w:ascii="仿宋_GB2312" w:hAnsi="仿宋_GB2312" w:eastAsia="仿宋_GB2312" w:cs="仿宋_GB2312"/>
          <w:szCs w:val="32"/>
          <w:u w:val="none"/>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lang w:eastAsia="zh-CN"/>
        </w:rPr>
      </w:pPr>
      <w:r>
        <w:rPr>
          <w:rFonts w:hint="eastAsia" w:ascii="仿宋_GB2312" w:hAnsi="仿宋_GB2312" w:cs="仿宋_GB2312"/>
          <w:szCs w:val="32"/>
          <w:lang w:eastAsia="zh-CN"/>
        </w:rPr>
        <w:t>本部门无政府采购。</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截至</w:t>
      </w:r>
      <w:r>
        <w:rPr>
          <w:rFonts w:hint="eastAsia" w:ascii="仿宋_GB2312" w:hAnsi="仿宋_GB2312" w:cs="仿宋_GB2312"/>
          <w:szCs w:val="32"/>
          <w:u w:val="none"/>
          <w:lang w:eastAsia="zh-CN"/>
        </w:rPr>
        <w:t>202</w:t>
      </w:r>
      <w:r>
        <w:rPr>
          <w:rFonts w:hint="eastAsia" w:ascii="仿宋_GB2312" w:hAnsi="仿宋_GB2312" w:cs="仿宋_GB2312"/>
          <w:szCs w:val="32"/>
          <w:u w:val="none"/>
          <w:lang w:val="en-US" w:eastAsia="zh-CN"/>
        </w:rPr>
        <w:t>3</w:t>
      </w:r>
      <w:r>
        <w:rPr>
          <w:rFonts w:hint="eastAsia" w:ascii="仿宋_GB2312" w:hAnsi="仿宋_GB2312" w:eastAsia="仿宋_GB2312" w:cs="仿宋_GB2312"/>
          <w:szCs w:val="32"/>
          <w:u w:val="none"/>
        </w:rPr>
        <w:t>年</w:t>
      </w:r>
      <w:r>
        <w:rPr>
          <w:rFonts w:hint="eastAsia" w:ascii="仿宋_GB2312" w:hAnsi="仿宋_GB2312" w:cs="仿宋_GB2312"/>
          <w:szCs w:val="32"/>
          <w:u w:val="none"/>
          <w:lang w:val="en-US" w:eastAsia="zh-CN"/>
        </w:rPr>
        <w:t>12</w:t>
      </w:r>
      <w:r>
        <w:rPr>
          <w:rFonts w:hint="eastAsia" w:ascii="仿宋_GB2312" w:hAnsi="仿宋_GB2312" w:eastAsia="仿宋_GB2312" w:cs="仿宋_GB2312"/>
          <w:szCs w:val="32"/>
          <w:u w:val="none"/>
        </w:rPr>
        <w:t>月底，部门本级和所属各预算单位共有车辆</w:t>
      </w:r>
      <w:r>
        <w:rPr>
          <w:rFonts w:hint="eastAsia" w:ascii="仿宋_GB2312" w:hAnsi="仿宋_GB2312" w:cs="仿宋_GB2312"/>
          <w:szCs w:val="32"/>
          <w:u w:val="none"/>
          <w:lang w:val="en-US" w:eastAsia="zh-CN"/>
        </w:rPr>
        <w:t>2</w:t>
      </w:r>
      <w:r>
        <w:rPr>
          <w:rFonts w:hint="eastAsia" w:ascii="仿宋_GB2312" w:hAnsi="仿宋_GB2312" w:eastAsia="仿宋_GB2312" w:cs="仿宋_GB2312"/>
          <w:szCs w:val="32"/>
          <w:u w:val="none"/>
        </w:rPr>
        <w:t>辆，土地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平方米，房屋</w:t>
      </w:r>
      <w:r>
        <w:rPr>
          <w:rFonts w:hint="eastAsia" w:ascii="仿宋_GB2312" w:hAnsi="仿宋_GB2312" w:cs="仿宋_GB2312"/>
          <w:szCs w:val="32"/>
          <w:u w:val="none"/>
          <w:lang w:val="en-US" w:eastAsia="zh-CN"/>
        </w:rPr>
        <w:t>1100</w:t>
      </w:r>
      <w:r>
        <w:rPr>
          <w:rFonts w:hint="eastAsia" w:ascii="仿宋_GB2312" w:hAnsi="仿宋_GB2312" w:eastAsia="仿宋_GB2312" w:cs="仿宋_GB2312"/>
          <w:szCs w:val="32"/>
          <w:u w:val="none"/>
        </w:rPr>
        <w:t>平方米，单价5</w:t>
      </w:r>
      <w:r>
        <w:rPr>
          <w:rFonts w:hint="eastAsia" w:ascii="仿宋_GB2312" w:hAnsi="仿宋_GB2312" w:cs="仿宋_GB2312"/>
          <w:szCs w:val="32"/>
          <w:u w:val="none"/>
          <w:lang w:eastAsia="zh-CN"/>
        </w:rPr>
        <w:t>0</w:t>
      </w:r>
      <w:r>
        <w:rPr>
          <w:rFonts w:hint="eastAsia" w:ascii="仿宋_GB2312" w:hAnsi="仿宋_GB2312" w:eastAsia="仿宋_GB2312" w:cs="仿宋_GB2312"/>
          <w:szCs w:val="32"/>
          <w:u w:val="none"/>
        </w:rPr>
        <w:t>万元及以上的通用设备</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台/套，单价1</w:t>
      </w:r>
      <w:r>
        <w:rPr>
          <w:rFonts w:hint="eastAsia" w:ascii="仿宋_GB2312" w:hAnsi="仿宋_GB2312" w:cs="仿宋_GB2312"/>
          <w:szCs w:val="32"/>
          <w:u w:val="none"/>
          <w:lang w:eastAsia="zh-CN"/>
        </w:rPr>
        <w:t>00</w:t>
      </w:r>
      <w:r>
        <w:rPr>
          <w:rFonts w:hint="eastAsia" w:ascii="仿宋_GB2312" w:hAnsi="仿宋_GB2312" w:eastAsia="仿宋_GB2312" w:cs="仿宋_GB2312"/>
          <w:szCs w:val="32"/>
          <w:u w:val="none"/>
        </w:rPr>
        <w:t>万元及以上的专用设备实有数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u w:val="none"/>
        </w:rPr>
      </w:pPr>
      <w:r>
        <w:rPr>
          <w:rFonts w:hint="eastAsia" w:ascii="仿宋_GB2312" w:hAnsi="仿宋_GB2312" w:cs="仿宋_GB2312"/>
          <w:highlight w:val="none"/>
          <w:u w:val="none"/>
          <w:lang w:eastAsia="zh-CN"/>
        </w:rPr>
        <w:t>2024</w:t>
      </w:r>
      <w:r>
        <w:rPr>
          <w:rFonts w:hint="eastAsia" w:ascii="仿宋_GB2312" w:hAnsi="仿宋_GB2312" w:eastAsia="仿宋_GB2312" w:cs="仿宋_GB2312"/>
          <w:highlight w:val="none"/>
          <w:u w:val="none"/>
        </w:rPr>
        <w:t>年部门项目支出</w:t>
      </w:r>
      <w:r>
        <w:rPr>
          <w:rFonts w:hint="eastAsia" w:ascii="仿宋_GB2312" w:hAnsi="仿宋_GB2312" w:cs="仿宋_GB2312"/>
          <w:szCs w:val="32"/>
          <w:highlight w:val="none"/>
          <w:u w:val="none"/>
          <w:lang w:val="en-US" w:eastAsia="zh-CN"/>
        </w:rPr>
        <w:t>169.3</w:t>
      </w:r>
      <w:r>
        <w:rPr>
          <w:rFonts w:hint="eastAsia" w:ascii="仿宋_GB2312" w:hAnsi="仿宋_GB2312" w:eastAsia="仿宋_GB2312" w:cs="仿宋_GB2312"/>
          <w:szCs w:val="32"/>
          <w:highlight w:val="none"/>
          <w:u w:val="none"/>
        </w:rPr>
        <w:t>万元，其中：一级项目</w:t>
      </w:r>
      <w:r>
        <w:rPr>
          <w:rFonts w:hint="eastAsia" w:ascii="仿宋_GB2312" w:hAnsi="仿宋_GB2312" w:cs="仿宋_GB2312"/>
          <w:szCs w:val="32"/>
          <w:highlight w:val="none"/>
          <w:u w:val="none"/>
          <w:lang w:val="en-US" w:eastAsia="zh-CN"/>
        </w:rPr>
        <w:t>5</w:t>
      </w:r>
      <w:r>
        <w:rPr>
          <w:rFonts w:hint="eastAsia" w:ascii="仿宋_GB2312" w:hAnsi="仿宋_GB2312" w:eastAsia="仿宋_GB2312" w:cs="仿宋_GB2312"/>
          <w:szCs w:val="32"/>
          <w:highlight w:val="none"/>
          <w:u w:val="none"/>
        </w:rPr>
        <w:t>个，</w:t>
      </w:r>
      <w:r>
        <w:rPr>
          <w:rFonts w:hint="eastAsia" w:ascii="仿宋_GB2312" w:hAnsi="仿宋_GB2312" w:cs="仿宋_GB2312"/>
          <w:szCs w:val="32"/>
          <w:highlight w:val="none"/>
          <w:u w:val="none"/>
          <w:lang w:val="en-US" w:eastAsia="zh-CN"/>
        </w:rPr>
        <w:t>5</w:t>
      </w:r>
      <w:r>
        <w:rPr>
          <w:rFonts w:hint="eastAsia" w:ascii="仿宋_GB2312" w:hAnsi="仿宋_GB2312" w:eastAsia="仿宋_GB2312" w:cs="仿宋_GB2312"/>
          <w:szCs w:val="32"/>
          <w:highlight w:val="none"/>
          <w:u w:val="none"/>
        </w:rPr>
        <w:t>使用本年拨款</w:t>
      </w:r>
      <w:r>
        <w:rPr>
          <w:rFonts w:hint="eastAsia" w:ascii="仿宋_GB2312" w:hAnsi="仿宋_GB2312" w:cs="仿宋_GB2312"/>
          <w:szCs w:val="32"/>
          <w:highlight w:val="none"/>
          <w:u w:val="none"/>
          <w:lang w:val="en-US" w:eastAsia="zh-CN"/>
        </w:rPr>
        <w:t>169.3</w:t>
      </w:r>
      <w:r>
        <w:rPr>
          <w:rFonts w:hint="eastAsia" w:ascii="仿宋_GB2312" w:hAnsi="仿宋_GB2312" w:eastAsia="仿宋_GB2312" w:cs="仿宋_GB2312"/>
          <w:szCs w:val="32"/>
          <w:highlight w:val="none"/>
          <w:u w:val="none"/>
        </w:rPr>
        <w:t>万元，财政拨款结转</w:t>
      </w:r>
      <w:r>
        <w:rPr>
          <w:rFonts w:hint="eastAsia" w:ascii="仿宋_GB2312" w:hAnsi="仿宋_GB2312" w:cs="仿宋_GB2312"/>
          <w:szCs w:val="32"/>
          <w:highlight w:val="none"/>
          <w:u w:val="none"/>
          <w:lang w:val="en-US" w:eastAsia="zh-CN"/>
        </w:rPr>
        <w:t>0</w:t>
      </w:r>
      <w:r>
        <w:rPr>
          <w:rFonts w:hint="eastAsia" w:ascii="仿宋_GB2312" w:hAnsi="仿宋_GB2312" w:eastAsia="仿宋_GB2312" w:cs="仿宋_GB2312"/>
          <w:szCs w:val="32"/>
          <w:highlight w:val="none"/>
          <w:u w:val="none"/>
        </w:rPr>
        <w:t>万元。</w:t>
      </w:r>
    </w:p>
    <w:p>
      <w:pPr>
        <w:spacing w:line="540" w:lineRule="exact"/>
        <w:ind w:firstLine="640" w:firstLineChars="200"/>
        <w:rPr>
          <w:rFonts w:eastAsia="楷体"/>
          <w:szCs w:val="32"/>
          <w:u w:val="none"/>
        </w:rPr>
      </w:pPr>
      <w:r>
        <w:rPr>
          <w:rFonts w:hint="eastAsia" w:eastAsia="楷体"/>
          <w:szCs w:val="32"/>
          <w:u w:val="none"/>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u w:val="none"/>
        </w:rPr>
        <w:t>按照全面实施预算绩效管理的要求，结合本部门职能和重点工作，</w:t>
      </w:r>
      <w:r>
        <w:rPr>
          <w:rFonts w:hint="eastAsia" w:ascii="仿宋_GB2312" w:hAnsi="仿宋_GB2312" w:cs="仿宋_GB2312"/>
          <w:u w:val="none"/>
          <w:lang w:eastAsia="zh-CN"/>
        </w:rPr>
        <w:t>2024</w:t>
      </w:r>
      <w:r>
        <w:rPr>
          <w:rFonts w:hint="eastAsia" w:ascii="仿宋_GB2312" w:hAnsi="仿宋_GB2312" w:eastAsia="仿宋_GB2312" w:cs="仿宋_GB2312"/>
          <w:u w:val="none"/>
        </w:rPr>
        <w:t>年确定</w:t>
      </w:r>
      <w:r>
        <w:rPr>
          <w:rFonts w:hint="eastAsia" w:ascii="仿宋_GB2312" w:hAnsi="仿宋_GB2312" w:cs="仿宋_GB2312"/>
          <w:szCs w:val="32"/>
          <w:u w:val="none"/>
          <w:lang w:val="en-US" w:eastAsia="zh-CN"/>
        </w:rPr>
        <w:t>5</w:t>
      </w:r>
      <w:r>
        <w:rPr>
          <w:rFonts w:hint="eastAsia" w:ascii="仿宋_GB2312" w:hAnsi="仿宋_GB2312" w:eastAsia="仿宋_GB2312" w:cs="仿宋_GB2312"/>
          <w:u w:val="none"/>
        </w:rPr>
        <w:t>个</w:t>
      </w:r>
      <w:r>
        <w:rPr>
          <w:rFonts w:hint="eastAsia" w:ascii="仿宋_GB2312" w:hAnsi="仿宋_GB2312" w:cs="仿宋_GB2312"/>
          <w:u w:val="none"/>
          <w:lang w:eastAsia="zh-CN"/>
        </w:rPr>
        <w:t>一</w:t>
      </w:r>
      <w:r>
        <w:rPr>
          <w:rFonts w:hint="eastAsia" w:ascii="仿宋_GB2312" w:hAnsi="仿宋_GB2312" w:eastAsia="仿宋_GB2312" w:cs="仿宋_GB2312"/>
          <w:u w:val="none"/>
        </w:rPr>
        <w:t>级项目支出的绩效目标和</w:t>
      </w:r>
      <w:r>
        <w:rPr>
          <w:rFonts w:hint="eastAsia" w:ascii="仿宋_GB2312" w:hAnsi="仿宋_GB2312" w:eastAsia="仿宋_GB2312" w:cs="仿宋_GB2312"/>
        </w:rPr>
        <w:t>指标向社会公开，涉及金额</w:t>
      </w:r>
      <w:r>
        <w:rPr>
          <w:rFonts w:hint="eastAsia" w:ascii="仿宋_GB2312" w:hAnsi="仿宋_GB2312" w:eastAsia="仿宋_GB2312" w:cs="仿宋_GB2312"/>
          <w:szCs w:val="32"/>
        </w:rPr>
        <w:t>_</w:t>
      </w:r>
      <w:r>
        <w:rPr>
          <w:rFonts w:hint="eastAsia" w:ascii="仿宋_GB2312" w:hAnsi="仿宋_GB2312" w:cs="仿宋_GB2312"/>
          <w:szCs w:val="32"/>
          <w:u w:val="single"/>
          <w:lang w:val="en-US" w:eastAsia="zh-CN"/>
        </w:rPr>
        <w:t>169.3</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宋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mYzVmYjJjYTQxMjc1YmE1MzUwNGVjMmUxMmRhYmQifQ=="/>
  </w:docVars>
  <w:rsids>
    <w:rsidRoot w:val="48674ED2"/>
    <w:rsid w:val="000A002F"/>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1E8605D"/>
    <w:rsid w:val="020E6D2C"/>
    <w:rsid w:val="031D7D4B"/>
    <w:rsid w:val="04022755"/>
    <w:rsid w:val="0486486A"/>
    <w:rsid w:val="04954460"/>
    <w:rsid w:val="04F026C1"/>
    <w:rsid w:val="04FA68C4"/>
    <w:rsid w:val="050D06DA"/>
    <w:rsid w:val="050F3BA7"/>
    <w:rsid w:val="05513E94"/>
    <w:rsid w:val="056F5A6D"/>
    <w:rsid w:val="057655B8"/>
    <w:rsid w:val="059B3770"/>
    <w:rsid w:val="061E1820"/>
    <w:rsid w:val="063949A0"/>
    <w:rsid w:val="06514A44"/>
    <w:rsid w:val="067960C1"/>
    <w:rsid w:val="06BD5BC7"/>
    <w:rsid w:val="07D21289"/>
    <w:rsid w:val="07F544B0"/>
    <w:rsid w:val="08E73603"/>
    <w:rsid w:val="09A0082A"/>
    <w:rsid w:val="09C80B6B"/>
    <w:rsid w:val="0A334D52"/>
    <w:rsid w:val="0ABA06FE"/>
    <w:rsid w:val="0B5F5ADA"/>
    <w:rsid w:val="0B710869"/>
    <w:rsid w:val="0C2A5C84"/>
    <w:rsid w:val="0DA001B0"/>
    <w:rsid w:val="0DA67C18"/>
    <w:rsid w:val="0DB6446C"/>
    <w:rsid w:val="0DEB170B"/>
    <w:rsid w:val="0E4C7841"/>
    <w:rsid w:val="0F3E0406"/>
    <w:rsid w:val="0F8B592F"/>
    <w:rsid w:val="0FD62F63"/>
    <w:rsid w:val="107728C7"/>
    <w:rsid w:val="10AE7F82"/>
    <w:rsid w:val="10C93B35"/>
    <w:rsid w:val="11177619"/>
    <w:rsid w:val="112605C8"/>
    <w:rsid w:val="12E711B7"/>
    <w:rsid w:val="12E84200"/>
    <w:rsid w:val="136D62BD"/>
    <w:rsid w:val="13F21722"/>
    <w:rsid w:val="14411961"/>
    <w:rsid w:val="1441443C"/>
    <w:rsid w:val="14C12787"/>
    <w:rsid w:val="15593E10"/>
    <w:rsid w:val="159F7E25"/>
    <w:rsid w:val="15F848D0"/>
    <w:rsid w:val="160E1FA5"/>
    <w:rsid w:val="160F2600"/>
    <w:rsid w:val="1767588B"/>
    <w:rsid w:val="17765BCA"/>
    <w:rsid w:val="179C7D5D"/>
    <w:rsid w:val="17A027D8"/>
    <w:rsid w:val="1A003428"/>
    <w:rsid w:val="1A817DF8"/>
    <w:rsid w:val="1ADC594E"/>
    <w:rsid w:val="1AEB5252"/>
    <w:rsid w:val="1C190882"/>
    <w:rsid w:val="1C852172"/>
    <w:rsid w:val="1CA40C0C"/>
    <w:rsid w:val="1CFF4A32"/>
    <w:rsid w:val="1D833200"/>
    <w:rsid w:val="1DF2223E"/>
    <w:rsid w:val="1E2D59A2"/>
    <w:rsid w:val="1E3A3FD0"/>
    <w:rsid w:val="1EB55C07"/>
    <w:rsid w:val="1F351A10"/>
    <w:rsid w:val="1FED47E9"/>
    <w:rsid w:val="206816AC"/>
    <w:rsid w:val="20F3093F"/>
    <w:rsid w:val="220E544A"/>
    <w:rsid w:val="22A4003E"/>
    <w:rsid w:val="23346A80"/>
    <w:rsid w:val="23963804"/>
    <w:rsid w:val="23984063"/>
    <w:rsid w:val="23CE11F0"/>
    <w:rsid w:val="23EC61F6"/>
    <w:rsid w:val="23FF75FB"/>
    <w:rsid w:val="244C543C"/>
    <w:rsid w:val="24624768"/>
    <w:rsid w:val="252955F8"/>
    <w:rsid w:val="2539376C"/>
    <w:rsid w:val="254C6FAD"/>
    <w:rsid w:val="259B5BC5"/>
    <w:rsid w:val="25C7462E"/>
    <w:rsid w:val="25F62C4E"/>
    <w:rsid w:val="265718D7"/>
    <w:rsid w:val="26643D6C"/>
    <w:rsid w:val="26FE109D"/>
    <w:rsid w:val="27073E1E"/>
    <w:rsid w:val="27B04AB3"/>
    <w:rsid w:val="28A11116"/>
    <w:rsid w:val="28A63332"/>
    <w:rsid w:val="294D124D"/>
    <w:rsid w:val="29C45F24"/>
    <w:rsid w:val="2AB659D3"/>
    <w:rsid w:val="2C2E3173"/>
    <w:rsid w:val="2CDD392A"/>
    <w:rsid w:val="2D3C366E"/>
    <w:rsid w:val="2DC86CB0"/>
    <w:rsid w:val="2DF8796C"/>
    <w:rsid w:val="2E3B61D0"/>
    <w:rsid w:val="2EB22F18"/>
    <w:rsid w:val="2EE12108"/>
    <w:rsid w:val="2EED35E3"/>
    <w:rsid w:val="2F250383"/>
    <w:rsid w:val="2F63610B"/>
    <w:rsid w:val="300965A3"/>
    <w:rsid w:val="301714FA"/>
    <w:rsid w:val="30730D6E"/>
    <w:rsid w:val="30B91A70"/>
    <w:rsid w:val="30FF1D00"/>
    <w:rsid w:val="31063B6E"/>
    <w:rsid w:val="32A81790"/>
    <w:rsid w:val="32CF2C5D"/>
    <w:rsid w:val="335402B5"/>
    <w:rsid w:val="339466B2"/>
    <w:rsid w:val="344C61F0"/>
    <w:rsid w:val="34555AF5"/>
    <w:rsid w:val="34B853F7"/>
    <w:rsid w:val="35616772"/>
    <w:rsid w:val="35EA1663"/>
    <w:rsid w:val="364C598E"/>
    <w:rsid w:val="36CC2B0F"/>
    <w:rsid w:val="36FA25D0"/>
    <w:rsid w:val="371A614D"/>
    <w:rsid w:val="38147764"/>
    <w:rsid w:val="3838492F"/>
    <w:rsid w:val="387258D7"/>
    <w:rsid w:val="3887374F"/>
    <w:rsid w:val="38AF6637"/>
    <w:rsid w:val="39041A07"/>
    <w:rsid w:val="39043B77"/>
    <w:rsid w:val="393F0DCD"/>
    <w:rsid w:val="39670895"/>
    <w:rsid w:val="3A4818A4"/>
    <w:rsid w:val="3A657F9A"/>
    <w:rsid w:val="3A9113D4"/>
    <w:rsid w:val="3AC54F32"/>
    <w:rsid w:val="3B144A0A"/>
    <w:rsid w:val="3B1B2A0D"/>
    <w:rsid w:val="3B7C071F"/>
    <w:rsid w:val="3BC92948"/>
    <w:rsid w:val="3BE370D4"/>
    <w:rsid w:val="3C29381E"/>
    <w:rsid w:val="3C711E1D"/>
    <w:rsid w:val="3C7F463D"/>
    <w:rsid w:val="3CAE3960"/>
    <w:rsid w:val="3D365BF6"/>
    <w:rsid w:val="3DF23324"/>
    <w:rsid w:val="3DF520EC"/>
    <w:rsid w:val="3E247F32"/>
    <w:rsid w:val="3EA14040"/>
    <w:rsid w:val="3EE8108D"/>
    <w:rsid w:val="3F143839"/>
    <w:rsid w:val="405745EF"/>
    <w:rsid w:val="40B80EFF"/>
    <w:rsid w:val="41A35364"/>
    <w:rsid w:val="41C31686"/>
    <w:rsid w:val="42982B4E"/>
    <w:rsid w:val="431C1B20"/>
    <w:rsid w:val="436B1E42"/>
    <w:rsid w:val="43993170"/>
    <w:rsid w:val="43AD09C3"/>
    <w:rsid w:val="43AE2954"/>
    <w:rsid w:val="44054362"/>
    <w:rsid w:val="449C5E6A"/>
    <w:rsid w:val="45264590"/>
    <w:rsid w:val="456D114B"/>
    <w:rsid w:val="45800144"/>
    <w:rsid w:val="45B8631A"/>
    <w:rsid w:val="45EB670F"/>
    <w:rsid w:val="46AB7C0D"/>
    <w:rsid w:val="46D44808"/>
    <w:rsid w:val="47BE31A6"/>
    <w:rsid w:val="47CF49E6"/>
    <w:rsid w:val="4843587B"/>
    <w:rsid w:val="48674ED2"/>
    <w:rsid w:val="487708E6"/>
    <w:rsid w:val="49060F7A"/>
    <w:rsid w:val="49645F71"/>
    <w:rsid w:val="499F5C68"/>
    <w:rsid w:val="49F70BF1"/>
    <w:rsid w:val="4AF16062"/>
    <w:rsid w:val="4B481704"/>
    <w:rsid w:val="4B646DDD"/>
    <w:rsid w:val="4B7F44F8"/>
    <w:rsid w:val="4B8C2EEE"/>
    <w:rsid w:val="4BAC24C5"/>
    <w:rsid w:val="4BBA1E49"/>
    <w:rsid w:val="4BFA0656"/>
    <w:rsid w:val="4C5567C9"/>
    <w:rsid w:val="4D4914E6"/>
    <w:rsid w:val="4D730507"/>
    <w:rsid w:val="4D741DD3"/>
    <w:rsid w:val="4DB74F29"/>
    <w:rsid w:val="4DC93207"/>
    <w:rsid w:val="4E2A22FD"/>
    <w:rsid w:val="4E8D5761"/>
    <w:rsid w:val="4EE1672B"/>
    <w:rsid w:val="4EF54A85"/>
    <w:rsid w:val="4F6F75D9"/>
    <w:rsid w:val="501B3C66"/>
    <w:rsid w:val="504B40C5"/>
    <w:rsid w:val="50987DC2"/>
    <w:rsid w:val="50A4703E"/>
    <w:rsid w:val="5136104F"/>
    <w:rsid w:val="51474634"/>
    <w:rsid w:val="514E4FAD"/>
    <w:rsid w:val="51E55C99"/>
    <w:rsid w:val="52071113"/>
    <w:rsid w:val="52447C09"/>
    <w:rsid w:val="525A440D"/>
    <w:rsid w:val="52B400B2"/>
    <w:rsid w:val="531E7B67"/>
    <w:rsid w:val="54741940"/>
    <w:rsid w:val="54810E66"/>
    <w:rsid w:val="54C2556E"/>
    <w:rsid w:val="55480EEF"/>
    <w:rsid w:val="56570E30"/>
    <w:rsid w:val="57914F76"/>
    <w:rsid w:val="57AE5C26"/>
    <w:rsid w:val="57C47DAB"/>
    <w:rsid w:val="57DD75A9"/>
    <w:rsid w:val="57F24C6F"/>
    <w:rsid w:val="58256ABD"/>
    <w:rsid w:val="593C72DA"/>
    <w:rsid w:val="59472AC7"/>
    <w:rsid w:val="59BD150F"/>
    <w:rsid w:val="59DD570D"/>
    <w:rsid w:val="59FF5EDC"/>
    <w:rsid w:val="5A084708"/>
    <w:rsid w:val="5AB343F7"/>
    <w:rsid w:val="5ABF50F2"/>
    <w:rsid w:val="5AF76904"/>
    <w:rsid w:val="5B052E7A"/>
    <w:rsid w:val="5B1B0AFC"/>
    <w:rsid w:val="5B1E5FDD"/>
    <w:rsid w:val="5B3D7F7E"/>
    <w:rsid w:val="5B7C7777"/>
    <w:rsid w:val="5B9462A0"/>
    <w:rsid w:val="5BEC6771"/>
    <w:rsid w:val="5C773FD6"/>
    <w:rsid w:val="5CA506B9"/>
    <w:rsid w:val="5CC3526C"/>
    <w:rsid w:val="5CFD5FB2"/>
    <w:rsid w:val="5D2B52D8"/>
    <w:rsid w:val="5D5A7C63"/>
    <w:rsid w:val="5E256F6F"/>
    <w:rsid w:val="5F6235A9"/>
    <w:rsid w:val="614125C2"/>
    <w:rsid w:val="624C5C52"/>
    <w:rsid w:val="62E25B42"/>
    <w:rsid w:val="63952BB5"/>
    <w:rsid w:val="63DF08E4"/>
    <w:rsid w:val="640B10C9"/>
    <w:rsid w:val="64127E15"/>
    <w:rsid w:val="64C04AFD"/>
    <w:rsid w:val="64FB47E3"/>
    <w:rsid w:val="656A4029"/>
    <w:rsid w:val="661A7B69"/>
    <w:rsid w:val="66247C75"/>
    <w:rsid w:val="664909C1"/>
    <w:rsid w:val="66C63EB5"/>
    <w:rsid w:val="677772D0"/>
    <w:rsid w:val="679461D3"/>
    <w:rsid w:val="6858287E"/>
    <w:rsid w:val="69157114"/>
    <w:rsid w:val="691A443E"/>
    <w:rsid w:val="6A80735F"/>
    <w:rsid w:val="6ACC5E47"/>
    <w:rsid w:val="6AD43ED1"/>
    <w:rsid w:val="6B11024D"/>
    <w:rsid w:val="6B7D5B36"/>
    <w:rsid w:val="6B84213A"/>
    <w:rsid w:val="6BA50055"/>
    <w:rsid w:val="6BB57C05"/>
    <w:rsid w:val="6BDE6EFF"/>
    <w:rsid w:val="6CF120A8"/>
    <w:rsid w:val="6E0252EB"/>
    <w:rsid w:val="714213DD"/>
    <w:rsid w:val="717F272E"/>
    <w:rsid w:val="728027C6"/>
    <w:rsid w:val="728622BB"/>
    <w:rsid w:val="72D54D7C"/>
    <w:rsid w:val="737664E0"/>
    <w:rsid w:val="73F809A9"/>
    <w:rsid w:val="73FE7ACC"/>
    <w:rsid w:val="74053F35"/>
    <w:rsid w:val="74556746"/>
    <w:rsid w:val="74AB7A24"/>
    <w:rsid w:val="76BB79B1"/>
    <w:rsid w:val="76C17E06"/>
    <w:rsid w:val="76CA67BD"/>
    <w:rsid w:val="76F679B7"/>
    <w:rsid w:val="774E6400"/>
    <w:rsid w:val="775B0046"/>
    <w:rsid w:val="776966DB"/>
    <w:rsid w:val="77C624DF"/>
    <w:rsid w:val="78796248"/>
    <w:rsid w:val="79700BEF"/>
    <w:rsid w:val="798F7FAA"/>
    <w:rsid w:val="79F85634"/>
    <w:rsid w:val="7A090695"/>
    <w:rsid w:val="7AE175F4"/>
    <w:rsid w:val="7AE828CA"/>
    <w:rsid w:val="7AEF4E49"/>
    <w:rsid w:val="7B417685"/>
    <w:rsid w:val="7B5220F0"/>
    <w:rsid w:val="7BA169C0"/>
    <w:rsid w:val="7BE95D3C"/>
    <w:rsid w:val="7C013085"/>
    <w:rsid w:val="7CAD595B"/>
    <w:rsid w:val="7CF65D07"/>
    <w:rsid w:val="7D2975D1"/>
    <w:rsid w:val="7DCC0CD6"/>
    <w:rsid w:val="7E0646FB"/>
    <w:rsid w:val="7E272A6E"/>
    <w:rsid w:val="7E390CE8"/>
    <w:rsid w:val="7FBA1879"/>
    <w:rsid w:val="7FC5617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31</Pages>
  <Words>7681</Words>
  <Characters>10027</Characters>
  <Lines>71</Lines>
  <Paragraphs>20</Paragraphs>
  <TotalTime>1</TotalTime>
  <ScaleCrop>false</ScaleCrop>
  <LinksUpToDate>false</LinksUpToDate>
  <CharactersWithSpaces>10547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微信用户</cp:lastModifiedBy>
  <cp:lastPrinted>2024-01-29T07:31:00Z</cp:lastPrinted>
  <dcterms:modified xsi:type="dcterms:W3CDTF">2024-01-30T10:28:33Z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