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rPr>
        <w:t>通榆县政务服务局</w:t>
      </w:r>
      <w:r>
        <w:rPr>
          <w:rFonts w:hint="eastAsia" w:eastAsia="方正小标宋简体"/>
          <w:sz w:val="44"/>
          <w:szCs w:val="44"/>
          <w:u w:val="single"/>
          <w:lang w:eastAsia="zh-CN"/>
        </w:rPr>
        <w:t>（</w:t>
      </w:r>
      <w:r>
        <w:rPr>
          <w:rFonts w:hint="eastAsia" w:eastAsia="方正小标宋简体"/>
          <w:sz w:val="44"/>
          <w:szCs w:val="44"/>
          <w:u w:val="single"/>
          <w:lang w:val="en-US" w:eastAsia="zh-CN"/>
        </w:rPr>
        <w:t>汇总</w:t>
      </w:r>
      <w:r>
        <w:rPr>
          <w:rFonts w:hint="eastAsia" w:eastAsia="方正小标宋简体"/>
          <w:sz w:val="44"/>
          <w:szCs w:val="44"/>
          <w:u w:val="single"/>
          <w:lang w:eastAsia="zh-CN"/>
        </w:rPr>
        <w:t>）</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line="560" w:lineRule="exact"/>
        <w:ind w:firstLine="640" w:firstLineChars="200"/>
        <w:rPr>
          <w:rFonts w:hint="eastAsia" w:ascii="仿宋" w:hAnsi="仿宋" w:eastAsia="仿宋"/>
          <w:szCs w:val="32"/>
        </w:rPr>
      </w:pPr>
      <w:r>
        <w:rPr>
          <w:rFonts w:hint="eastAsia" w:ascii="仿宋" w:hAnsi="仿宋" w:eastAsia="仿宋"/>
          <w:szCs w:val="32"/>
        </w:rPr>
        <w:t>（一）</w:t>
      </w:r>
      <w:r>
        <w:rPr>
          <w:rFonts w:ascii="仿宋" w:hAnsi="仿宋" w:eastAsia="仿宋"/>
          <w:szCs w:val="32"/>
        </w:rPr>
        <w:t>负责全</w:t>
      </w:r>
      <w:r>
        <w:rPr>
          <w:rFonts w:hint="eastAsia" w:ascii="仿宋" w:hAnsi="仿宋" w:eastAsia="仿宋"/>
          <w:szCs w:val="32"/>
        </w:rPr>
        <w:t>县</w:t>
      </w:r>
      <w:r>
        <w:rPr>
          <w:rFonts w:ascii="仿宋" w:hAnsi="仿宋" w:eastAsia="仿宋"/>
          <w:szCs w:val="32"/>
        </w:rPr>
        <w:t>政务服务</w:t>
      </w:r>
      <w:r>
        <w:rPr>
          <w:rFonts w:hint="eastAsia" w:ascii="仿宋" w:hAnsi="仿宋" w:eastAsia="仿宋"/>
          <w:szCs w:val="32"/>
        </w:rPr>
        <w:t>和数字化建设管理</w:t>
      </w:r>
      <w:r>
        <w:rPr>
          <w:rFonts w:ascii="仿宋" w:hAnsi="仿宋" w:eastAsia="仿宋"/>
          <w:szCs w:val="32"/>
        </w:rPr>
        <w:t>工作。贯彻执行国家</w:t>
      </w:r>
      <w:r>
        <w:rPr>
          <w:rFonts w:hint="eastAsia" w:ascii="仿宋" w:hAnsi="仿宋" w:eastAsia="仿宋"/>
          <w:szCs w:val="32"/>
        </w:rPr>
        <w:t>和省、市</w:t>
      </w:r>
      <w:r>
        <w:rPr>
          <w:rFonts w:ascii="仿宋" w:hAnsi="仿宋" w:eastAsia="仿宋"/>
          <w:szCs w:val="32"/>
        </w:rPr>
        <w:t>关于政务服务</w:t>
      </w:r>
      <w:r>
        <w:rPr>
          <w:rFonts w:hint="eastAsia" w:ascii="仿宋" w:hAnsi="仿宋" w:eastAsia="仿宋"/>
          <w:szCs w:val="32"/>
        </w:rPr>
        <w:t>和</w:t>
      </w:r>
      <w:r>
        <w:rPr>
          <w:rFonts w:ascii="仿宋" w:hAnsi="仿宋" w:eastAsia="仿宋"/>
          <w:szCs w:val="32"/>
        </w:rPr>
        <w:t>数字化建设管理</w:t>
      </w:r>
      <w:r>
        <w:rPr>
          <w:rFonts w:hint="eastAsia" w:ascii="仿宋" w:hAnsi="仿宋" w:eastAsia="仿宋"/>
          <w:szCs w:val="32"/>
        </w:rPr>
        <w:t>的</w:t>
      </w:r>
      <w:r>
        <w:rPr>
          <w:rFonts w:ascii="仿宋" w:hAnsi="仿宋" w:eastAsia="仿宋"/>
          <w:szCs w:val="32"/>
        </w:rPr>
        <w:t>方针、政策和法律、法规、规章</w:t>
      </w:r>
      <w:r>
        <w:rPr>
          <w:rFonts w:hint="eastAsia" w:ascii="仿宋" w:hAnsi="仿宋" w:eastAsia="仿宋"/>
          <w:szCs w:val="32"/>
        </w:rPr>
        <w:t>，健全和完善全县政务服务和数字化建设与管理。根据相关行业技术规范和标准组织实施。</w:t>
      </w:r>
    </w:p>
    <w:p>
      <w:pPr>
        <w:spacing w:line="560" w:lineRule="exact"/>
        <w:ind w:firstLine="640" w:firstLineChars="200"/>
        <w:rPr>
          <w:rFonts w:hint="eastAsia" w:ascii="仿宋" w:hAnsi="仿宋" w:eastAsia="仿宋"/>
          <w:szCs w:val="32"/>
        </w:rPr>
      </w:pPr>
      <w:r>
        <w:rPr>
          <w:rFonts w:hint="eastAsia" w:ascii="仿宋" w:hAnsi="仿宋" w:eastAsia="仿宋"/>
          <w:szCs w:val="32"/>
        </w:rPr>
        <w:t>（二）</w:t>
      </w:r>
      <w:r>
        <w:rPr>
          <w:rFonts w:ascii="仿宋" w:hAnsi="仿宋" w:eastAsia="仿宋"/>
          <w:szCs w:val="32"/>
        </w:rPr>
        <w:t>负责</w:t>
      </w:r>
      <w:r>
        <w:rPr>
          <w:rFonts w:hint="eastAsia" w:ascii="仿宋" w:hAnsi="仿宋" w:eastAsia="仿宋"/>
          <w:szCs w:val="32"/>
        </w:rPr>
        <w:t>县</w:t>
      </w:r>
      <w:r>
        <w:rPr>
          <w:rFonts w:ascii="仿宋" w:hAnsi="仿宋" w:eastAsia="仿宋"/>
          <w:szCs w:val="32"/>
        </w:rPr>
        <w:t>级行政审批事项集中受理办理及公共资源交易监督管理工作</w:t>
      </w:r>
      <w:r>
        <w:rPr>
          <w:rFonts w:hint="eastAsia" w:ascii="仿宋" w:hAnsi="仿宋" w:eastAsia="仿宋"/>
          <w:szCs w:val="32"/>
        </w:rPr>
        <w:t>，</w:t>
      </w:r>
      <w:r>
        <w:rPr>
          <w:rFonts w:ascii="仿宋" w:hAnsi="仿宋" w:eastAsia="仿宋"/>
          <w:szCs w:val="32"/>
        </w:rPr>
        <w:t>负责进入</w:t>
      </w:r>
      <w:r>
        <w:rPr>
          <w:rFonts w:hint="eastAsia" w:ascii="仿宋" w:hAnsi="仿宋" w:eastAsia="仿宋"/>
          <w:szCs w:val="32"/>
        </w:rPr>
        <w:t>县</w:t>
      </w:r>
      <w:r>
        <w:rPr>
          <w:rFonts w:ascii="仿宋" w:hAnsi="仿宋" w:eastAsia="仿宋"/>
          <w:szCs w:val="32"/>
        </w:rPr>
        <w:t>政务大厅的行政审批和建设项目、政府</w:t>
      </w:r>
      <w:r>
        <w:rPr>
          <w:rFonts w:hint="eastAsia" w:ascii="仿宋" w:hAnsi="仿宋" w:eastAsia="仿宋"/>
          <w:szCs w:val="32"/>
        </w:rPr>
        <w:t>采</w:t>
      </w:r>
      <w:r>
        <w:rPr>
          <w:rFonts w:ascii="仿宋" w:hAnsi="仿宋" w:eastAsia="仿宋"/>
          <w:szCs w:val="32"/>
        </w:rPr>
        <w:t>购招投标等业务的管理、协调和监督。</w:t>
      </w:r>
    </w:p>
    <w:p>
      <w:pPr>
        <w:spacing w:line="560" w:lineRule="exact"/>
        <w:ind w:firstLine="640" w:firstLineChars="200"/>
        <w:rPr>
          <w:rFonts w:hint="eastAsia" w:ascii="仿宋" w:hAnsi="仿宋" w:eastAsia="仿宋"/>
          <w:szCs w:val="32"/>
        </w:rPr>
      </w:pPr>
      <w:r>
        <w:rPr>
          <w:rFonts w:hint="eastAsia" w:ascii="仿宋" w:hAnsi="仿宋" w:eastAsia="仿宋"/>
          <w:szCs w:val="32"/>
        </w:rPr>
        <w:t>（三）</w:t>
      </w:r>
      <w:r>
        <w:rPr>
          <w:rFonts w:ascii="仿宋" w:hAnsi="仿宋" w:eastAsia="仿宋"/>
          <w:szCs w:val="32"/>
        </w:rPr>
        <w:t>负责统筹推进全</w:t>
      </w:r>
      <w:r>
        <w:rPr>
          <w:rFonts w:hint="eastAsia" w:ascii="仿宋" w:hAnsi="仿宋" w:eastAsia="仿宋"/>
          <w:szCs w:val="32"/>
        </w:rPr>
        <w:t>县</w:t>
      </w:r>
      <w:r>
        <w:rPr>
          <w:rFonts w:ascii="仿宋" w:hAnsi="仿宋" w:eastAsia="仿宋"/>
          <w:szCs w:val="32"/>
        </w:rPr>
        <w:t>数字化发展工作。研究拟订全</w:t>
      </w:r>
      <w:r>
        <w:rPr>
          <w:rFonts w:hint="eastAsia" w:ascii="仿宋" w:hAnsi="仿宋" w:eastAsia="仿宋"/>
          <w:szCs w:val="32"/>
        </w:rPr>
        <w:t>县</w:t>
      </w:r>
      <w:r>
        <w:rPr>
          <w:rFonts w:ascii="仿宋" w:hAnsi="仿宋" w:eastAsia="仿宋"/>
          <w:szCs w:val="32"/>
        </w:rPr>
        <w:t>数字化建设、信息基础设施建设、大数据应用和产业发展战略、发展规划、政策措施和评价体系并组织实施。统筹推进“数字</w:t>
      </w:r>
      <w:r>
        <w:rPr>
          <w:rFonts w:hint="eastAsia" w:ascii="仿宋" w:hAnsi="仿宋" w:eastAsia="仿宋"/>
          <w:szCs w:val="32"/>
        </w:rPr>
        <w:t>政府</w:t>
      </w:r>
      <w:r>
        <w:rPr>
          <w:rFonts w:ascii="仿宋" w:hAnsi="仿宋" w:eastAsia="仿宋"/>
          <w:szCs w:val="32"/>
        </w:rPr>
        <w:t>”建设</w:t>
      </w:r>
      <w:r>
        <w:rPr>
          <w:rFonts w:hint="eastAsia" w:ascii="仿宋" w:hAnsi="仿宋" w:eastAsia="仿宋"/>
          <w:szCs w:val="32"/>
        </w:rPr>
        <w:t>和智慧城市建设的相关工作</w:t>
      </w:r>
      <w:r>
        <w:rPr>
          <w:rFonts w:ascii="仿宋" w:hAnsi="仿宋" w:eastAsia="仿宋"/>
          <w:szCs w:val="32"/>
        </w:rPr>
        <w:t>。统筹协调通信业发展,协调信息化建设中的重大问题。负责信息化应急协调工作</w:t>
      </w:r>
      <w:r>
        <w:rPr>
          <w:rFonts w:hint="eastAsia" w:ascii="仿宋" w:hAnsi="仿宋" w:eastAsia="仿宋"/>
          <w:szCs w:val="32"/>
        </w:rPr>
        <w:t>。</w:t>
      </w:r>
    </w:p>
    <w:p>
      <w:pPr>
        <w:spacing w:line="560" w:lineRule="exact"/>
        <w:ind w:firstLine="640" w:firstLineChars="200"/>
        <w:rPr>
          <w:rFonts w:hint="eastAsia" w:ascii="仿宋" w:hAnsi="仿宋" w:eastAsia="仿宋"/>
          <w:szCs w:val="32"/>
        </w:rPr>
      </w:pPr>
      <w:r>
        <w:rPr>
          <w:rFonts w:hint="eastAsia" w:ascii="仿宋" w:hAnsi="仿宋" w:eastAsia="仿宋"/>
          <w:szCs w:val="32"/>
        </w:rPr>
        <w:t>（四）</w:t>
      </w:r>
      <w:r>
        <w:rPr>
          <w:rFonts w:ascii="仿宋" w:hAnsi="仿宋" w:eastAsia="仿宋"/>
          <w:szCs w:val="32"/>
        </w:rPr>
        <w:t>负责统筹大数据资源建设、管理</w:t>
      </w:r>
      <w:r>
        <w:rPr>
          <w:rFonts w:hint="eastAsia" w:ascii="仿宋" w:hAnsi="仿宋" w:eastAsia="仿宋"/>
          <w:szCs w:val="32"/>
        </w:rPr>
        <w:t>，</w:t>
      </w:r>
      <w:r>
        <w:rPr>
          <w:rFonts w:ascii="仿宋" w:hAnsi="仿宋" w:eastAsia="仿宋"/>
          <w:szCs w:val="32"/>
        </w:rPr>
        <w:t>促进大数据政用、商用、民用</w:t>
      </w:r>
      <w:r>
        <w:rPr>
          <w:rFonts w:hint="eastAsia" w:ascii="仿宋" w:hAnsi="仿宋" w:eastAsia="仿宋"/>
          <w:szCs w:val="32"/>
        </w:rPr>
        <w:t>；</w:t>
      </w:r>
      <w:r>
        <w:rPr>
          <w:rFonts w:ascii="仿宋" w:hAnsi="仿宋" w:eastAsia="仿宋"/>
          <w:szCs w:val="32"/>
        </w:rPr>
        <w:t>组织协调数据资源归集整合、共享开放</w:t>
      </w:r>
      <w:r>
        <w:rPr>
          <w:rFonts w:hint="eastAsia" w:ascii="仿宋" w:hAnsi="仿宋" w:eastAsia="仿宋"/>
          <w:szCs w:val="32"/>
        </w:rPr>
        <w:t>；</w:t>
      </w:r>
      <w:r>
        <w:rPr>
          <w:rFonts w:ascii="仿宋" w:hAnsi="仿宋" w:eastAsia="仿宋"/>
          <w:szCs w:val="32"/>
        </w:rPr>
        <w:t>推动社会数据汇聚融合、互联互通</w:t>
      </w:r>
      <w:r>
        <w:rPr>
          <w:rFonts w:hint="eastAsia" w:ascii="仿宋" w:hAnsi="仿宋" w:eastAsia="仿宋"/>
          <w:szCs w:val="32"/>
        </w:rPr>
        <w:t>；</w:t>
      </w:r>
      <w:r>
        <w:rPr>
          <w:rFonts w:ascii="仿宋" w:hAnsi="仿宋" w:eastAsia="仿宋"/>
          <w:szCs w:val="32"/>
        </w:rPr>
        <w:t>统筹推进大数据信息安全保障体系建设和安全保障工作</w:t>
      </w:r>
      <w:r>
        <w:rPr>
          <w:rFonts w:hint="eastAsia" w:ascii="仿宋" w:hAnsi="仿宋" w:eastAsia="仿宋"/>
          <w:szCs w:val="32"/>
        </w:rPr>
        <w:t>。</w:t>
      </w:r>
    </w:p>
    <w:p>
      <w:pPr>
        <w:spacing w:line="560" w:lineRule="exact"/>
        <w:ind w:firstLine="640" w:firstLineChars="200"/>
        <w:rPr>
          <w:rFonts w:hint="eastAsia" w:ascii="仿宋" w:hAnsi="仿宋" w:eastAsia="仿宋"/>
          <w:szCs w:val="32"/>
        </w:rPr>
      </w:pPr>
      <w:r>
        <w:rPr>
          <w:rFonts w:hint="eastAsia" w:ascii="仿宋" w:hAnsi="仿宋" w:eastAsia="仿宋"/>
          <w:szCs w:val="32"/>
        </w:rPr>
        <w:t>（五）</w:t>
      </w:r>
      <w:r>
        <w:rPr>
          <w:rFonts w:ascii="仿宋" w:hAnsi="仿宋" w:eastAsia="仿宋"/>
          <w:szCs w:val="32"/>
        </w:rPr>
        <w:t>负责全</w:t>
      </w:r>
      <w:r>
        <w:rPr>
          <w:rFonts w:hint="eastAsia" w:ascii="仿宋" w:hAnsi="仿宋" w:eastAsia="仿宋"/>
          <w:szCs w:val="32"/>
        </w:rPr>
        <w:t>县营商环境</w:t>
      </w:r>
      <w:r>
        <w:rPr>
          <w:rFonts w:ascii="仿宋" w:hAnsi="仿宋" w:eastAsia="仿宋"/>
          <w:szCs w:val="32"/>
        </w:rPr>
        <w:t>建设工作。研究提出全</w:t>
      </w:r>
      <w:r>
        <w:rPr>
          <w:rFonts w:hint="eastAsia" w:ascii="仿宋" w:hAnsi="仿宋" w:eastAsia="仿宋"/>
          <w:szCs w:val="32"/>
        </w:rPr>
        <w:t>县营商</w:t>
      </w:r>
      <w:r>
        <w:rPr>
          <w:rFonts w:ascii="仿宋" w:hAnsi="仿宋" w:eastAsia="仿宋"/>
          <w:szCs w:val="32"/>
        </w:rPr>
        <w:t>环境建设的措施办法,组织相关部门对重大案件进行直接查处,建立</w:t>
      </w:r>
      <w:r>
        <w:rPr>
          <w:rFonts w:hint="eastAsia" w:ascii="仿宋" w:hAnsi="仿宋" w:eastAsia="仿宋"/>
          <w:szCs w:val="32"/>
        </w:rPr>
        <w:t>营商</w:t>
      </w:r>
      <w:r>
        <w:rPr>
          <w:rFonts w:ascii="仿宋" w:hAnsi="仿宋" w:eastAsia="仿宋"/>
          <w:szCs w:val="32"/>
        </w:rPr>
        <w:t>环境目标责任制和责任追究制并组织实施。</w:t>
      </w:r>
      <w:r>
        <w:rPr>
          <w:rFonts w:hint="eastAsia" w:ascii="仿宋" w:hAnsi="仿宋" w:eastAsia="仿宋"/>
          <w:szCs w:val="32"/>
        </w:rPr>
        <w:t>指导、监督各部门营商环境建设工作。</w:t>
      </w:r>
      <w:r>
        <w:rPr>
          <w:rFonts w:ascii="仿宋" w:hAnsi="仿宋" w:eastAsia="仿宋"/>
          <w:szCs w:val="32"/>
        </w:rPr>
        <w:t>协调推动全</w:t>
      </w:r>
      <w:r>
        <w:rPr>
          <w:rFonts w:hint="eastAsia" w:ascii="仿宋" w:hAnsi="仿宋" w:eastAsia="仿宋"/>
          <w:szCs w:val="32"/>
        </w:rPr>
        <w:t>县</w:t>
      </w:r>
      <w:r>
        <w:rPr>
          <w:rFonts w:ascii="仿宋" w:hAnsi="仿宋" w:eastAsia="仿宋"/>
          <w:szCs w:val="32"/>
        </w:rPr>
        <w:t>社会信用体系建设工作</w:t>
      </w:r>
      <w:r>
        <w:rPr>
          <w:rFonts w:hint="eastAsia" w:ascii="仿宋" w:hAnsi="仿宋" w:eastAsia="仿宋"/>
          <w:szCs w:val="32"/>
        </w:rPr>
        <w:t>。</w:t>
      </w:r>
      <w:r>
        <w:rPr>
          <w:rFonts w:ascii="仿宋" w:hAnsi="仿宋" w:eastAsia="仿宋"/>
          <w:szCs w:val="32"/>
        </w:rPr>
        <w:t>承办</w:t>
      </w:r>
      <w:r>
        <w:rPr>
          <w:rFonts w:hint="eastAsia" w:ascii="仿宋" w:hAnsi="仿宋" w:eastAsia="仿宋"/>
          <w:szCs w:val="32"/>
        </w:rPr>
        <w:t>县营商</w:t>
      </w:r>
      <w:r>
        <w:rPr>
          <w:rFonts w:ascii="仿宋" w:hAnsi="仿宋" w:eastAsia="仿宋"/>
          <w:szCs w:val="32"/>
        </w:rPr>
        <w:t>环境建设领导小组交办的其他工作。</w:t>
      </w:r>
    </w:p>
    <w:p>
      <w:pPr>
        <w:spacing w:line="560" w:lineRule="exact"/>
        <w:ind w:firstLine="640" w:firstLineChars="200"/>
        <w:rPr>
          <w:rFonts w:hint="eastAsia" w:ascii="仿宋" w:hAnsi="仿宋" w:eastAsia="仿宋"/>
          <w:szCs w:val="32"/>
        </w:rPr>
      </w:pPr>
      <w:r>
        <w:rPr>
          <w:rFonts w:hint="eastAsia" w:ascii="仿宋" w:hAnsi="仿宋" w:eastAsia="仿宋"/>
          <w:szCs w:val="32"/>
        </w:rPr>
        <w:t>（六）</w:t>
      </w:r>
      <w:r>
        <w:rPr>
          <w:rFonts w:ascii="仿宋" w:hAnsi="仿宋" w:eastAsia="仿宋"/>
          <w:szCs w:val="32"/>
        </w:rPr>
        <w:t>承担</w:t>
      </w:r>
      <w:r>
        <w:rPr>
          <w:rFonts w:hint="eastAsia" w:ascii="仿宋" w:hAnsi="仿宋" w:eastAsia="仿宋"/>
          <w:szCs w:val="32"/>
        </w:rPr>
        <w:t>县</w:t>
      </w:r>
      <w:r>
        <w:rPr>
          <w:rFonts w:ascii="仿宋" w:hAnsi="仿宋" w:eastAsia="仿宋"/>
          <w:szCs w:val="32"/>
        </w:rPr>
        <w:t>行政审批制度改革领导小组办公室日常工作</w:t>
      </w:r>
      <w:r>
        <w:rPr>
          <w:rFonts w:hint="eastAsia" w:ascii="仿宋" w:hAnsi="仿宋" w:eastAsia="仿宋"/>
          <w:szCs w:val="32"/>
        </w:rPr>
        <w:t>。</w:t>
      </w:r>
    </w:p>
    <w:p>
      <w:pPr>
        <w:spacing w:line="560" w:lineRule="exact"/>
        <w:ind w:firstLine="640" w:firstLineChars="200"/>
        <w:rPr>
          <w:rFonts w:hint="eastAsia" w:ascii="仿宋" w:hAnsi="仿宋" w:eastAsia="仿宋"/>
          <w:szCs w:val="32"/>
        </w:rPr>
      </w:pPr>
      <w:r>
        <w:rPr>
          <w:rFonts w:hint="eastAsia" w:ascii="仿宋" w:hAnsi="仿宋" w:eastAsia="仿宋"/>
          <w:szCs w:val="32"/>
        </w:rPr>
        <w:t>（七）</w:t>
      </w:r>
      <w:r>
        <w:rPr>
          <w:rFonts w:ascii="仿宋" w:hAnsi="仿宋" w:eastAsia="仿宋"/>
          <w:szCs w:val="32"/>
        </w:rPr>
        <w:t>完成</w:t>
      </w:r>
      <w:r>
        <w:rPr>
          <w:rFonts w:hint="eastAsia" w:ascii="仿宋" w:hAnsi="仿宋" w:eastAsia="仿宋"/>
          <w:szCs w:val="32"/>
        </w:rPr>
        <w:t>县</w:t>
      </w:r>
      <w:r>
        <w:rPr>
          <w:rFonts w:ascii="仿宋" w:hAnsi="仿宋" w:eastAsia="仿宋"/>
          <w:szCs w:val="32"/>
        </w:rPr>
        <w:t>委、</w:t>
      </w:r>
      <w:r>
        <w:rPr>
          <w:rFonts w:hint="eastAsia" w:ascii="仿宋" w:hAnsi="仿宋" w:eastAsia="仿宋"/>
          <w:szCs w:val="32"/>
        </w:rPr>
        <w:t>县</w:t>
      </w:r>
      <w:r>
        <w:rPr>
          <w:rFonts w:ascii="仿宋" w:hAnsi="仿宋" w:eastAsia="仿宋"/>
          <w:szCs w:val="32"/>
        </w:rPr>
        <w:t>政府交办的其他任务。</w:t>
      </w:r>
    </w:p>
    <w:p>
      <w:pPr>
        <w:rPr>
          <w:rFonts w:hint="eastAsia" w:ascii="黑体" w:hAnsi="黑体" w:eastAsia="黑体"/>
        </w:rPr>
      </w:pPr>
      <w:r>
        <w:rPr>
          <w:rFonts w:hint="eastAsia" w:ascii="黑体" w:hAnsi="黑体" w:eastAsia="黑体"/>
        </w:rPr>
        <w:t xml:space="preserve">    二、机构设置及部门决算单位构成</w:t>
      </w:r>
    </w:p>
    <w:p>
      <w:pPr>
        <w:ind w:firstLine="600" w:firstLineChars="200"/>
        <w:rPr>
          <w:rFonts w:hint="eastAsia" w:ascii="仿宋" w:hAnsi="仿宋" w:eastAsia="仿宋"/>
        </w:rPr>
      </w:pPr>
      <w:r>
        <w:rPr>
          <w:rFonts w:hint="eastAsia" w:ascii="宋体" w:hAnsi="宋体" w:cs="宋体"/>
          <w:sz w:val="30"/>
          <w:szCs w:val="30"/>
        </w:rPr>
        <w:t>本单位为财政全额行政单位，独立核算机构数1个，独立编制机构数1个。</w:t>
      </w:r>
    </w:p>
    <w:p>
      <w:pPr>
        <w:pStyle w:val="51"/>
        <w:ind w:firstLine="600" w:firstLineChars="200"/>
        <w:rPr>
          <w:rFonts w:ascii="宋体" w:hAnsi="宋体" w:eastAsia="仿宋_GB2312" w:cs="宋体"/>
          <w:kern w:val="2"/>
          <w:sz w:val="30"/>
          <w:szCs w:val="30"/>
        </w:rPr>
      </w:pPr>
      <w:r>
        <w:rPr>
          <w:rFonts w:hint="eastAsia" w:ascii="宋体" w:hAnsi="宋体" w:eastAsia="仿宋_GB2312" w:cs="宋体"/>
          <w:kern w:val="2"/>
          <w:sz w:val="30"/>
          <w:szCs w:val="30"/>
        </w:rPr>
        <w:t>本单位下设综合科、营商环境科、数据共享指导科、行政审批管理科。</w:t>
      </w:r>
    </w:p>
    <w:p>
      <w:pPr>
        <w:pStyle w:val="51"/>
        <w:ind w:firstLine="640" w:firstLineChars="200"/>
        <w:rPr>
          <w:rFonts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1073"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628.55 </w:t>
            </w:r>
          </w:p>
        </w:tc>
        <w:tc>
          <w:tcPr>
            <w:tcW w:w="1182" w:type="dxa"/>
            <w:gridSpan w:val="2"/>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628.55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1073"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43.15 </w:t>
            </w:r>
          </w:p>
        </w:tc>
        <w:tc>
          <w:tcPr>
            <w:tcW w:w="1182" w:type="dxa"/>
            <w:gridSpan w:val="2"/>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43.15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25.47 </w:t>
            </w:r>
          </w:p>
        </w:tc>
        <w:tc>
          <w:tcPr>
            <w:tcW w:w="1182" w:type="dxa"/>
            <w:gridSpan w:val="2"/>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25.47 </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14.32 </w:t>
            </w:r>
          </w:p>
        </w:tc>
        <w:tc>
          <w:tcPr>
            <w:tcW w:w="1182" w:type="dxa"/>
            <w:gridSpan w:val="2"/>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14.32 </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1073"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b/>
                <w:bCs/>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1182" w:type="dxa"/>
            <w:gridSpan w:val="2"/>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1073"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1182" w:type="dxa"/>
            <w:gridSpan w:val="2"/>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832"/>
        <w:gridCol w:w="820"/>
        <w:gridCol w:w="760"/>
        <w:gridCol w:w="780"/>
        <w:gridCol w:w="280"/>
        <w:gridCol w:w="330"/>
        <w:gridCol w:w="240"/>
        <w:gridCol w:w="88"/>
        <w:gridCol w:w="152"/>
        <w:gridCol w:w="398"/>
        <w:gridCol w:w="240"/>
        <w:gridCol w:w="240"/>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5"/>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26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820"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3924"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2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820"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7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9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260"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通榆县政务服务局</w:t>
            </w:r>
          </w:p>
        </w:tc>
        <w:tc>
          <w:tcPr>
            <w:tcW w:w="820" w:type="dxa"/>
            <w:tcBorders>
              <w:top w:val="single" w:color="000000" w:sz="4" w:space="0"/>
              <w:left w:val="single" w:color="000000" w:sz="4" w:space="0"/>
              <w:right w:val="single" w:color="000000" w:sz="4" w:space="0"/>
            </w:tcBorders>
            <w:noWrap w:val="0"/>
            <w:vAlign w:val="bottom"/>
          </w:tcPr>
          <w:p>
            <w:pPr>
              <w:keepNext w:val="0"/>
              <w:keepLines w:val="0"/>
              <w:widowControl/>
              <w:suppressLineNumbers w:val="0"/>
              <w:jc w:val="right"/>
              <w:textAlignment w:val="bottom"/>
              <w:rPr>
                <w:rFonts w:eastAsia="宋体"/>
                <w:color w:val="000000"/>
                <w:sz w:val="16"/>
                <w:szCs w:val="16"/>
              </w:rPr>
            </w:pPr>
            <w:r>
              <w:rPr>
                <w:rFonts w:hint="default" w:ascii="Arial" w:hAnsi="Arial" w:eastAsia="宋体" w:cs="Arial"/>
                <w:i w:val="0"/>
                <w:iCs w:val="0"/>
                <w:color w:val="000000"/>
                <w:kern w:val="0"/>
                <w:sz w:val="16"/>
                <w:szCs w:val="16"/>
                <w:u w:val="none"/>
                <w:lang w:val="en-US" w:eastAsia="zh-CN" w:bidi="ar"/>
              </w:rPr>
              <w:t xml:space="preserve">711.49 </w:t>
            </w:r>
          </w:p>
        </w:tc>
        <w:tc>
          <w:tcPr>
            <w:tcW w:w="760" w:type="dxa"/>
            <w:tcBorders>
              <w:top w:val="single" w:color="000000" w:sz="4" w:space="0"/>
              <w:left w:val="single" w:color="000000" w:sz="4" w:space="0"/>
              <w:right w:val="single" w:color="000000" w:sz="4" w:space="0"/>
            </w:tcBorders>
            <w:noWrap w:val="0"/>
            <w:vAlign w:val="bottom"/>
          </w:tcPr>
          <w:p>
            <w:pPr>
              <w:keepNext w:val="0"/>
              <w:keepLines w:val="0"/>
              <w:widowControl/>
              <w:suppressLineNumbers w:val="0"/>
              <w:jc w:val="right"/>
              <w:textAlignment w:val="bottom"/>
              <w:rPr>
                <w:rFonts w:eastAsia="宋体"/>
                <w:color w:val="000000"/>
                <w:sz w:val="16"/>
                <w:szCs w:val="16"/>
              </w:rPr>
            </w:pPr>
            <w:r>
              <w:rPr>
                <w:rFonts w:hint="default" w:ascii="Arial" w:hAnsi="Arial" w:eastAsia="宋体" w:cs="Arial"/>
                <w:i w:val="0"/>
                <w:iCs w:val="0"/>
                <w:color w:val="000000"/>
                <w:kern w:val="0"/>
                <w:sz w:val="16"/>
                <w:szCs w:val="16"/>
                <w:u w:val="none"/>
                <w:lang w:val="en-US" w:eastAsia="zh-CN" w:bidi="ar"/>
              </w:rPr>
              <w:t xml:space="preserve">711.49 </w:t>
            </w:r>
          </w:p>
        </w:tc>
        <w:tc>
          <w:tcPr>
            <w:tcW w:w="780" w:type="dxa"/>
            <w:tcBorders>
              <w:top w:val="single" w:color="000000" w:sz="4" w:space="0"/>
              <w:left w:val="single" w:color="000000" w:sz="4" w:space="0"/>
              <w:right w:val="single" w:color="000000" w:sz="4" w:space="0"/>
            </w:tcBorders>
            <w:noWrap w:val="0"/>
            <w:vAlign w:val="bottom"/>
          </w:tcPr>
          <w:p>
            <w:pPr>
              <w:keepNext w:val="0"/>
              <w:keepLines w:val="0"/>
              <w:widowControl/>
              <w:suppressLineNumbers w:val="0"/>
              <w:jc w:val="right"/>
              <w:textAlignment w:val="bottom"/>
              <w:rPr>
                <w:rFonts w:eastAsia="宋体"/>
                <w:color w:val="000000"/>
                <w:sz w:val="16"/>
                <w:szCs w:val="16"/>
              </w:rPr>
            </w:pPr>
            <w:r>
              <w:rPr>
                <w:rFonts w:hint="default" w:ascii="Arial" w:hAnsi="Arial" w:eastAsia="宋体" w:cs="Arial"/>
                <w:i w:val="0"/>
                <w:iCs w:val="0"/>
                <w:color w:val="000000"/>
                <w:kern w:val="0"/>
                <w:sz w:val="16"/>
                <w:szCs w:val="16"/>
                <w:u w:val="none"/>
                <w:lang w:val="en-US" w:eastAsia="zh-CN" w:bidi="ar"/>
              </w:rPr>
              <w:t xml:space="preserve">711.49 </w:t>
            </w:r>
          </w:p>
        </w:tc>
        <w:tc>
          <w:tcPr>
            <w:tcW w:w="28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3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240"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9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26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26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26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26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26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26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8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26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8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26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20" w:type="dxa"/>
            <w:tcBorders>
              <w:top w:val="single" w:color="000000" w:sz="4" w:space="0"/>
              <w:left w:val="single" w:color="000000" w:sz="4" w:space="0"/>
              <w:bottom w:val="single" w:color="000000" w:sz="4" w:space="0"/>
              <w:right w:val="single" w:color="000000" w:sz="4" w:space="0"/>
            </w:tcBorders>
            <w:shd w:val="solid" w:color="FFFFFF" w:fill="auto"/>
            <w:noWrap w:val="0"/>
            <w:vAlign w:val="bottom"/>
          </w:tcPr>
          <w:p>
            <w:pPr>
              <w:keepNext w:val="0"/>
              <w:keepLines w:val="0"/>
              <w:widowControl/>
              <w:suppressLineNumbers w:val="0"/>
              <w:jc w:val="right"/>
              <w:textAlignment w:val="bottom"/>
              <w:rPr>
                <w:color w:val="000000"/>
                <w:sz w:val="16"/>
                <w:szCs w:val="16"/>
                <w:shd w:val="clear" w:color="auto" w:fill="FFFFFF"/>
              </w:rPr>
            </w:pPr>
            <w:r>
              <w:rPr>
                <w:rFonts w:hint="default" w:ascii="Arial" w:hAnsi="Arial" w:eastAsia="宋体" w:cs="Arial"/>
                <w:i w:val="0"/>
                <w:iCs w:val="0"/>
                <w:color w:val="000000"/>
                <w:kern w:val="0"/>
                <w:sz w:val="16"/>
                <w:szCs w:val="16"/>
                <w:u w:val="none"/>
                <w:lang w:val="en-US" w:eastAsia="zh-CN" w:bidi="ar"/>
              </w:rPr>
              <w:t xml:space="preserve">711.49 </w:t>
            </w:r>
          </w:p>
        </w:tc>
        <w:tc>
          <w:tcPr>
            <w:tcW w:w="760" w:type="dxa"/>
            <w:tcBorders>
              <w:top w:val="single" w:color="000000" w:sz="4" w:space="0"/>
              <w:left w:val="single" w:color="000000" w:sz="4" w:space="0"/>
              <w:bottom w:val="single" w:color="000000" w:sz="4" w:space="0"/>
              <w:right w:val="single" w:color="000000" w:sz="4" w:space="0"/>
            </w:tcBorders>
            <w:shd w:val="solid" w:color="FFFFFF" w:fill="auto"/>
            <w:noWrap w:val="0"/>
            <w:vAlign w:val="bottom"/>
          </w:tcPr>
          <w:p>
            <w:pPr>
              <w:keepNext w:val="0"/>
              <w:keepLines w:val="0"/>
              <w:widowControl/>
              <w:suppressLineNumbers w:val="0"/>
              <w:jc w:val="right"/>
              <w:textAlignment w:val="bottom"/>
              <w:rPr>
                <w:color w:val="000000"/>
                <w:sz w:val="16"/>
                <w:szCs w:val="16"/>
                <w:shd w:val="clear" w:color="auto" w:fill="FFFFFF"/>
              </w:rPr>
            </w:pPr>
            <w:r>
              <w:rPr>
                <w:rFonts w:hint="default" w:ascii="Arial" w:hAnsi="Arial" w:eastAsia="宋体" w:cs="Arial"/>
                <w:i w:val="0"/>
                <w:iCs w:val="0"/>
                <w:color w:val="000000"/>
                <w:kern w:val="0"/>
                <w:sz w:val="16"/>
                <w:szCs w:val="16"/>
                <w:u w:val="none"/>
                <w:lang w:val="en-US" w:eastAsia="zh-CN" w:bidi="ar"/>
              </w:rPr>
              <w:t xml:space="preserve">711.49 </w:t>
            </w: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bottom"/>
          </w:tcPr>
          <w:p>
            <w:pPr>
              <w:keepNext w:val="0"/>
              <w:keepLines w:val="0"/>
              <w:widowControl/>
              <w:suppressLineNumbers w:val="0"/>
              <w:jc w:val="right"/>
              <w:textAlignment w:val="bottom"/>
              <w:rPr>
                <w:color w:val="000000"/>
                <w:sz w:val="16"/>
                <w:szCs w:val="16"/>
                <w:shd w:val="clear" w:color="auto" w:fill="FFFFFF"/>
              </w:rPr>
            </w:pPr>
            <w:r>
              <w:rPr>
                <w:rFonts w:hint="default" w:ascii="Arial" w:hAnsi="Arial" w:eastAsia="宋体" w:cs="Arial"/>
                <w:i w:val="0"/>
                <w:iCs w:val="0"/>
                <w:color w:val="000000"/>
                <w:kern w:val="0"/>
                <w:sz w:val="16"/>
                <w:szCs w:val="16"/>
                <w:u w:val="none"/>
                <w:lang w:val="en-US" w:eastAsia="zh-CN" w:bidi="ar"/>
              </w:rPr>
              <w:t xml:space="preserve">711.49 </w:t>
            </w:r>
          </w:p>
        </w:tc>
        <w:tc>
          <w:tcPr>
            <w:tcW w:w="28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628.</w:t>
                  </w:r>
                  <w:r>
                    <w:rPr>
                      <w:rFonts w:hint="eastAsia" w:ascii="Arial" w:hAnsi="Arial" w:eastAsia="宋体" w:cs="Arial"/>
                      <w:i w:val="0"/>
                      <w:iCs w:val="0"/>
                      <w:color w:val="000000"/>
                      <w:kern w:val="0"/>
                      <w:sz w:val="20"/>
                      <w:szCs w:val="20"/>
                      <w:u w:val="none"/>
                      <w:lang w:val="en-US" w:eastAsia="zh-CN" w:bidi="ar"/>
                    </w:rPr>
                    <w:t>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251.3</w:t>
                  </w:r>
                  <w:r>
                    <w:rPr>
                      <w:rFonts w:hint="eastAsia" w:ascii="Arial" w:hAnsi="Arial" w:eastAsia="宋体" w:cs="Arial"/>
                      <w:i w:val="0"/>
                      <w:iCs w:val="0"/>
                      <w:color w:val="000000"/>
                      <w:kern w:val="0"/>
                      <w:sz w:val="20"/>
                      <w:szCs w:val="20"/>
                      <w:u w:val="none"/>
                      <w:lang w:val="en-US" w:eastAsia="zh-CN" w:bidi="ar"/>
                    </w:rPr>
                    <w:t>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377.22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628.</w:t>
                  </w:r>
                  <w:r>
                    <w:rPr>
                      <w:rFonts w:hint="eastAsia" w:ascii="Arial" w:hAnsi="Arial" w:eastAsia="宋体" w:cs="Arial"/>
                      <w:i w:val="0"/>
                      <w:iCs w:val="0"/>
                      <w:color w:val="000000"/>
                      <w:kern w:val="0"/>
                      <w:sz w:val="20"/>
                      <w:szCs w:val="20"/>
                      <w:u w:val="none"/>
                      <w:lang w:val="en-US" w:eastAsia="zh-CN" w:bidi="ar"/>
                    </w:rPr>
                    <w:t>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251.3</w:t>
                  </w:r>
                  <w:r>
                    <w:rPr>
                      <w:rFonts w:hint="eastAsia" w:ascii="Arial" w:hAnsi="Arial" w:eastAsia="宋体" w:cs="Arial"/>
                      <w:i w:val="0"/>
                      <w:iCs w:val="0"/>
                      <w:color w:val="000000"/>
                      <w:kern w:val="0"/>
                      <w:sz w:val="20"/>
                      <w:szCs w:val="20"/>
                      <w:u w:val="none"/>
                      <w:lang w:val="en-US" w:eastAsia="zh-CN" w:bidi="ar"/>
                    </w:rPr>
                    <w:t>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377.22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99.28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278.56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250.7</w:t>
                  </w:r>
                  <w:r>
                    <w:rPr>
                      <w:rFonts w:hint="eastAsia" w:ascii="Arial" w:hAnsi="Arial" w:eastAsia="宋体" w:cs="Arial"/>
                      <w:i w:val="0"/>
                      <w:iCs w:val="0"/>
                      <w:color w:val="000000"/>
                      <w:kern w:val="0"/>
                      <w:sz w:val="20"/>
                      <w:szCs w:val="20"/>
                      <w:u w:val="none"/>
                      <w:lang w:val="en-US" w:eastAsia="zh-CN" w:bidi="ar"/>
                    </w:rPr>
                    <w:t>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152.03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98.66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0.94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0.94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0.3</w:t>
                  </w:r>
                  <w:r>
                    <w:rPr>
                      <w:rFonts w:hint="eastAsia" w:ascii="Arial" w:hAnsi="Arial" w:eastAsia="宋体" w:cs="Arial"/>
                      <w:i w:val="0"/>
                      <w:iCs w:val="0"/>
                      <w:color w:val="000000"/>
                      <w:kern w:val="0"/>
                      <w:sz w:val="20"/>
                      <w:szCs w:val="20"/>
                      <w:u w:val="none"/>
                      <w:lang w:val="en-US" w:eastAsia="zh-CN" w:bidi="ar"/>
                    </w:rPr>
                    <w:t>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0.3</w:t>
                  </w:r>
                  <w:r>
                    <w:rPr>
                      <w:rFonts w:hint="eastAsia" w:ascii="Arial" w:hAnsi="Arial" w:eastAsia="宋体" w:cs="Arial"/>
                      <w:i w:val="0"/>
                      <w:iCs w:val="0"/>
                      <w:color w:val="000000"/>
                      <w:kern w:val="0"/>
                      <w:sz w:val="20"/>
                      <w:szCs w:val="20"/>
                      <w:u w:val="none"/>
                      <w:lang w:val="en-US" w:eastAsia="zh-CN" w:bidi="ar"/>
                    </w:rPr>
                    <w:t>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711.49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334.</w:t>
                  </w:r>
                  <w:r>
                    <w:rPr>
                      <w:rFonts w:hint="eastAsia" w:ascii="Arial" w:hAnsi="Arial" w:eastAsia="宋体" w:cs="Arial"/>
                      <w:i w:val="0"/>
                      <w:iCs w:val="0"/>
                      <w:color w:val="000000"/>
                      <w:kern w:val="0"/>
                      <w:sz w:val="20"/>
                      <w:szCs w:val="20"/>
                      <w:u w:val="none"/>
                      <w:lang w:val="en-US" w:eastAsia="zh-CN" w:bidi="ar"/>
                    </w:rPr>
                    <w:t>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377.22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688"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628.55 </w:t>
                  </w:r>
                </w:p>
              </w:tc>
              <w:tc>
                <w:tcPr>
                  <w:tcW w:w="74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628.55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688"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43.15 </w:t>
                  </w:r>
                </w:p>
              </w:tc>
              <w:tc>
                <w:tcPr>
                  <w:tcW w:w="74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43.15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14.32 </w:t>
                  </w:r>
                </w:p>
              </w:tc>
              <w:tc>
                <w:tcPr>
                  <w:tcW w:w="74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14.32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25.47 </w:t>
                  </w:r>
                </w:p>
              </w:tc>
              <w:tc>
                <w:tcPr>
                  <w:tcW w:w="74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25.47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688"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74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黑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688"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黑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74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711.49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628.55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251.32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219.04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32.28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377.22</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628.55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251.32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219.04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32.28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377.22</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99.28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278.56</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250.70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136.67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98.66</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711.49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334.27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301.99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32.28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377.22</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301.36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301.36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108.97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108.97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31.90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31.90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31.05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31.05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43.54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43.54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33.96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33.96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8.25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13.98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13.98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1.29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25.47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31.28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31.28</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11.45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11.45</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手续费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0.05</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5.5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委托业务费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2.36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工会经费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4.1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其他交通费用</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6.12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退休费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pPr>
            <w:r>
              <w:rPr>
                <w:rFonts w:hint="default" w:ascii="Arial" w:hAnsi="Arial" w:eastAsia="宋体" w:cs="Arial"/>
                <w:i w:val="0"/>
                <w:iCs w:val="0"/>
                <w:color w:val="000000"/>
                <w:kern w:val="0"/>
                <w:sz w:val="20"/>
                <w:szCs w:val="20"/>
                <w:u w:val="none"/>
                <w:lang w:val="en-US" w:eastAsia="zh-CN" w:bidi="ar"/>
              </w:rPr>
              <w:t>1</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2</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26</w:t>
            </w:r>
            <w:r>
              <w:rPr>
                <w:color w:val="000000"/>
                <w:kern w:val="0"/>
                <w:sz w:val="28"/>
                <w:szCs w:val="28"/>
              </w:rPr>
              <w:t>人，其中：在职人员</w:t>
            </w:r>
            <w:r>
              <w:rPr>
                <w:rFonts w:hint="eastAsia" w:eastAsia="宋体"/>
                <w:color w:val="000000"/>
                <w:kern w:val="0"/>
                <w:sz w:val="28"/>
                <w:szCs w:val="28"/>
                <w:u w:val="single"/>
                <w:lang w:val="en-US" w:eastAsia="zh-CN"/>
              </w:rPr>
              <w:t>25</w:t>
            </w:r>
            <w:r>
              <w:rPr>
                <w:color w:val="000000"/>
                <w:kern w:val="0"/>
                <w:sz w:val="28"/>
                <w:szCs w:val="28"/>
              </w:rPr>
              <w:t>人，离退休人员</w:t>
            </w:r>
            <w:r>
              <w:rPr>
                <w:rFonts w:hint="eastAsia" w:eastAsia="宋体"/>
                <w:color w:val="000000"/>
                <w:kern w:val="0"/>
                <w:sz w:val="28"/>
                <w:szCs w:val="28"/>
                <w:u w:val="single"/>
                <w:lang w:val="en-US" w:eastAsia="zh-CN"/>
              </w:rPr>
              <w:t>1</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bookmarkStart w:id="0" w:name="_GoBack"/>
            <w:bookmarkEnd w:id="0"/>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863"/>
        <w:gridCol w:w="1020"/>
        <w:gridCol w:w="327"/>
        <w:gridCol w:w="240"/>
        <w:gridCol w:w="240"/>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87"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238"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86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87"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37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863" w:type="dxa"/>
            <w:vMerge w:val="continue"/>
            <w:noWrap w:val="0"/>
            <w:vAlign w:val="center"/>
          </w:tcPr>
          <w:p>
            <w:pPr>
              <w:autoSpaceDN w:val="0"/>
              <w:jc w:val="center"/>
              <w:textAlignment w:val="center"/>
              <w:rPr>
                <w:rFonts w:ascii="Calibri" w:hAnsi="Calibri" w:eastAsia="华文细黑"/>
                <w:color w:val="000000"/>
                <w:sz w:val="20"/>
                <w:szCs w:val="22"/>
              </w:rPr>
            </w:pPr>
          </w:p>
        </w:tc>
        <w:tc>
          <w:tcPr>
            <w:tcW w:w="102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2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24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24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政务服务局2024年购买政务服务综合服务资金</w:t>
            </w: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政务服务局2024年购买政务服务综合服务资金</w:t>
            </w:r>
          </w:p>
        </w:tc>
        <w:tc>
          <w:tcPr>
            <w:tcW w:w="86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通榆县政务服务局</w:t>
            </w:r>
          </w:p>
        </w:tc>
        <w:tc>
          <w:tcPr>
            <w:tcW w:w="863"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110.96</w:t>
            </w:r>
          </w:p>
        </w:tc>
        <w:tc>
          <w:tcPr>
            <w:tcW w:w="102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110.96</w:t>
            </w:r>
          </w:p>
        </w:tc>
        <w:tc>
          <w:tcPr>
            <w:tcW w:w="327"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政务服务局2024年预算</w:t>
            </w: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2024年关于划拔政务云运营费用的请示</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通榆县政务服务局</w:t>
            </w:r>
          </w:p>
        </w:tc>
        <w:tc>
          <w:tcPr>
            <w:tcW w:w="863"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140.00</w:t>
            </w:r>
          </w:p>
        </w:tc>
        <w:tc>
          <w:tcPr>
            <w:tcW w:w="102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140.00</w:t>
            </w:r>
          </w:p>
        </w:tc>
        <w:tc>
          <w:tcPr>
            <w:tcW w:w="327"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政务服务局2024年预算</w:t>
            </w: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政务服务局2024年关于政务大厅正常运行经费的资金请示</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通榆县政务服务局</w:t>
            </w:r>
          </w:p>
        </w:tc>
        <w:tc>
          <w:tcPr>
            <w:tcW w:w="863"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24.00</w:t>
            </w:r>
          </w:p>
        </w:tc>
        <w:tc>
          <w:tcPr>
            <w:tcW w:w="102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24.00</w:t>
            </w:r>
          </w:p>
        </w:tc>
        <w:tc>
          <w:tcPr>
            <w:tcW w:w="327"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政务服务局2024年驻村工作队生活补贴</w:t>
            </w: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政务服务局2024年驻村工作队生活补贴</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通榆县政务服务局</w:t>
            </w:r>
          </w:p>
        </w:tc>
        <w:tc>
          <w:tcPr>
            <w:tcW w:w="863"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3.60</w:t>
            </w:r>
          </w:p>
        </w:tc>
        <w:tc>
          <w:tcPr>
            <w:tcW w:w="102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3.60</w:t>
            </w:r>
          </w:p>
        </w:tc>
        <w:tc>
          <w:tcPr>
            <w:tcW w:w="327"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863"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278.56</w:t>
            </w:r>
          </w:p>
        </w:tc>
        <w:tc>
          <w:tcPr>
            <w:tcW w:w="102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278.56</w:t>
            </w:r>
          </w:p>
        </w:tc>
        <w:tc>
          <w:tcPr>
            <w:tcW w:w="327"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政务服务局</w:t>
            </w:r>
            <w:r>
              <w:rPr>
                <w:rFonts w:hint="eastAsia" w:ascii="宋体" w:hAnsi="宋体" w:eastAsia="宋体" w:cs="宋体"/>
                <w:color w:val="000000"/>
                <w:sz w:val="20"/>
                <w:lang w:val="en-US" w:eastAsia="zh-CN"/>
              </w:rPr>
              <w:t>2024年购买政务服务综合服务资金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110.96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110.96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甲乙方北京新广视通科技集团有限公司为男方通榆县政务服务局提供购买政务服务综合服务项目服务工作，服务内容包括综合管理服务、综合咨询服务、综合受理服务、综合出件服务。</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购买服务单位数量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购买服务工作质量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购买服务项目所需成本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＝375000元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购买服务资金拔付及时率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对企业与群众办事提升率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433"/>
        <w:gridCol w:w="2274"/>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政务服务局2024年预算</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164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164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3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为保障政务大厅各项工作正常运转，特申请办公经费24万元。用于大厅正常运行，包括办公经费、维修维护费、邮电费、水费等。</w:t>
            </w:r>
            <w:r>
              <w:rPr>
                <w:rFonts w:hint="eastAsia" w:ascii="宋体" w:hAnsi="宋体" w:eastAsia="宋体" w:cs="宋体"/>
                <w:sz w:val="20"/>
                <w:szCs w:val="20"/>
                <w:lang w:val="en-US" w:eastAsia="zh-CN"/>
              </w:rPr>
              <w:t>深入“互联网+政务服务，加快推进政务服务“一网、一门、一次”改革，承载着所有部门的业务应用系统，是实现“一网通办”的重要支撑。</w:t>
            </w:r>
            <w:r>
              <w:rPr>
                <w:rFonts w:hint="eastAsia" w:ascii="宋体" w:hAnsi="宋体" w:eastAsia="宋体" w:cs="宋体"/>
                <w:color w:val="000000"/>
                <w:sz w:val="20"/>
                <w:lang w:val="en-US" w:eastAsia="zh-CN"/>
              </w:rPr>
              <w:t>支付全年“数字通榆”项目费用，保障公文传输系统和城乡视频会议稳定运行。按时拨付辅助岗位人员工资及保险，维持职工正常生活水平，调动职工积极性，提高工作效能。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办公用品购买数量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≥500件</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安装网络数量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公文传输专线数量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≥103个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城乡视频会议数量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≥24点</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维修维护面积</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≥4000平方米</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饮用水数量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≥1000吨</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政务云存储端数量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辅助岗人数</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机关公文传输系统稳定率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视频会议连接成功率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安装网络达标率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维修维护合格率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购买办公用品质量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饮用水合格率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政务云运维达标率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工作完成率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政务内网专线使用费</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1500元/年/个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视频会议系统使用费</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30000元/年/点</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饮用水成本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≤10吨</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网费成本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≤15000元/个</w:t>
            </w:r>
          </w:p>
        </w:tc>
      </w:tr>
      <w:tr>
        <w:tblPrEx>
          <w:tblCellMar>
            <w:top w:w="15" w:type="dxa"/>
            <w:left w:w="15" w:type="dxa"/>
            <w:bottom w:w="15" w:type="dxa"/>
            <w:right w:w="15" w:type="dxa"/>
          </w:tblCellMar>
        </w:tblPrEx>
        <w:trPr>
          <w:trHeight w:val="48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大厅维修维护成本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≤5元/平方米</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办公用品成本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≤300元/件</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政务云运维成本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＝140万元/年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辅助岗位每人每月</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公文传输系统维护及时率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视频会议及时率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安装网络及时率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饮用水费拔付及时率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维修维护及时率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政务云运维及时性</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工资发放及时率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购置办公用品及时率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提升社会认可度</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政务云工作保障有效性</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机关单位办事提升率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带动就业增长率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辅助岗满意度</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各单位满意度</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≥98%</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政务服务局</w:t>
            </w:r>
            <w:r>
              <w:rPr>
                <w:rFonts w:hint="eastAsia" w:ascii="宋体" w:hAnsi="宋体" w:eastAsia="宋体" w:cs="宋体"/>
                <w:color w:val="000000"/>
                <w:sz w:val="20"/>
                <w:lang w:val="en-US" w:eastAsia="zh-CN"/>
              </w:rPr>
              <w:t>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驻村干部主要负责帮助村书记共同开展各项工作 ，使村部工作运转有序，驻村生活补助使驻村干部生活质量得到保障，从而更好地推进各项工作有序开展。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生活补助成本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生活补助拔付及时率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驻村干部素质提升率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政务服务局</w:t>
            </w:r>
            <w:r>
              <w:rPr>
                <w:rFonts w:hint="eastAsia" w:ascii="宋体" w:hAnsi="宋体" w:eastAsia="宋体" w:cs="宋体"/>
                <w:color w:val="000000"/>
                <w:sz w:val="20"/>
                <w:lang w:val="en-US" w:eastAsia="zh-CN"/>
              </w:rPr>
              <w:t>2024年购买政务服务综合服务资金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110.96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110.96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甲乙方北京新广视通科技集团有限公司为男方通榆县政务服务局提供购买政务服务综合服务项目服务工作，服务内容包括综合管理服务、综合咨询服务、综合受理服务、综合出件服务。</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购买服务单位数量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购买服务工作质量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购买服务项目所需成本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＝375000元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购买服务资金拔付及时率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对企业与群众办事提升率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政务服务局</w:t>
            </w:r>
            <w:r>
              <w:rPr>
                <w:rFonts w:hint="eastAsia" w:ascii="宋体" w:hAnsi="宋体" w:eastAsia="宋体" w:cs="宋体"/>
                <w:color w:val="000000"/>
                <w:sz w:val="20"/>
                <w:lang w:val="en-US" w:eastAsia="zh-CN"/>
              </w:rPr>
              <w:t>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驻村干部主要负责帮助村书记共同开展各项工作 ，使村部工作运转有序，驻村生活补助使驻村干部生活质量得到保障，从而更好地推进各项工作有序开展。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生活补助成本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生活补助拔付及时率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驻村干部素质提升率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433"/>
        <w:gridCol w:w="2274"/>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政务服务局</w:t>
            </w:r>
            <w:r>
              <w:rPr>
                <w:rFonts w:hint="eastAsia" w:ascii="宋体" w:hAnsi="宋体" w:eastAsia="宋体" w:cs="宋体"/>
                <w:color w:val="000000"/>
                <w:sz w:val="20"/>
                <w:lang w:val="en-US" w:eastAsia="zh-CN"/>
              </w:rPr>
              <w:t>2024年关于政务大厅正常运经费的资金请示</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3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为保障政务大厅各项工作正常运转，特申请办公经费24万元。用于大厅正常运行，包括办公经费、维修维护费、邮电费、水费等。</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办公用品购买数量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≥500件</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安装网络数量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维修维护面积</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≥4000平方米</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饮用水数量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≥1000吨</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安装网络达标率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维修维护合格率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购买办公用品质量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饮用水合格率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饮用水成本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≤10吨</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网费成本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≤15000元/个</w:t>
            </w:r>
          </w:p>
        </w:tc>
      </w:tr>
      <w:tr>
        <w:tblPrEx>
          <w:tblCellMar>
            <w:top w:w="15" w:type="dxa"/>
            <w:left w:w="15" w:type="dxa"/>
            <w:bottom w:w="15" w:type="dxa"/>
            <w:right w:w="15" w:type="dxa"/>
          </w:tblCellMar>
        </w:tblPrEx>
        <w:trPr>
          <w:trHeight w:val="48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大厅维修维护成本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≤5元/平方米</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办公用品成本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≤300元/件</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安装网络及时率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饮用水费拔付及时率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维修维护及时率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购置办公用品及时率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提升社会认可度</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≥98%</w:t>
            </w:r>
          </w:p>
        </w:tc>
      </w:tr>
    </w:tbl>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2024年关于划拔政务云运营费用的请示</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tabs>
                <w:tab w:val="left" w:pos="1454"/>
              </w:tabs>
              <w:bidi w:val="0"/>
              <w:jc w:val="left"/>
              <w:rPr>
                <w:rFonts w:hint="default"/>
                <w:lang w:val="en-US" w:eastAsia="zh-CN"/>
              </w:rPr>
            </w:pPr>
            <w:r>
              <w:rPr>
                <w:rFonts w:hint="eastAsia" w:ascii="宋体" w:hAnsi="宋体" w:eastAsia="宋体" w:cs="宋体"/>
                <w:sz w:val="20"/>
                <w:szCs w:val="20"/>
                <w:lang w:val="en-US" w:eastAsia="zh-CN"/>
              </w:rPr>
              <w:t>深入“互联网+政务服务，加快推进政务服务“一网、一门、一次”改革，承载着所有部门的业务应用系统，是实现“一网通办”的重要支撑。</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rPr>
              <w:t>指标值</w:t>
            </w:r>
            <w:r>
              <w:rPr>
                <w:rFonts w:hint="eastAsia" w:ascii="宋体" w:hAnsi="宋体" w:eastAsia="宋体" w:cs="宋体"/>
                <w:color w:val="000000"/>
                <w:sz w:val="20"/>
                <w:lang w:val="en-US" w:eastAsia="zh-CN"/>
              </w:rPr>
              <w:t xml:space="preserve"> </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政务云存储端数量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政务云运维达标率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政务云运维成本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＝140万元/年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政务云运维及时性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政务云工作保障有效性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ind w:firstLine="720" w:firstLineChars="200"/>
        <w:jc w:val="left"/>
        <w:rPr>
          <w:rFonts w:eastAsia="黑体"/>
          <w:sz w:val="36"/>
          <w:szCs w:val="36"/>
        </w:rPr>
      </w:pPr>
    </w:p>
    <w:p>
      <w:pPr>
        <w:ind w:firstLine="720" w:firstLineChars="200"/>
        <w:jc w:val="left"/>
        <w:rPr>
          <w:rFonts w:eastAsia="黑体"/>
          <w:sz w:val="36"/>
          <w:szCs w:val="36"/>
        </w:rPr>
      </w:pPr>
    </w:p>
    <w:p>
      <w:pPr>
        <w:jc w:val="left"/>
        <w:rPr>
          <w:rFonts w:eastAsia="黑体"/>
          <w:sz w:val="36"/>
          <w:szCs w:val="36"/>
        </w:rPr>
      </w:pPr>
    </w:p>
    <w:p>
      <w:pPr>
        <w:ind w:firstLine="720" w:firstLineChars="200"/>
        <w:jc w:val="left"/>
        <w:rPr>
          <w:rFonts w:eastAsia="黑体"/>
          <w:sz w:val="36"/>
          <w:szCs w:val="36"/>
        </w:rPr>
      </w:pPr>
    </w:p>
    <w:p>
      <w:pPr>
        <w:ind w:firstLine="720" w:firstLineChars="200"/>
        <w:jc w:val="left"/>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政务服务中心2021年12月至2022年12月“数字通榆”项目专网年租金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87.45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87.45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支付全年“数字通榆”项目费用，保障公文传输系统和城乡视频会议稳定运行。</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公文传输专线数量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103个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城乡视频会议数量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24点</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机关公文传输系统稳定率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视频会议连接成功率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政务内网专线使用费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1500元/年/个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视频会议系统使用费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30000元/年/点</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公文传输系统维护及时率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视频会议及时率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机关单位办事提升率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各单位满意度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政务服务中心2024年辅助岗位人员工资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7.6145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7.6145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按时拨付辅助岗位人员工资及保险，维持职工正常生活水平，调动职工积极性，提高工作效能。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工作完成率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辅助岗位每人每月</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带动就业增长率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政务服务中心2024年驻村工作队生活补贴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驻村干部主要负责帮助村书记开展各项工作，使村部运转有序，驻村生活补助使驻村干部生活质量得到保障，从而更好地推进各项工作有序开展。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保障工作质量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生活补助成本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生活补助拨付及时率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驻村干部素质提升率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sz w:val="30"/>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711.49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711.49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342.43</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增加项目支出，导致预算增加</w:t>
      </w:r>
      <w:r>
        <w:rPr>
          <w:rFonts w:hint="eastAsia" w:ascii="仿宋_GB2312" w:hAnsi="仿宋_GB2312" w:eastAsia="仿宋_GB2312" w:cs="仿宋_GB2312"/>
          <w:szCs w:val="32"/>
          <w:u w:val="single"/>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eastAsia="楷体"/>
          <w:szCs w:val="30"/>
        </w:rPr>
      </w:pPr>
      <w:r>
        <w:rPr>
          <w:rFonts w:hint="eastAsia" w:ascii="仿宋_GB2312" w:hAnsi="仿宋_GB2312" w:cs="仿宋_GB2312"/>
          <w:szCs w:val="32"/>
          <w:lang w:eastAsia="zh-CN"/>
        </w:rPr>
        <w:t>2024</w:t>
      </w:r>
      <w:r>
        <w:rPr>
          <w:rFonts w:hint="eastAsia" w:ascii="仿宋_GB2312" w:hAnsi="仿宋_GB2312" w:cs="仿宋_GB2312"/>
          <w:szCs w:val="32"/>
        </w:rPr>
        <w:t>年收入预算</w:t>
      </w:r>
      <w:r>
        <w:rPr>
          <w:rFonts w:hint="eastAsia" w:ascii="仿宋_GB2312" w:hAnsi="仿宋_GB2312" w:cs="仿宋_GB2312"/>
          <w:szCs w:val="32"/>
          <w:lang w:val="en-US" w:eastAsia="zh-CN"/>
        </w:rPr>
        <w:t>711.49</w:t>
      </w:r>
      <w:r>
        <w:rPr>
          <w:rFonts w:hint="eastAsia" w:ascii="仿宋_GB2312" w:hAnsi="仿宋_GB2312" w:cs="仿宋_GB2312"/>
          <w:szCs w:val="32"/>
        </w:rPr>
        <w:t>万元，其中：本年收入</w:t>
      </w:r>
      <w:r>
        <w:rPr>
          <w:rFonts w:hint="eastAsia" w:ascii="仿宋_GB2312" w:hAnsi="仿宋_GB2312" w:cs="仿宋_GB2312"/>
          <w:szCs w:val="32"/>
          <w:lang w:val="en-US" w:eastAsia="zh-CN"/>
        </w:rPr>
        <w:t>711.49</w:t>
      </w:r>
      <w:r>
        <w:rPr>
          <w:rFonts w:hint="eastAsia" w:ascii="仿宋_GB2312" w:hAnsi="仿宋_GB2312" w:cs="仿宋_GB2312"/>
          <w:szCs w:val="32"/>
        </w:rPr>
        <w:t>万元，占</w:t>
      </w:r>
      <w:r>
        <w:rPr>
          <w:rFonts w:ascii="仿宋_GB2312" w:hAnsi="仿宋_GB2312" w:cs="仿宋_GB2312"/>
          <w:szCs w:val="32"/>
        </w:rPr>
        <w:t>100</w:t>
      </w:r>
      <w:r>
        <w:rPr>
          <w:rFonts w:hint="eastAsia" w:ascii="仿宋_GB2312" w:hAnsi="仿宋_GB2312" w:cs="仿宋_GB2312"/>
          <w:szCs w:val="32"/>
        </w:rPr>
        <w:t>%；上年结转0万元，占0%。本年收入中，一般公共预算拨款收入</w:t>
      </w:r>
      <w:r>
        <w:rPr>
          <w:rFonts w:hint="eastAsia" w:ascii="仿宋_GB2312" w:hAnsi="仿宋_GB2312" w:cs="仿宋_GB2312"/>
          <w:szCs w:val="32"/>
          <w:lang w:val="en-US" w:eastAsia="zh-CN"/>
        </w:rPr>
        <w:t>711.49</w:t>
      </w:r>
      <w:r>
        <w:rPr>
          <w:rFonts w:hint="eastAsia" w:ascii="仿宋_GB2312" w:hAnsi="仿宋_GB2312" w:cs="仿宋_GB2312"/>
          <w:szCs w:val="32"/>
        </w:rPr>
        <w:t>万元，占</w:t>
      </w:r>
      <w:r>
        <w:rPr>
          <w:rFonts w:ascii="仿宋_GB2312" w:hAnsi="仿宋_GB2312" w:cs="仿宋_GB2312"/>
          <w:szCs w:val="32"/>
        </w:rPr>
        <w:t>100</w:t>
      </w:r>
      <w:r>
        <w:rPr>
          <w:rFonts w:hint="eastAsia" w:ascii="仿宋_GB2312" w:hAnsi="仿宋_GB2312" w:cs="仿宋_GB2312"/>
          <w:szCs w:val="32"/>
        </w:rPr>
        <w:t>%；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711.49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334.27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45.58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377.22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54.42</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711.49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711.49</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w:t>
      </w:r>
      <w:r>
        <w:rPr>
          <w:rFonts w:hint="eastAsia" w:ascii="仿宋_GB2312" w:hAnsi="仿宋_GB2312" w:cs="仿宋_GB2312"/>
          <w:kern w:val="0"/>
          <w:szCs w:val="32"/>
          <w:lang w:val="en-US" w:eastAsia="zh-CN"/>
        </w:rPr>
        <w:t>628.55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43.15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14.32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25.47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711.49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334.27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45.58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377.22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54.42</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301.99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93.12</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32.28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6.88</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628.55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88.34</w:t>
      </w:r>
      <w:r>
        <w:rPr>
          <w:rFonts w:hint="eastAsia" w:ascii="仿宋_GB2312" w:hAnsi="仿宋_GB2312" w:eastAsia="仿宋_GB2312" w:cs="仿宋_GB2312"/>
          <w:szCs w:val="32"/>
        </w:rPr>
        <w:t>%，主要用于</w:t>
      </w:r>
      <w:r>
        <w:rPr>
          <w:rFonts w:hint="eastAsia" w:ascii="仿宋_GB2312" w:hAnsi="仿宋_GB2312" w:cs="仿宋_GB2312"/>
          <w:szCs w:val="32"/>
        </w:rPr>
        <w:t>于</w:t>
      </w:r>
      <w:r>
        <w:rPr>
          <w:rFonts w:hint="eastAsia" w:ascii="仿宋_GB2312" w:hAnsi="仿宋_GB2312" w:cs="仿宋_GB2312"/>
          <w:szCs w:val="32"/>
          <w:u w:val="single"/>
        </w:rPr>
        <w:t>单位运行及公用经费。</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43.15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6.06</w:t>
      </w:r>
      <w:r>
        <w:rPr>
          <w:rFonts w:hint="eastAsia" w:ascii="仿宋_GB2312" w:hAnsi="仿宋_GB2312" w:eastAsia="仿宋_GB2312" w:cs="仿宋_GB2312"/>
          <w:szCs w:val="32"/>
        </w:rPr>
        <w:t>%，主要用于</w:t>
      </w:r>
      <w:r>
        <w:rPr>
          <w:rFonts w:hint="eastAsia"/>
          <w:szCs w:val="32"/>
          <w:u w:val="single"/>
        </w:rPr>
        <w:t>履行单位职责所发生的人员经费及公用经费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cs="仿宋_GB2312"/>
          <w:szCs w:val="32"/>
        </w:rPr>
        <w:t>卫生健康支出</w:t>
      </w:r>
      <w:r>
        <w:rPr>
          <w:rFonts w:hint="eastAsia" w:ascii="仿宋_GB2312" w:hAnsi="仿宋_GB2312" w:cs="仿宋_GB2312"/>
          <w:szCs w:val="32"/>
          <w:u w:val="single"/>
          <w:lang w:val="en-US" w:eastAsia="zh-CN"/>
        </w:rPr>
        <w:t>14.32</w:t>
      </w:r>
      <w:r>
        <w:rPr>
          <w:rFonts w:hint="eastAsia" w:ascii="仿宋_GB2312" w:hAnsi="仿宋_GB2312" w:cs="仿宋_GB2312"/>
          <w:szCs w:val="32"/>
        </w:rPr>
        <w:t>万元，占</w:t>
      </w:r>
      <w:r>
        <w:rPr>
          <w:rFonts w:hint="eastAsia" w:ascii="仿宋_GB2312" w:hAnsi="仿宋_GB2312" w:cs="仿宋_GB2312"/>
          <w:szCs w:val="32"/>
          <w:u w:val="single"/>
          <w:lang w:val="en-US" w:eastAsia="zh-CN"/>
        </w:rPr>
        <w:t>2.01</w:t>
      </w:r>
      <w:r>
        <w:rPr>
          <w:rFonts w:hint="eastAsia" w:ascii="仿宋_GB2312" w:hAnsi="仿宋_GB2312" w:cs="仿宋_GB2312"/>
          <w:szCs w:val="32"/>
        </w:rPr>
        <w:t>%，主要用于</w:t>
      </w:r>
      <w:r>
        <w:rPr>
          <w:rFonts w:hint="eastAsia" w:ascii="仿宋_GB2312" w:hAnsi="仿宋_GB2312" w:cs="仿宋_GB2312"/>
          <w:szCs w:val="32"/>
          <w:u w:val="single"/>
        </w:rPr>
        <w:t>工作人员医疗保险支出</w:t>
      </w:r>
      <w:r>
        <w:rPr>
          <w:rFonts w:hint="eastAsia" w:ascii="仿宋_GB2312" w:hAnsi="仿宋_GB2312" w:cs="仿宋_GB2312"/>
          <w:szCs w:val="32"/>
          <w:u w:val="single"/>
          <w:lang w:eastAsia="zh-CN"/>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25.47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3.59</w:t>
      </w:r>
      <w:r>
        <w:rPr>
          <w:rFonts w:hint="eastAsia" w:ascii="仿宋_GB2312" w:hAnsi="仿宋_GB2312" w:eastAsia="仿宋_GB2312" w:cs="仿宋_GB2312"/>
          <w:szCs w:val="32"/>
        </w:rPr>
        <w:t>%，主要用于</w:t>
      </w:r>
      <w:r>
        <w:rPr>
          <w:rFonts w:hint="eastAsia" w:ascii="仿宋_GB2312" w:hAnsi="仿宋_GB2312" w:cs="仿宋_GB2312"/>
          <w:szCs w:val="32"/>
          <w:u w:val="single"/>
        </w:rPr>
        <w:t>工作人员</w:t>
      </w:r>
      <w:r>
        <w:rPr>
          <w:rFonts w:hint="eastAsia" w:ascii="仿宋_GB2312" w:hAnsi="仿宋_GB2312" w:cs="仿宋_GB2312"/>
          <w:szCs w:val="32"/>
          <w:u w:val="single"/>
          <w:lang w:val="en-US" w:eastAsia="zh-CN"/>
        </w:rPr>
        <w:t>住房公积金</w:t>
      </w:r>
      <w:r>
        <w:rPr>
          <w:rFonts w:hint="eastAsia" w:ascii="仿宋_GB2312" w:hAnsi="仿宋_GB2312" w:cs="仿宋_GB2312"/>
          <w:szCs w:val="32"/>
          <w:u w:val="single"/>
        </w:rPr>
        <w:t>支出_</w:t>
      </w:r>
      <w:r>
        <w:rPr>
          <w:rFonts w:hint="eastAsia" w:ascii="仿宋_GB2312" w:hAnsi="仿宋_GB2312" w:eastAsia="仿宋_GB2312" w:cs="仿宋_GB2312"/>
          <w:szCs w:val="32"/>
        </w:rPr>
        <w:t>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711.49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301.99</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32.28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eastAsia="楷体"/>
          <w:szCs w:val="32"/>
        </w:rPr>
      </w:pPr>
      <w:r>
        <w:rPr>
          <w:rFonts w:eastAsia="楷体"/>
          <w:szCs w:val="32"/>
        </w:rPr>
        <w:t>本部门无一般公共预算拨款</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eastAsia="楷体"/>
          <w:szCs w:val="32"/>
        </w:rPr>
      </w:pPr>
      <w:r>
        <w:rPr>
          <w:rFonts w:eastAsia="楷体"/>
          <w:szCs w:val="32"/>
        </w:rPr>
        <w:t>本部门无政府性基金预算拨款</w:t>
      </w: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eastAsia="楷体"/>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cs="仿宋_GB2312"/>
          <w:szCs w:val="32"/>
        </w:rPr>
      </w:pPr>
      <w:r>
        <w:rPr>
          <w:rFonts w:hint="eastAsia" w:ascii="仿宋_GB2312" w:hAnsi="仿宋_GB2312" w:cs="仿宋_GB2312"/>
          <w:szCs w:val="32"/>
        </w:rPr>
        <w:t>本部门无机关运行经费支出。</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250.96</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140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227.45</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numPr>
          <w:ilvl w:val="0"/>
          <w:numId w:val="0"/>
        </w:numPr>
        <w:spacing w:line="540" w:lineRule="exact"/>
        <w:ind w:firstLine="640" w:firstLineChars="200"/>
        <w:rPr>
          <w:rFonts w:hint="eastAsia" w:eastAsia="楷体"/>
          <w:szCs w:val="32"/>
          <w:highlight w:val="none"/>
        </w:rPr>
      </w:pPr>
      <w:r>
        <w:rPr>
          <w:rFonts w:hint="eastAsia" w:ascii="仿宋_GB2312" w:hAnsi="仿宋_GB2312" w:cs="仿宋_GB2312"/>
          <w:szCs w:val="32"/>
        </w:rPr>
        <w:t>本部门无国有资产占有使用情况。</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377.22</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278.56</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numPr>
          <w:ilvl w:val="0"/>
          <w:numId w:val="1"/>
        </w:numPr>
        <w:spacing w:line="540" w:lineRule="exact"/>
        <w:ind w:firstLine="640" w:firstLineChars="200"/>
        <w:rPr>
          <w:rFonts w:hint="eastAsia" w:eastAsia="楷体"/>
          <w:szCs w:val="32"/>
          <w:highlight w:val="none"/>
        </w:rPr>
      </w:pP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3</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highlight w:val="none"/>
          <w:lang w:val="en-US" w:eastAsia="zh-CN"/>
        </w:rPr>
        <w:t>377.22</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jYjZhYjA1NzZkYzk5YzY3OTUxYzc3M2ZhOTQwMW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7B43A5"/>
    <w:rsid w:val="30B91A70"/>
    <w:rsid w:val="32CF2C5D"/>
    <w:rsid w:val="335402B5"/>
    <w:rsid w:val="339466B2"/>
    <w:rsid w:val="34555AF5"/>
    <w:rsid w:val="35616772"/>
    <w:rsid w:val="35E55D7C"/>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9EB6D57"/>
    <w:rsid w:val="4AF16062"/>
    <w:rsid w:val="4B646DDD"/>
    <w:rsid w:val="4B7F44F8"/>
    <w:rsid w:val="4BAC24C5"/>
    <w:rsid w:val="4BFA0656"/>
    <w:rsid w:val="4C5567C9"/>
    <w:rsid w:val="4CEC608C"/>
    <w:rsid w:val="4D0F1DAD"/>
    <w:rsid w:val="4D730507"/>
    <w:rsid w:val="4D741DD3"/>
    <w:rsid w:val="4DC93207"/>
    <w:rsid w:val="4E2A22FD"/>
    <w:rsid w:val="4E8D5761"/>
    <w:rsid w:val="4ED411E5"/>
    <w:rsid w:val="4EF54A85"/>
    <w:rsid w:val="4F6F75D9"/>
    <w:rsid w:val="501B3C66"/>
    <w:rsid w:val="501F205C"/>
    <w:rsid w:val="504B40C5"/>
    <w:rsid w:val="50987DC2"/>
    <w:rsid w:val="50A4703E"/>
    <w:rsid w:val="5136104F"/>
    <w:rsid w:val="51E55C99"/>
    <w:rsid w:val="52071113"/>
    <w:rsid w:val="52447C09"/>
    <w:rsid w:val="525A440D"/>
    <w:rsid w:val="53A51A6B"/>
    <w:rsid w:val="54741940"/>
    <w:rsid w:val="54810E66"/>
    <w:rsid w:val="54C2556E"/>
    <w:rsid w:val="55480EEF"/>
    <w:rsid w:val="56570E30"/>
    <w:rsid w:val="57793F48"/>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EE46CBD"/>
    <w:rsid w:val="5F6235A9"/>
    <w:rsid w:val="614125C2"/>
    <w:rsid w:val="624C5C52"/>
    <w:rsid w:val="63224191"/>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D7475A4"/>
    <w:rsid w:val="714213DD"/>
    <w:rsid w:val="717F272E"/>
    <w:rsid w:val="728027C6"/>
    <w:rsid w:val="72D54D7C"/>
    <w:rsid w:val="737664E0"/>
    <w:rsid w:val="73FE7ACC"/>
    <w:rsid w:val="74053F35"/>
    <w:rsid w:val="74556746"/>
    <w:rsid w:val="74AB7A24"/>
    <w:rsid w:val="76BB79B1"/>
    <w:rsid w:val="76C17E06"/>
    <w:rsid w:val="76CA67BD"/>
    <w:rsid w:val="774E6400"/>
    <w:rsid w:val="775B0046"/>
    <w:rsid w:val="779317E7"/>
    <w:rsid w:val="78796248"/>
    <w:rsid w:val="79700BEF"/>
    <w:rsid w:val="79F85634"/>
    <w:rsid w:val="7A090695"/>
    <w:rsid w:val="7AE175F4"/>
    <w:rsid w:val="7B417685"/>
    <w:rsid w:val="7B5220F0"/>
    <w:rsid w:val="7BA169C0"/>
    <w:rsid w:val="7BE95D3C"/>
    <w:rsid w:val="7CAD595B"/>
    <w:rsid w:val="7CF65D07"/>
    <w:rsid w:val="7D2975D1"/>
    <w:rsid w:val="7DCC0CD6"/>
    <w:rsid w:val="7E8C4BF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6</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WPS_1041102448</cp:lastModifiedBy>
  <cp:lastPrinted>2024-01-26T05:16:00Z</cp:lastPrinted>
  <dcterms:modified xsi:type="dcterms:W3CDTF">2024-01-26T09:34:05Z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AD2AD1ACAD0C4339B49495B4843446CD_13</vt:lpwstr>
  </property>
</Properties>
</file>