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rPr>
      </w:pPr>
      <w:r>
        <w:rPr>
          <w:rFonts w:hint="eastAsia" w:eastAsia="方正小标宋简体"/>
          <w:sz w:val="44"/>
          <w:szCs w:val="44"/>
          <w:u w:val="single"/>
        </w:rPr>
        <w:t>通榆县向海蒙古族乡人民政府</w:t>
      </w:r>
    </w:p>
    <w:p>
      <w:pPr>
        <w:jc w:val="center"/>
        <w:rPr>
          <w:rFonts w:hint="eastAsia" w:eastAsia="方正小标宋简体"/>
          <w:sz w:val="44"/>
          <w:szCs w:val="44"/>
          <w:lang w:val="en-US" w:eastAsia="zh-CN"/>
        </w:rPr>
      </w:pPr>
      <w:r>
        <w:rPr>
          <w:rFonts w:hint="eastAsia" w:eastAsia="方正小标宋简体"/>
          <w:sz w:val="44"/>
          <w:szCs w:val="44"/>
        </w:rPr>
        <w:t>2024</w:t>
      </w:r>
      <w:r>
        <w:rPr>
          <w:rFonts w:eastAsia="方正小标宋简体"/>
          <w:sz w:val="44"/>
          <w:szCs w:val="44"/>
        </w:rPr>
        <w:t>年部门预算</w:t>
      </w:r>
      <w:r>
        <w:rPr>
          <w:rFonts w:hint="eastAsia" w:eastAsia="方正小标宋简体"/>
          <w:sz w:val="44"/>
          <w:szCs w:val="44"/>
          <w:lang w:eastAsia="zh-CN"/>
        </w:rPr>
        <w:t>（</w:t>
      </w:r>
      <w:r>
        <w:rPr>
          <w:rFonts w:hint="eastAsia" w:eastAsia="方正小标宋简体"/>
          <w:sz w:val="44"/>
          <w:szCs w:val="44"/>
          <w:lang w:val="en-US" w:eastAsia="zh-CN"/>
        </w:rPr>
        <w:t>汇总）</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hint="eastAsia" w:eastAsia="楷体_GB2312"/>
        </w:rPr>
      </w:pPr>
      <w:r>
        <w:rPr>
          <w:rFonts w:eastAsia="楷体_GB2312"/>
        </w:rPr>
        <w:t>一、主要职能</w:t>
      </w:r>
    </w:p>
    <w:p>
      <w:pPr>
        <w:ind w:firstLine="640" w:firstLineChars="200"/>
        <w:rPr>
          <w:rFonts w:ascii="仿宋_GB2312" w:hAnsi="仿宋_GB2312" w:cs="仿宋_GB2312"/>
          <w:color w:val="000000"/>
          <w:szCs w:val="32"/>
        </w:rPr>
      </w:pPr>
      <w:r>
        <w:rPr>
          <w:rFonts w:hint="eastAsia" w:ascii="仿宋_GB2312" w:hAnsi="仿宋_GB2312" w:cs="仿宋_GB2312"/>
          <w:color w:val="000000"/>
          <w:szCs w:val="32"/>
        </w:rPr>
        <w:t>1、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ind w:firstLine="640" w:firstLineChars="200"/>
        <w:rPr>
          <w:rFonts w:ascii="仿宋_GB2312" w:hAnsi="仿宋_GB2312" w:cs="仿宋_GB2312"/>
          <w:color w:val="000000"/>
          <w:szCs w:val="32"/>
        </w:rPr>
      </w:pPr>
      <w:r>
        <w:rPr>
          <w:rFonts w:hint="eastAsia" w:ascii="仿宋_GB2312" w:hAnsi="仿宋_GB2312" w:cs="仿宋_GB2312"/>
          <w:color w:val="000000"/>
          <w:szCs w:val="32"/>
        </w:rPr>
        <w:t>2、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ind w:firstLine="640" w:firstLineChars="200"/>
        <w:rPr>
          <w:rFonts w:ascii="仿宋_GB2312" w:hAnsi="仿宋_GB2312" w:cs="仿宋_GB2312"/>
          <w:color w:val="000000"/>
          <w:szCs w:val="32"/>
        </w:rPr>
      </w:pPr>
      <w:r>
        <w:rPr>
          <w:rFonts w:hint="eastAsia" w:ascii="仿宋_GB2312" w:hAnsi="仿宋_GB2312" w:cs="仿宋_GB2312"/>
          <w:color w:val="000000"/>
          <w:szCs w:val="32"/>
        </w:rPr>
        <w:t>3、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640" w:firstLineChars="200"/>
        <w:rPr>
          <w:rFonts w:ascii="仿宋_GB2312" w:hAnsi="仿宋_GB2312" w:cs="仿宋_GB2312"/>
          <w:color w:val="000000"/>
          <w:szCs w:val="32"/>
        </w:rPr>
      </w:pPr>
      <w:r>
        <w:rPr>
          <w:rFonts w:hint="eastAsia" w:ascii="仿宋_GB2312" w:hAnsi="仿宋_GB2312" w:cs="仿宋_GB2312"/>
          <w:color w:val="000000"/>
          <w:szCs w:val="32"/>
        </w:rPr>
        <w:t>4、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640" w:firstLineChars="200"/>
        <w:rPr>
          <w:rFonts w:ascii="仿宋_GB2312" w:hAnsi="仿宋_GB2312" w:cs="仿宋_GB2312"/>
          <w:color w:val="000000"/>
          <w:szCs w:val="32"/>
        </w:rPr>
      </w:pPr>
      <w:r>
        <w:rPr>
          <w:rFonts w:hint="eastAsia" w:ascii="仿宋_GB2312" w:hAnsi="仿宋_GB2312" w:cs="仿宋_GB2312"/>
          <w:color w:val="000000"/>
          <w:szCs w:val="32"/>
        </w:rPr>
        <w:t>5、动员社会参与。坚持以基层党建引领基层治理，动员指导辖区内各类单位、社会组织和村等社会力量参与社会治理，引导辖区单位履行社会责任，整合辖区内各种社会力量为镇、村发展服务。做实做强由党建引领的基层共治基本单元，构建党组织统一领导各类组织积极协同、广大群众广泛参与的基层治理体系。</w:t>
      </w:r>
    </w:p>
    <w:p>
      <w:pPr>
        <w:ind w:firstLine="640" w:firstLineChars="200"/>
        <w:rPr>
          <w:rFonts w:ascii="仿宋_GB2312" w:hAnsi="仿宋_GB2312" w:cs="仿宋_GB2312"/>
          <w:color w:val="000000"/>
          <w:szCs w:val="32"/>
        </w:rPr>
      </w:pPr>
      <w:r>
        <w:rPr>
          <w:rFonts w:hint="eastAsia" w:ascii="仿宋_GB2312" w:hAnsi="仿宋_GB2312" w:cs="仿宋_GB2312"/>
          <w:color w:val="000000"/>
          <w:szCs w:val="32"/>
        </w:rPr>
        <w:t>6、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ascii="仿宋_GB2312" w:hAnsi="仿宋_GB2312" w:cs="仿宋_GB2312"/>
          <w:color w:val="000000"/>
          <w:szCs w:val="32"/>
        </w:rPr>
      </w:pPr>
      <w:r>
        <w:rPr>
          <w:rFonts w:hint="eastAsia" w:ascii="仿宋_GB2312" w:hAnsi="仿宋_GB2312" w:cs="仿宋_GB2312"/>
          <w:color w:val="000000"/>
          <w:szCs w:val="32"/>
        </w:rPr>
        <w:t>7、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ascii="仿宋_GB2312" w:hAnsi="仿宋_GB2312" w:cs="仿宋_GB2312"/>
          <w:color w:val="000000"/>
          <w:szCs w:val="32"/>
        </w:rPr>
      </w:pPr>
      <w:r>
        <w:rPr>
          <w:rFonts w:hint="eastAsia" w:ascii="仿宋_GB2312" w:hAnsi="仿宋_GB2312" w:cs="仿宋_GB2312"/>
          <w:color w:val="000000"/>
          <w:szCs w:val="32"/>
        </w:rPr>
        <w:t>8、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pPr>
        <w:ind w:firstLine="640" w:firstLineChars="200"/>
        <w:rPr>
          <w:rFonts w:ascii="仿宋_GB2312" w:hAnsi="仿宋_GB2312" w:cs="仿宋_GB2312"/>
          <w:color w:val="000000"/>
          <w:szCs w:val="32"/>
        </w:rPr>
      </w:pPr>
      <w:r>
        <w:rPr>
          <w:rFonts w:hint="eastAsia" w:ascii="仿宋_GB2312" w:hAnsi="仿宋_GB2312" w:cs="仿宋_GB2312"/>
          <w:color w:val="000000"/>
          <w:szCs w:val="32"/>
        </w:rPr>
        <w:t>9、完成法律、法规、规章规定的其他事项和县委、县政府交办的其他任务。</w:t>
      </w:r>
    </w:p>
    <w:p>
      <w:pPr>
        <w:ind w:firstLine="640" w:firstLineChars="200"/>
      </w:pPr>
      <w:r>
        <w:rPr>
          <w:rFonts w:eastAsia="楷体_GB2312"/>
        </w:rPr>
        <w:t>二、机构设置</w:t>
      </w:r>
    </w:p>
    <w:p>
      <w:pPr>
        <w:pStyle w:val="51"/>
        <w:ind w:firstLine="640" w:firstLineChars="200"/>
        <w:rPr>
          <w:rFonts w:ascii="仿宋_GB2312" w:hAnsi="仿宋_GB2312" w:eastAsia="仿宋_GB2312" w:cs="仿宋_GB2312"/>
        </w:rPr>
      </w:pPr>
      <w:r>
        <w:rPr>
          <w:rFonts w:hint="eastAsia" w:ascii="仿宋_GB2312" w:hAnsi="仿宋_GB2312" w:eastAsia="仿宋_GB2312" w:cs="仿宋_GB2312"/>
        </w:rPr>
        <w:t>根据上述职责，通榆县向海蒙古族乡人民政府内设14个机构，分别为综合办公室、党建工作办公室、平安建设办公室、社会事务办公室（退役军人事务办公室）、农业农村办公室、综合行政执法办公室、财政经济办公室、扶贫工作办公室、乡人大、纪检监察、人武、工会、共青团、妇联等14个机构。</w:t>
      </w:r>
    </w:p>
    <w:p>
      <w:pPr>
        <w:pStyle w:val="51"/>
        <w:ind w:firstLine="640" w:firstLineChars="200"/>
        <w:rPr>
          <w:rFonts w:eastAsia="仿宋_GB2312"/>
        </w:rPr>
      </w:pPr>
      <w:r>
        <w:rPr>
          <w:rFonts w:hint="eastAsia" w:ascii="仿宋_GB2312" w:hAnsi="仿宋_GB2312" w:eastAsia="仿宋_GB2312" w:cs="仿宋_GB2312"/>
        </w:rPr>
        <w:t>下设 一 家预算单位，为通榆县向海蒙古族乡综合服务中心。分别为综合科、党务办公室、农业工作站、畜牧工作站、农村经济管理站、农机推广站、林业工作站、水利工作站、文化工作站、计划生育工作站、国土资源所、人力资源社会保障事务所、广播站、退役军人工作站等14个机构。</w:t>
      </w:r>
    </w:p>
    <w:p>
      <w:pPr>
        <w:pStyle w:val="51"/>
        <w:ind w:firstLine="640" w:firstLineChars="200"/>
        <w:rPr>
          <w:rFonts w:eastAsia="楷体"/>
        </w:rPr>
      </w:pPr>
      <w:r>
        <w:rPr>
          <w:rFonts w:hint="eastAsia" w:ascii="仿宋_GB2312" w:hAnsi="仿宋_GB2312" w:eastAsia="仿宋_GB2312" w:cs="仿宋_GB2312"/>
        </w:rPr>
        <w:t>通榆县向海蒙古族乡人民政府行政编制 37人。</w:t>
      </w:r>
    </w:p>
    <w:p>
      <w:pPr>
        <w:pStyle w:val="51"/>
        <w:ind w:firstLine="640" w:firstLineChars="200"/>
        <w:rPr>
          <w:rFonts w:ascii="仿宋_GB2312" w:hAnsi="仿宋_GB2312" w:eastAsia="仿宋_GB2312" w:cs="仿宋_GB2312"/>
        </w:rPr>
      </w:pPr>
      <w:r>
        <w:rPr>
          <w:rFonts w:hint="eastAsia" w:ascii="仿宋_GB2312" w:hAnsi="仿宋_GB2312" w:eastAsia="仿宋_GB2312" w:cs="仿宋_GB2312"/>
        </w:rPr>
        <w:t>通榆县向海蒙古族乡综合服务中心在编人员79人。</w:t>
      </w:r>
    </w:p>
    <w:p>
      <w:pPr>
        <w:pStyle w:val="51"/>
        <w:ind w:firstLine="720" w:firstLineChars="200"/>
        <w:rPr>
          <w:rFonts w:hint="eastAsia"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Cs/>
                <w:color w:val="000000"/>
                <w:kern w:val="0"/>
                <w:sz w:val="20"/>
              </w:rPr>
            </w:pPr>
            <w:r>
              <w:rPr>
                <w:rFonts w:hint="eastAsia" w:ascii="仿宋_GB2312"/>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1418.853409</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sz w:val="20"/>
              </w:rPr>
            </w:pPr>
            <w:r>
              <w:rPr>
                <w:rFonts w:hint="eastAsia" w:ascii="仿宋_GB2312"/>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924"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通榆县向海蒙古族乡人民政府</w:t>
            </w:r>
          </w:p>
        </w:tc>
        <w:tc>
          <w:tcPr>
            <w:tcW w:w="416" w:type="dxa"/>
            <w:tcBorders>
              <w:top w:val="single" w:color="000000" w:sz="4" w:space="0"/>
              <w:left w:val="single" w:color="000000" w:sz="4" w:space="0"/>
              <w:right w:val="single" w:color="000000"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416" w:type="dxa"/>
            <w:tcBorders>
              <w:top w:val="single" w:color="000000" w:sz="4" w:space="0"/>
              <w:left w:val="single" w:color="000000" w:sz="4" w:space="0"/>
              <w:right w:val="single" w:color="000000"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416" w:type="dxa"/>
            <w:tcBorders>
              <w:top w:val="single" w:color="000000" w:sz="4" w:space="0"/>
              <w:left w:val="single" w:color="000000" w:sz="4" w:space="0"/>
              <w:right w:val="single" w:color="000000"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416"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通榆县向海蒙古族乡人民政府</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729.160113</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729.160113</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729.160113</w:t>
            </w: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通榆县向海蒙古族乡综合服务中心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1345.399152</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1345.399152</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1345.399152</w:t>
            </w: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一、一般公共服务</w:t>
                  </w:r>
                  <w:r>
                    <w:rPr>
                      <w:rFonts w:hint="eastAsia" w:eastAsia="宋体"/>
                      <w:color w:val="000000"/>
                      <w:kern w:val="0"/>
                      <w:sz w:val="20"/>
                    </w:rPr>
                    <w:t>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1418.853409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1261.050309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157.8031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1418.853409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1261.050309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157.8031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602.641735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444.838635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157.8031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816.211674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816.211674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hint="eastAsia" w:ascii="Arial" w:hAnsi="Arial" w:eastAsia="宋体" w:cs="Arial"/>
                      <w:color w:val="000000"/>
                      <w:kern w:val="0"/>
                      <w:sz w:val="20"/>
                      <w:lang w:bidi="ar"/>
                    </w:rPr>
                    <w:t>二、</w:t>
                  </w:r>
                  <w:r>
                    <w:rPr>
                      <w:rFonts w:ascii="Arial" w:hAnsi="Arial" w:eastAsia="宋体" w:cs="Arial"/>
                      <w:color w:val="000000"/>
                      <w:kern w:val="0"/>
                      <w:sz w:val="20"/>
                      <w:lang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168.395426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168.395426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auto"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机关事业单位职业年金缴费支出</w:t>
                  </w:r>
                </w:p>
              </w:tc>
              <w:tc>
                <w:tcPr>
                  <w:tcW w:w="1267"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40.756016</w:t>
                  </w:r>
                </w:p>
              </w:tc>
              <w:tc>
                <w:tcPr>
                  <w:tcW w:w="1306"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40.756016</w:t>
                  </w:r>
                </w:p>
              </w:tc>
              <w:tc>
                <w:tcPr>
                  <w:tcW w:w="1090"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auto" w:sz="4" w:space="0"/>
                  </w:tcBorders>
                  <w:shd w:val="clear" w:color="000000" w:fill="FFFFFF"/>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其他行政事业单位养老支出</w:t>
                  </w:r>
                </w:p>
              </w:tc>
              <w:tc>
                <w:tcPr>
                  <w:tcW w:w="1267"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5.041193</w:t>
                  </w:r>
                </w:p>
              </w:tc>
              <w:tc>
                <w:tcPr>
                  <w:tcW w:w="1306"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5.041193</w:t>
                  </w:r>
                </w:p>
              </w:tc>
              <w:tc>
                <w:tcPr>
                  <w:tcW w:w="1090"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hint="eastAsia" w:ascii="Arial" w:hAnsi="Arial" w:eastAsia="宋体" w:cs="Arial"/>
                      <w:color w:val="000000"/>
                      <w:kern w:val="0"/>
                      <w:sz w:val="20"/>
                      <w:lang w:bidi="ar"/>
                    </w:rPr>
                    <w:t>三、</w:t>
                  </w:r>
                  <w:r>
                    <w:rPr>
                      <w:rFonts w:ascii="Arial" w:hAnsi="Arial" w:eastAsia="宋体" w:cs="Arial"/>
                      <w:color w:val="000000"/>
                      <w:kern w:val="0"/>
                      <w:sz w:val="20"/>
                      <w:lang w:bidi="ar"/>
                    </w:rPr>
                    <w:t>卫生健康支出</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306"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行政事业单位医疗</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306"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行政单位医疗</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22.730306</w:t>
                  </w:r>
                </w:p>
              </w:tc>
              <w:tc>
                <w:tcPr>
                  <w:tcW w:w="1306"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22.730306</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事业单位医疗</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46.090904</w:t>
                  </w:r>
                </w:p>
              </w:tc>
              <w:tc>
                <w:tcPr>
                  <w:tcW w:w="1306"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46.090904</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其他行政事业单位医疗支出</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1.772642</w:t>
                  </w:r>
                </w:p>
              </w:tc>
              <w:tc>
                <w:tcPr>
                  <w:tcW w:w="1306"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1.772642</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hint="eastAsia" w:ascii="Arial" w:hAnsi="Arial" w:eastAsia="宋体" w:cs="Arial"/>
                      <w:color w:val="000000"/>
                      <w:kern w:val="0"/>
                      <w:sz w:val="20"/>
                      <w:lang w:bidi="ar"/>
                    </w:rPr>
                    <w:t>四、</w:t>
                  </w:r>
                  <w:r>
                    <w:rPr>
                      <w:rFonts w:ascii="Arial" w:hAnsi="Arial" w:eastAsia="宋体" w:cs="Arial"/>
                      <w:color w:val="000000"/>
                      <w:kern w:val="0"/>
                      <w:sz w:val="20"/>
                      <w:lang w:bidi="ar"/>
                    </w:rPr>
                    <w:t>农林水支出</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306"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09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农村综合改革</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306"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09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对村民委员会和村党支部的补助</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306"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09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五、住房保障支出</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306"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住房改革支出</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306"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住房公积金</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306"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1306"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1663.666165</w:t>
                  </w:r>
                </w:p>
              </w:tc>
              <w:tc>
                <w:tcPr>
                  <w:tcW w:w="109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410.8931</w:t>
                  </w:r>
                </w:p>
              </w:tc>
              <w:tc>
                <w:tcPr>
                  <w:tcW w:w="129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rPr>
        <w:t>注：</w:t>
      </w:r>
      <w:r>
        <w:rPr>
          <w:rFonts w:hAnsi="楷体" w:eastAsia="楷体"/>
          <w:sz w:val="24"/>
          <w:szCs w:val="24"/>
        </w:rPr>
        <w:t>功能科目填列至项级。</w:t>
      </w:r>
    </w:p>
    <w:p>
      <w:pPr>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bCs/>
                      <w:kern w:val="0"/>
                      <w:sz w:val="20"/>
                    </w:rPr>
                  </w:pPr>
                  <w:r>
                    <w:rPr>
                      <w:rFonts w:hint="eastAsia" w:ascii="宋体" w:hAnsi="宋体" w:eastAsia="宋体" w:cs="宋体"/>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1418.853409</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宋体"/>
                      <w:color w:val="000000"/>
                      <w:kern w:val="0"/>
                      <w:sz w:val="20"/>
                    </w:rPr>
                    <w:t>一、一般公共服务</w:t>
                  </w:r>
                  <w:r>
                    <w:rPr>
                      <w:rFonts w:hint="eastAsia" w:eastAsia="宋体"/>
                      <w:color w:val="000000"/>
                      <w:kern w:val="0"/>
                      <w:sz w:val="20"/>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1418.853409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1261.050309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1117.950309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143.1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157.8031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1418.853409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1261.050309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1117.950309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143.1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157.8031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602.641735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444.838635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377.578635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67.26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157.8031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816.211674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816.211674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740.371674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75.84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hint="eastAsia" w:ascii="Arial" w:hAnsi="Arial" w:eastAsia="宋体" w:cs="Arial"/>
                      <w:color w:val="000000"/>
                      <w:kern w:val="0"/>
                      <w:sz w:val="20"/>
                      <w:lang w:bidi="ar"/>
                    </w:rPr>
                    <w:t>二、</w:t>
                  </w:r>
                  <w:r>
                    <w:rPr>
                      <w:rFonts w:ascii="Arial" w:hAnsi="Arial" w:eastAsia="宋体" w:cs="Arial"/>
                      <w:color w:val="000000"/>
                      <w:kern w:val="0"/>
                      <w:sz w:val="20"/>
                      <w:lang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214.192635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168.395426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168.395426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168.395426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auto" w:sz="4" w:space="0"/>
                  </w:tcBorders>
                  <w:shd w:val="clear" w:color="000000" w:fill="FFFFFF"/>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机关事业单位职业年金缴费支出</w:t>
                  </w:r>
                </w:p>
              </w:tc>
              <w:tc>
                <w:tcPr>
                  <w:tcW w:w="1134"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40.756016</w:t>
                  </w:r>
                </w:p>
              </w:tc>
              <w:tc>
                <w:tcPr>
                  <w:tcW w:w="1134"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40.756016</w:t>
                  </w:r>
                </w:p>
              </w:tc>
              <w:tc>
                <w:tcPr>
                  <w:tcW w:w="1134"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40.756016</w:t>
                  </w:r>
                </w:p>
              </w:tc>
              <w:tc>
                <w:tcPr>
                  <w:tcW w:w="1134"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auto"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其他行政事业单位养老支出</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5.041193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5.041193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5.041193</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hint="eastAsia" w:ascii="Arial" w:hAnsi="Arial" w:eastAsia="宋体" w:cs="Arial"/>
                      <w:color w:val="000000"/>
                      <w:kern w:val="0"/>
                      <w:sz w:val="20"/>
                      <w:lang w:bidi="ar"/>
                    </w:rPr>
                    <w:t>三、</w:t>
                  </w:r>
                  <w:r>
                    <w:rPr>
                      <w:rFonts w:ascii="Arial" w:hAnsi="Arial" w:eastAsia="宋体" w:cs="Arial"/>
                      <w:color w:val="000000"/>
                      <w:kern w:val="0"/>
                      <w:sz w:val="20"/>
                      <w:lang w:bidi="ar"/>
                    </w:rPr>
                    <w:t>卫生健康支出</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行政事业单位医疗</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70.593852</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行政单位医疗</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22.730306</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22.730306</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22.730306</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事业单位医疗</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46.090904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46.090904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46.090904</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其他行政事业单位医疗支出</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1.772642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1.772642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1.772642</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hint="eastAsia" w:ascii="Arial" w:hAnsi="Arial" w:eastAsia="宋体" w:cs="Arial"/>
                      <w:color w:val="000000"/>
                      <w:kern w:val="0"/>
                      <w:sz w:val="20"/>
                      <w:lang w:bidi="ar"/>
                    </w:rPr>
                    <w:t>四、</w:t>
                  </w:r>
                  <w:r>
                    <w:rPr>
                      <w:rFonts w:ascii="Arial" w:hAnsi="Arial" w:eastAsia="宋体" w:cs="Arial"/>
                      <w:color w:val="000000"/>
                      <w:kern w:val="0"/>
                      <w:sz w:val="20"/>
                      <w:lang w:bidi="ar"/>
                    </w:rPr>
                    <w:t>农林水支出</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农村综合改革</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cs="Arial"/>
                      <w:color w:val="000000"/>
                      <w:sz w:val="20"/>
                    </w:rPr>
                  </w:pPr>
                  <w:r>
                    <w:rPr>
                      <w:rFonts w:ascii="Arial" w:hAnsi="Arial" w:eastAsia="宋体" w:cs="Arial"/>
                      <w:color w:val="000000"/>
                      <w:kern w:val="0"/>
                      <w:sz w:val="20"/>
                      <w:lang w:bidi="ar"/>
                    </w:rPr>
                    <w:t>　　对村民委员会和村党支部的补助</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253.09</w:t>
                  </w: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五、住房保障支出</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住房改革支出</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住房公积金</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2074.559265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1663.666165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1520.566165</w:t>
                  </w:r>
                </w:p>
              </w:tc>
              <w:tc>
                <w:tcPr>
                  <w:tcW w:w="1134"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r>
                    <w:rPr>
                      <w:rFonts w:hint="eastAsia" w:ascii="宋体" w:hAnsi="宋体" w:eastAsia="宋体" w:cs="宋体"/>
                      <w:color w:val="000000"/>
                      <w:kern w:val="0"/>
                      <w:sz w:val="20"/>
                      <w:lang w:bidi="ar"/>
                    </w:rPr>
                    <w:t>143.1</w:t>
                  </w:r>
                </w:p>
              </w:tc>
              <w:tc>
                <w:tcPr>
                  <w:tcW w:w="1701"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410.8931</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hint="eastAsia" w:ascii="Arial" w:hAnsi="Arial" w:eastAsia="宋体" w:cs="Arial"/>
                <w:color w:val="000000"/>
                <w:kern w:val="0"/>
                <w:sz w:val="20"/>
                <w:lang w:bidi="ar"/>
              </w:rPr>
              <w:t>一、</w:t>
            </w:r>
            <w:r>
              <w:rPr>
                <w:rFonts w:ascii="Arial" w:hAnsi="Arial" w:eastAsia="宋体" w:cs="Arial"/>
                <w:color w:val="000000"/>
                <w:kern w:val="0"/>
                <w:sz w:val="20"/>
                <w:lang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1484.345265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1484.345265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512.881116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512.881116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203.808</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203.808</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146.460293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146.460293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205.392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205.392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168.395426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168.395426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40.756016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40.756016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68.82121</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68.82121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rPr>
            </w:pPr>
            <w:r>
              <w:rPr>
                <w:rFonts w:ascii="Arial" w:hAnsi="Arial" w:eastAsia="宋体" w:cs="Arial"/>
                <w:color w:val="000000"/>
                <w:kern w:val="0"/>
                <w:sz w:val="20"/>
                <w:lang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6.813835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6.813835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住房公积金</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117.829369</w:t>
            </w:r>
          </w:p>
        </w:tc>
        <w:tc>
          <w:tcPr>
            <w:tcW w:w="1831" w:type="dxa"/>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74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其他工资福利支出</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13.188</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13.188</w:t>
            </w:r>
          </w:p>
        </w:tc>
        <w:tc>
          <w:tcPr>
            <w:tcW w:w="1831" w:type="dxa"/>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sz w:val="20"/>
              </w:rPr>
            </w:pPr>
            <w:r>
              <w:rPr>
                <w:rFonts w:hint="eastAsia" w:ascii="Arial" w:hAnsi="Arial" w:eastAsia="宋体" w:cs="Arial"/>
                <w:color w:val="000000"/>
                <w:kern w:val="0"/>
                <w:sz w:val="20"/>
                <w:lang w:bidi="ar"/>
              </w:rPr>
              <w:t>二、</w:t>
            </w:r>
            <w:r>
              <w:rPr>
                <w:rFonts w:ascii="Arial" w:hAnsi="Arial" w:eastAsia="宋体" w:cs="Arial"/>
                <w:color w:val="000000"/>
                <w:kern w:val="0"/>
                <w:sz w:val="20"/>
                <w:lang w:bidi="ar"/>
              </w:rPr>
              <w:t>商品和服务支出</w:t>
            </w:r>
          </w:p>
        </w:tc>
        <w:tc>
          <w:tcPr>
            <w:tcW w:w="2220"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143.1</w:t>
            </w:r>
          </w:p>
        </w:tc>
        <w:tc>
          <w:tcPr>
            <w:tcW w:w="1704"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c>
          <w:tcPr>
            <w:tcW w:w="1831"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143.1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rPr>
            </w:pPr>
            <w:r>
              <w:rPr>
                <w:rFonts w:ascii="Arial" w:hAnsi="Arial" w:eastAsia="宋体" w:cs="Arial"/>
                <w:color w:val="000000"/>
                <w:kern w:val="0"/>
                <w:sz w:val="20"/>
                <w:lang w:bidi="ar"/>
              </w:rPr>
              <w:t>　办公费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81.5266</w:t>
            </w:r>
          </w:p>
        </w:tc>
        <w:tc>
          <w:tcPr>
            <w:tcW w:w="1704"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81.5266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电费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8</w:t>
            </w:r>
          </w:p>
        </w:tc>
        <w:tc>
          <w:tcPr>
            <w:tcW w:w="1704"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sz w:val="20"/>
              </w:rPr>
            </w:pPr>
            <w:r>
              <w:rPr>
                <w:rFonts w:ascii="Arial" w:hAnsi="Arial" w:eastAsia="宋体" w:cs="Arial"/>
                <w:color w:val="000000"/>
                <w:kern w:val="0"/>
                <w:sz w:val="20"/>
                <w:lang w:bidi="ar"/>
              </w:rPr>
              <w:t>　维修（护）费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5</w:t>
            </w:r>
          </w:p>
        </w:tc>
        <w:tc>
          <w:tcPr>
            <w:tcW w:w="1704"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工会经费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8.1134</w:t>
            </w:r>
          </w:p>
        </w:tc>
        <w:tc>
          <w:tcPr>
            <w:tcW w:w="1704"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8.1134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color w:val="000000"/>
                <w:kern w:val="0"/>
                <w:sz w:val="20"/>
              </w:rPr>
            </w:pPr>
            <w:r>
              <w:rPr>
                <w:rFonts w:ascii="Arial" w:hAnsi="Arial" w:eastAsia="宋体" w:cs="Arial"/>
                <w:color w:val="000000"/>
                <w:kern w:val="0"/>
                <w:sz w:val="20"/>
                <w:lang w:bidi="ar"/>
              </w:rPr>
              <w:t>　公务用车运行维护费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12</w:t>
            </w:r>
          </w:p>
        </w:tc>
        <w:tc>
          <w:tcPr>
            <w:tcW w:w="1704"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sz w:val="20"/>
              </w:rPr>
            </w:pPr>
            <w:r>
              <w:rPr>
                <w:rFonts w:hint="eastAsia" w:ascii="宋体" w:hAnsi="宋体" w:eastAsia="宋体" w:cs="宋体"/>
                <w:color w:val="000000"/>
                <w:kern w:val="0"/>
                <w:sz w:val="20"/>
                <w:lang w:bidi="ar"/>
              </w:rPr>
              <w:t>　其他交通费用</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27.86</w:t>
            </w:r>
          </w:p>
        </w:tc>
        <w:tc>
          <w:tcPr>
            <w:tcW w:w="1704"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27.86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lang w:bidi="ar"/>
              </w:rPr>
            </w:pPr>
            <w:r>
              <w:rPr>
                <w:rFonts w:ascii="Arial" w:hAnsi="Arial" w:eastAsia="宋体" w:cs="Arial"/>
                <w:color w:val="000000"/>
                <w:kern w:val="0"/>
                <w:sz w:val="20"/>
                <w:lang w:bidi="ar"/>
              </w:rPr>
              <w:t>　其他商品和服务支出</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0.6</w:t>
            </w:r>
          </w:p>
        </w:tc>
        <w:tc>
          <w:tcPr>
            <w:tcW w:w="1704"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lang w:bidi="ar"/>
              </w:rPr>
            </w:pPr>
            <w:r>
              <w:rPr>
                <w:rFonts w:hint="eastAsia" w:ascii="Arial" w:hAnsi="Arial" w:eastAsia="宋体" w:cs="Arial"/>
                <w:color w:val="000000"/>
                <w:kern w:val="0"/>
                <w:sz w:val="20"/>
                <w:lang w:bidi="ar"/>
              </w:rPr>
              <w:t>三、</w:t>
            </w:r>
            <w:r>
              <w:rPr>
                <w:rFonts w:ascii="Arial" w:hAnsi="Arial" w:eastAsia="宋体" w:cs="Arial"/>
                <w:color w:val="000000"/>
                <w:kern w:val="0"/>
                <w:sz w:val="20"/>
                <w:lang w:bidi="ar"/>
              </w:rPr>
              <w:t>对个人和家庭的补助</w:t>
            </w:r>
          </w:p>
        </w:tc>
        <w:tc>
          <w:tcPr>
            <w:tcW w:w="2220"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36.2209</w:t>
            </w:r>
          </w:p>
        </w:tc>
        <w:tc>
          <w:tcPr>
            <w:tcW w:w="1704"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36.2209</w:t>
            </w:r>
          </w:p>
        </w:tc>
        <w:tc>
          <w:tcPr>
            <w:tcW w:w="1831"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lang w:bidi="ar"/>
              </w:rPr>
            </w:pPr>
            <w:r>
              <w:rPr>
                <w:rFonts w:ascii="Arial" w:hAnsi="Arial" w:eastAsia="宋体" w:cs="Arial"/>
                <w:color w:val="000000"/>
                <w:kern w:val="0"/>
                <w:sz w:val="20"/>
                <w:lang w:bidi="ar"/>
              </w:rPr>
              <w:t>　退休费</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30.2544</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30.2544</w:t>
            </w:r>
          </w:p>
        </w:tc>
        <w:tc>
          <w:tcPr>
            <w:tcW w:w="1831"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Arial" w:hAnsi="Arial" w:eastAsia="宋体" w:cs="Arial"/>
                <w:color w:val="000000"/>
                <w:kern w:val="0"/>
                <w:sz w:val="20"/>
                <w:lang w:bidi="ar"/>
              </w:rPr>
            </w:pPr>
            <w:r>
              <w:rPr>
                <w:rFonts w:ascii="Arial" w:hAnsi="Arial" w:eastAsia="宋体" w:cs="Arial"/>
                <w:color w:val="000000"/>
                <w:kern w:val="0"/>
                <w:sz w:val="20"/>
                <w:lang w:bidi="ar"/>
              </w:rPr>
              <w:t>　生活补助</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5.9665</w:t>
            </w:r>
          </w:p>
        </w:tc>
        <w:tc>
          <w:tcPr>
            <w:tcW w:w="1704"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ascii="宋体" w:hAnsi="宋体" w:eastAsia="宋体" w:cs="宋体"/>
                <w:color w:val="000000"/>
                <w:kern w:val="0"/>
                <w:sz w:val="20"/>
                <w:lang w:bidi="ar"/>
              </w:rPr>
            </w:pPr>
            <w:r>
              <w:rPr>
                <w:rFonts w:hint="eastAsia" w:ascii="宋体" w:hAnsi="宋体" w:eastAsia="宋体" w:cs="宋体"/>
                <w:color w:val="000000"/>
                <w:kern w:val="0"/>
                <w:sz w:val="20"/>
                <w:lang w:bidi="ar"/>
              </w:rPr>
              <w:t>5.9665</w:t>
            </w:r>
          </w:p>
        </w:tc>
        <w:tc>
          <w:tcPr>
            <w:tcW w:w="1831" w:type="dxa"/>
            <w:tcBorders>
              <w:top w:val="single" w:color="auto" w:sz="4" w:space="0"/>
              <w:left w:val="single" w:color="auto" w:sz="4" w:space="0"/>
              <w:bottom w:val="single" w:color="auto" w:sz="4" w:space="0"/>
              <w:right w:val="single" w:color="auto" w:sz="4" w:space="0"/>
            </w:tcBorders>
          </w:tcPr>
          <w:p>
            <w:pPr>
              <w:widowControl/>
              <w:jc w:val="right"/>
              <w:textAlignment w:val="center"/>
              <w:rPr>
                <w:rFonts w:ascii="宋体" w:hAnsi="宋体" w:eastAsia="宋体" w:cs="宋体"/>
                <w:color w:val="000000"/>
                <w:kern w:val="0"/>
                <w:sz w:val="20"/>
                <w:lang w:bidi="ar"/>
              </w:rPr>
            </w:pPr>
          </w:p>
        </w:tc>
      </w:tr>
    </w:tbl>
    <w:p>
      <w:pPr>
        <w:ind w:firstLine="480" w:firstLineChars="200"/>
        <w:rPr>
          <w:rFonts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bottom"/>
          </w:tcPr>
          <w:p>
            <w:pPr>
              <w:widowControl/>
              <w:jc w:val="right"/>
              <w:textAlignment w:val="bottom"/>
              <w:rPr>
                <w:rFonts w:ascii="Arial" w:hAnsi="Arial" w:cs="Arial"/>
                <w:color w:val="000000"/>
                <w:sz w:val="20"/>
              </w:rPr>
            </w:pPr>
            <w:r>
              <w:rPr>
                <w:rFonts w:ascii="Arial" w:hAnsi="Arial" w:eastAsia="宋体" w:cs="Arial"/>
                <w:color w:val="000000"/>
                <w:kern w:val="0"/>
                <w:sz w:val="20"/>
                <w:lang w:bidi="ar"/>
              </w:rPr>
              <w:t>12</w:t>
            </w: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bottom"/>
          </w:tcPr>
          <w:p>
            <w:pPr>
              <w:widowControl/>
              <w:jc w:val="right"/>
              <w:textAlignment w:val="bottom"/>
              <w:rPr>
                <w:rFonts w:ascii="Arial" w:hAnsi="Arial" w:cs="Arial"/>
                <w:color w:val="000000"/>
                <w:sz w:val="20"/>
              </w:rPr>
            </w:pPr>
            <w:r>
              <w:rPr>
                <w:rFonts w:ascii="Arial" w:hAnsi="Arial" w:eastAsia="宋体" w:cs="Arial"/>
                <w:color w:val="000000"/>
                <w:kern w:val="0"/>
                <w:sz w:val="20"/>
                <w:lang w:bidi="ar"/>
              </w:rPr>
              <w:t>12</w:t>
            </w: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bottom"/>
          </w:tcPr>
          <w:p>
            <w:pPr>
              <w:widowControl/>
              <w:jc w:val="right"/>
              <w:textAlignment w:val="bottom"/>
              <w:rPr>
                <w:rFonts w:ascii="Arial" w:hAnsi="Arial" w:cs="Arial"/>
                <w:color w:val="000000"/>
                <w:sz w:val="20"/>
              </w:rPr>
            </w:pPr>
            <w:r>
              <w:rPr>
                <w:rFonts w:ascii="Arial" w:hAnsi="Arial" w:eastAsia="宋体" w:cs="Arial"/>
                <w:color w:val="000000"/>
                <w:kern w:val="0"/>
                <w:sz w:val="20"/>
                <w:lang w:bidi="ar"/>
              </w:rPr>
              <w:t>12</w:t>
            </w: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rPr>
              <w:t>2</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rPr>
              <w:t>176</w:t>
            </w:r>
            <w:r>
              <w:rPr>
                <w:color w:val="000000"/>
                <w:kern w:val="0"/>
                <w:sz w:val="28"/>
                <w:szCs w:val="28"/>
              </w:rPr>
              <w:t>人，其中：在职人员</w:t>
            </w:r>
            <w:r>
              <w:rPr>
                <w:rFonts w:hint="eastAsia" w:eastAsia="宋体"/>
                <w:color w:val="000000"/>
                <w:kern w:val="0"/>
                <w:sz w:val="28"/>
                <w:szCs w:val="28"/>
                <w:u w:val="single"/>
              </w:rPr>
              <w:t>116</w:t>
            </w:r>
            <w:r>
              <w:rPr>
                <w:color w:val="000000"/>
                <w:kern w:val="0"/>
                <w:sz w:val="28"/>
                <w:szCs w:val="28"/>
              </w:rPr>
              <w:t>人，离退休人员</w:t>
            </w:r>
            <w:r>
              <w:rPr>
                <w:rFonts w:hint="eastAsia" w:eastAsia="宋体"/>
                <w:color w:val="000000"/>
                <w:kern w:val="0"/>
                <w:sz w:val="28"/>
                <w:szCs w:val="28"/>
                <w:u w:val="single"/>
              </w:rPr>
              <w:t>60</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bl>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498"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628" w:type="dxa"/>
            <w:gridSpan w:val="3"/>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498" w:type="dxa"/>
            <w:vMerge w:val="continue"/>
            <w:vAlign w:val="center"/>
          </w:tcPr>
          <w:p>
            <w:pPr>
              <w:autoSpaceDN w:val="0"/>
              <w:jc w:val="center"/>
              <w:textAlignment w:val="center"/>
              <w:rPr>
                <w:rFonts w:ascii="Calibri" w:hAnsi="Calibri" w:eastAsia="华文细黑"/>
                <w:color w:val="000000"/>
                <w:sz w:val="20"/>
                <w:szCs w:val="22"/>
              </w:rPr>
            </w:pPr>
          </w:p>
        </w:tc>
        <w:tc>
          <w:tcPr>
            <w:tcW w:w="55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exact"/>
          <w:jc w:val="center"/>
        </w:trPr>
        <w:tc>
          <w:tcPr>
            <w:tcW w:w="759"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专项业务支出</w:t>
            </w:r>
          </w:p>
        </w:tc>
        <w:tc>
          <w:tcPr>
            <w:tcW w:w="1063" w:type="dxa"/>
            <w:vAlign w:val="center"/>
          </w:tcPr>
          <w:p>
            <w:pPr>
              <w:autoSpaceDN w:val="0"/>
              <w:jc w:val="center"/>
              <w:textAlignment w:val="center"/>
              <w:rPr>
                <w:rFonts w:ascii="宋体" w:hAnsi="宋体" w:eastAsia="宋体" w:cs="宋体"/>
                <w:color w:val="000000"/>
                <w:sz w:val="20"/>
                <w:szCs w:val="22"/>
              </w:rPr>
            </w:pPr>
          </w:p>
        </w:tc>
        <w:tc>
          <w:tcPr>
            <w:tcW w:w="1107" w:type="dxa"/>
            <w:vAlign w:val="center"/>
          </w:tcPr>
          <w:p>
            <w:pPr>
              <w:autoSpaceDN w:val="0"/>
              <w:jc w:val="center"/>
              <w:textAlignment w:val="center"/>
              <w:rPr>
                <w:rFonts w:ascii="宋体" w:hAnsi="宋体" w:eastAsia="宋体" w:cs="宋体"/>
                <w:color w:val="000000"/>
                <w:sz w:val="20"/>
                <w:szCs w:val="22"/>
              </w:rPr>
            </w:pPr>
          </w:p>
        </w:tc>
        <w:tc>
          <w:tcPr>
            <w:tcW w:w="864" w:type="dxa"/>
            <w:vAlign w:val="center"/>
          </w:tcPr>
          <w:p>
            <w:pPr>
              <w:autoSpaceDN w:val="0"/>
              <w:jc w:val="center"/>
              <w:textAlignment w:val="center"/>
              <w:rPr>
                <w:rFonts w:ascii="宋体" w:hAnsi="宋体" w:eastAsia="宋体" w:cs="宋体"/>
                <w:color w:val="000000"/>
                <w:sz w:val="20"/>
                <w:szCs w:val="22"/>
              </w:rPr>
            </w:pPr>
          </w:p>
        </w:tc>
        <w:tc>
          <w:tcPr>
            <w:tcW w:w="498" w:type="dxa"/>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410.8931</w:t>
            </w:r>
          </w:p>
        </w:tc>
        <w:tc>
          <w:tcPr>
            <w:tcW w:w="553" w:type="dxa"/>
            <w:vAlign w:val="center"/>
          </w:tcPr>
          <w:p>
            <w:pPr>
              <w:widowControl/>
              <w:jc w:val="right"/>
              <w:textAlignment w:val="center"/>
              <w:rPr>
                <w:rFonts w:ascii="宋体" w:hAnsi="宋体" w:eastAsia="宋体" w:cs="宋体"/>
                <w:color w:val="000000"/>
                <w:sz w:val="20"/>
                <w:szCs w:val="22"/>
              </w:rPr>
            </w:pPr>
            <w:r>
              <w:rPr>
                <w:rFonts w:hint="eastAsia" w:ascii="宋体" w:hAnsi="宋体" w:eastAsia="宋体" w:cs="宋体"/>
                <w:color w:val="000000"/>
                <w:kern w:val="0"/>
                <w:sz w:val="20"/>
                <w:lang w:bidi="ar"/>
              </w:rPr>
              <w:t>410.8931</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向海乡政府原财政所聘用人员工资1.3（42000元）</w:t>
            </w:r>
          </w:p>
        </w:tc>
        <w:tc>
          <w:tcPr>
            <w:tcW w:w="1107" w:type="dxa"/>
            <w:vAlign w:val="center"/>
          </w:tcPr>
          <w:p>
            <w:pPr>
              <w:autoSpaceDN w:val="0"/>
              <w:jc w:val="center"/>
              <w:textAlignment w:val="center"/>
              <w:rPr>
                <w:rFonts w:ascii="宋体" w:hAnsi="宋体" w:eastAsia="宋体" w:cs="宋体"/>
                <w:color w:val="000000"/>
                <w:sz w:val="20"/>
                <w:szCs w:val="22"/>
              </w:rPr>
            </w:pPr>
          </w:p>
        </w:tc>
        <w:tc>
          <w:tcPr>
            <w:tcW w:w="864" w:type="dxa"/>
            <w:vAlign w:val="center"/>
          </w:tcPr>
          <w:p>
            <w:pPr>
              <w:autoSpaceDN w:val="0"/>
              <w:jc w:val="center"/>
              <w:textAlignment w:val="center"/>
              <w:rPr>
                <w:rFonts w:ascii="宋体" w:hAnsi="宋体" w:eastAsia="宋体" w:cs="宋体"/>
                <w:color w:val="000000"/>
                <w:sz w:val="20"/>
                <w:szCs w:val="22"/>
              </w:rPr>
            </w:pP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4.2</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4.2</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p>
        </w:tc>
        <w:tc>
          <w:tcPr>
            <w:tcW w:w="1107"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向海乡政府原财政所聘用人员工资1.3</w:t>
            </w:r>
          </w:p>
        </w:tc>
        <w:tc>
          <w:tcPr>
            <w:tcW w:w="864"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通榆县向海蒙古族乡人民政府</w:t>
            </w: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4.2</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4.2</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向海乡政府大学生村官工资1.3（471913元）</w:t>
            </w:r>
          </w:p>
        </w:tc>
        <w:tc>
          <w:tcPr>
            <w:tcW w:w="1107" w:type="dxa"/>
            <w:vAlign w:val="center"/>
          </w:tcPr>
          <w:p>
            <w:pPr>
              <w:autoSpaceDN w:val="0"/>
              <w:jc w:val="center"/>
              <w:textAlignment w:val="center"/>
              <w:rPr>
                <w:rFonts w:ascii="宋体" w:hAnsi="宋体" w:eastAsia="宋体" w:cs="宋体"/>
                <w:color w:val="000000"/>
                <w:sz w:val="20"/>
                <w:szCs w:val="22"/>
              </w:rPr>
            </w:pPr>
          </w:p>
        </w:tc>
        <w:tc>
          <w:tcPr>
            <w:tcW w:w="864" w:type="dxa"/>
            <w:vAlign w:val="center"/>
          </w:tcPr>
          <w:p>
            <w:pPr>
              <w:autoSpaceDN w:val="0"/>
              <w:jc w:val="center"/>
              <w:textAlignment w:val="center"/>
              <w:rPr>
                <w:rFonts w:ascii="宋体" w:hAnsi="宋体" w:eastAsia="宋体" w:cs="宋体"/>
                <w:color w:val="000000"/>
                <w:sz w:val="20"/>
                <w:szCs w:val="22"/>
              </w:rPr>
            </w:pP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47.1913</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47.1913</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p>
        </w:tc>
        <w:tc>
          <w:tcPr>
            <w:tcW w:w="1107"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向海乡政府大学生村官工资1.3</w:t>
            </w:r>
          </w:p>
        </w:tc>
        <w:tc>
          <w:tcPr>
            <w:tcW w:w="864"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向海乡政府大学生村官工资1.3</w:t>
            </w: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47.1913</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47.1913</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向海乡政府辅助岗位人员工资1.5（342640元）</w:t>
            </w:r>
          </w:p>
        </w:tc>
        <w:tc>
          <w:tcPr>
            <w:tcW w:w="1107" w:type="dxa"/>
            <w:vAlign w:val="center"/>
          </w:tcPr>
          <w:p>
            <w:pPr>
              <w:autoSpaceDN w:val="0"/>
              <w:jc w:val="center"/>
              <w:textAlignment w:val="center"/>
              <w:rPr>
                <w:rFonts w:ascii="宋体" w:hAnsi="宋体" w:eastAsia="宋体" w:cs="宋体"/>
                <w:color w:val="000000"/>
                <w:sz w:val="20"/>
                <w:szCs w:val="22"/>
              </w:rPr>
            </w:pPr>
          </w:p>
        </w:tc>
        <w:tc>
          <w:tcPr>
            <w:tcW w:w="864" w:type="dxa"/>
            <w:vAlign w:val="center"/>
          </w:tcPr>
          <w:p>
            <w:pPr>
              <w:autoSpaceDN w:val="0"/>
              <w:jc w:val="center"/>
              <w:textAlignment w:val="center"/>
              <w:rPr>
                <w:rFonts w:ascii="宋体" w:hAnsi="宋体" w:eastAsia="宋体" w:cs="宋体"/>
                <w:color w:val="000000"/>
                <w:sz w:val="20"/>
                <w:szCs w:val="22"/>
              </w:rPr>
            </w:pP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34.264</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34.264</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p>
        </w:tc>
        <w:tc>
          <w:tcPr>
            <w:tcW w:w="1107"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向海乡政府辅助岗位人员工资1.5</w:t>
            </w:r>
          </w:p>
        </w:tc>
        <w:tc>
          <w:tcPr>
            <w:tcW w:w="864"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通榆县向海蒙古族乡人民政府</w:t>
            </w: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34.264</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34.264</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向海乡政府驻村工作队生活补助1.3（396000元）</w:t>
            </w:r>
          </w:p>
        </w:tc>
        <w:tc>
          <w:tcPr>
            <w:tcW w:w="1107" w:type="dxa"/>
            <w:vAlign w:val="center"/>
          </w:tcPr>
          <w:p>
            <w:pPr>
              <w:autoSpaceDN w:val="0"/>
              <w:jc w:val="center"/>
              <w:textAlignment w:val="center"/>
              <w:rPr>
                <w:rFonts w:ascii="宋体" w:hAnsi="宋体" w:eastAsia="宋体" w:cs="宋体"/>
                <w:color w:val="000000"/>
                <w:sz w:val="20"/>
                <w:szCs w:val="22"/>
              </w:rPr>
            </w:pPr>
          </w:p>
        </w:tc>
        <w:tc>
          <w:tcPr>
            <w:tcW w:w="864" w:type="dxa"/>
            <w:vAlign w:val="center"/>
          </w:tcPr>
          <w:p>
            <w:pPr>
              <w:autoSpaceDN w:val="0"/>
              <w:jc w:val="center"/>
              <w:textAlignment w:val="center"/>
              <w:rPr>
                <w:rFonts w:ascii="宋体" w:hAnsi="宋体" w:eastAsia="宋体" w:cs="宋体"/>
                <w:color w:val="000000"/>
                <w:sz w:val="20"/>
                <w:szCs w:val="22"/>
              </w:rPr>
            </w:pP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39.6</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39.6</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p>
        </w:tc>
        <w:tc>
          <w:tcPr>
            <w:tcW w:w="1107"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向海乡政府驻村工作队生活补助1.3</w:t>
            </w:r>
          </w:p>
        </w:tc>
        <w:tc>
          <w:tcPr>
            <w:tcW w:w="864"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通榆县向海蒙古族乡人民政府</w:t>
            </w: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39.6</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39.6</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向海乡转移支付资金1.3（325478元）</w:t>
            </w:r>
          </w:p>
        </w:tc>
        <w:tc>
          <w:tcPr>
            <w:tcW w:w="1107" w:type="dxa"/>
            <w:vAlign w:val="center"/>
          </w:tcPr>
          <w:p>
            <w:pPr>
              <w:autoSpaceDN w:val="0"/>
              <w:jc w:val="center"/>
              <w:textAlignment w:val="center"/>
              <w:rPr>
                <w:rFonts w:ascii="宋体" w:hAnsi="宋体" w:eastAsia="宋体" w:cs="宋体"/>
                <w:color w:val="000000"/>
                <w:sz w:val="20"/>
                <w:szCs w:val="22"/>
              </w:rPr>
            </w:pPr>
          </w:p>
        </w:tc>
        <w:tc>
          <w:tcPr>
            <w:tcW w:w="864" w:type="dxa"/>
            <w:vAlign w:val="center"/>
          </w:tcPr>
          <w:p>
            <w:pPr>
              <w:autoSpaceDN w:val="0"/>
              <w:jc w:val="center"/>
              <w:textAlignment w:val="center"/>
              <w:rPr>
                <w:rFonts w:ascii="宋体" w:hAnsi="宋体" w:eastAsia="宋体" w:cs="宋体"/>
                <w:color w:val="000000"/>
                <w:sz w:val="20"/>
                <w:szCs w:val="22"/>
              </w:rPr>
            </w:pP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32.5478</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32.5478</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p>
        </w:tc>
        <w:tc>
          <w:tcPr>
            <w:tcW w:w="1107"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向海乡转移支付资金1.3</w:t>
            </w:r>
          </w:p>
        </w:tc>
        <w:tc>
          <w:tcPr>
            <w:tcW w:w="864"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通榆县向海蒙古族乡人民政府</w:t>
            </w:r>
          </w:p>
        </w:tc>
        <w:tc>
          <w:tcPr>
            <w:tcW w:w="498"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32.5478</w:t>
            </w:r>
          </w:p>
        </w:tc>
        <w:tc>
          <w:tcPr>
            <w:tcW w:w="553" w:type="dxa"/>
            <w:vAlign w:val="bottom"/>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32.5478</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2"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向海乡综合服务中心村级组织运转经费1.3（2530900元）</w:t>
            </w:r>
          </w:p>
        </w:tc>
        <w:tc>
          <w:tcPr>
            <w:tcW w:w="1107" w:type="dxa"/>
            <w:vAlign w:val="center"/>
          </w:tcPr>
          <w:p>
            <w:pPr>
              <w:autoSpaceDN w:val="0"/>
              <w:jc w:val="center"/>
              <w:textAlignment w:val="center"/>
              <w:rPr>
                <w:rFonts w:ascii="宋体" w:hAnsi="宋体" w:eastAsia="宋体" w:cs="宋体"/>
                <w:color w:val="000000"/>
                <w:sz w:val="20"/>
                <w:szCs w:val="22"/>
              </w:rPr>
            </w:pPr>
          </w:p>
        </w:tc>
        <w:tc>
          <w:tcPr>
            <w:tcW w:w="864" w:type="dxa"/>
            <w:vAlign w:val="center"/>
          </w:tcPr>
          <w:p>
            <w:pPr>
              <w:autoSpaceDN w:val="0"/>
              <w:jc w:val="center"/>
              <w:textAlignment w:val="center"/>
              <w:rPr>
                <w:rFonts w:ascii="宋体" w:hAnsi="宋体" w:eastAsia="宋体" w:cs="宋体"/>
                <w:color w:val="000000"/>
                <w:sz w:val="20"/>
                <w:szCs w:val="22"/>
              </w:rPr>
            </w:pPr>
          </w:p>
        </w:tc>
        <w:tc>
          <w:tcPr>
            <w:tcW w:w="498"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253.09</w:t>
            </w:r>
          </w:p>
        </w:tc>
        <w:tc>
          <w:tcPr>
            <w:tcW w:w="553"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253.09</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exact"/>
          <w:jc w:val="center"/>
        </w:trPr>
        <w:tc>
          <w:tcPr>
            <w:tcW w:w="759" w:type="dxa"/>
            <w:vAlign w:val="center"/>
          </w:tcPr>
          <w:p>
            <w:pPr>
              <w:autoSpaceDN w:val="0"/>
              <w:jc w:val="center"/>
              <w:textAlignment w:val="center"/>
              <w:rPr>
                <w:rFonts w:ascii="宋体" w:hAnsi="宋体" w:eastAsia="宋体" w:cs="宋体"/>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p>
        </w:tc>
        <w:tc>
          <w:tcPr>
            <w:tcW w:w="1107"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向海乡综合服务中心村级组织运转经费1.3（2530900元）</w:t>
            </w:r>
          </w:p>
        </w:tc>
        <w:tc>
          <w:tcPr>
            <w:tcW w:w="864"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通榆县向海蒙古族乡综合服务中心</w:t>
            </w:r>
          </w:p>
        </w:tc>
        <w:tc>
          <w:tcPr>
            <w:tcW w:w="498"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253.09</w:t>
            </w:r>
          </w:p>
        </w:tc>
        <w:tc>
          <w:tcPr>
            <w:tcW w:w="553" w:type="dxa"/>
            <w:vAlign w:val="center"/>
          </w:tcPr>
          <w:p>
            <w:pPr>
              <w:autoSpaceDN w:val="0"/>
              <w:jc w:val="center"/>
              <w:textAlignment w:val="center"/>
              <w:rPr>
                <w:rFonts w:ascii="宋体" w:hAnsi="宋体" w:eastAsia="宋体" w:cs="宋体"/>
                <w:color w:val="000000"/>
                <w:sz w:val="20"/>
                <w:szCs w:val="22"/>
              </w:rPr>
            </w:pPr>
            <w:r>
              <w:rPr>
                <w:rFonts w:ascii="宋体" w:hAnsi="宋体" w:eastAsia="宋体" w:cs="宋体"/>
                <w:color w:val="000000"/>
                <w:sz w:val="20"/>
                <w:szCs w:val="22"/>
              </w:rPr>
              <w:t>253.09</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exact"/>
          <w:jc w:val="center"/>
        </w:trPr>
        <w:tc>
          <w:tcPr>
            <w:tcW w:w="759"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063" w:type="dxa"/>
            <w:vAlign w:val="center"/>
          </w:tcPr>
          <w:p>
            <w:pPr>
              <w:autoSpaceDN w:val="0"/>
              <w:jc w:val="center"/>
              <w:textAlignment w:val="center"/>
              <w:rPr>
                <w:rFonts w:ascii="宋体" w:hAnsi="宋体" w:eastAsia="宋体" w:cs="宋体"/>
                <w:color w:val="000000"/>
                <w:sz w:val="20"/>
                <w:szCs w:val="22"/>
              </w:rPr>
            </w:pPr>
          </w:p>
        </w:tc>
        <w:tc>
          <w:tcPr>
            <w:tcW w:w="1107" w:type="dxa"/>
            <w:vAlign w:val="center"/>
          </w:tcPr>
          <w:p>
            <w:pPr>
              <w:autoSpaceDN w:val="0"/>
              <w:jc w:val="center"/>
              <w:textAlignment w:val="center"/>
              <w:rPr>
                <w:rFonts w:ascii="宋体" w:hAnsi="宋体" w:eastAsia="宋体" w:cs="宋体"/>
                <w:color w:val="000000"/>
                <w:sz w:val="20"/>
                <w:szCs w:val="22"/>
              </w:rPr>
            </w:pPr>
          </w:p>
        </w:tc>
        <w:tc>
          <w:tcPr>
            <w:tcW w:w="864" w:type="dxa"/>
            <w:vAlign w:val="center"/>
          </w:tcPr>
          <w:p>
            <w:pPr>
              <w:autoSpaceDN w:val="0"/>
              <w:jc w:val="center"/>
              <w:textAlignment w:val="center"/>
              <w:rPr>
                <w:rFonts w:ascii="宋体" w:hAnsi="宋体" w:eastAsia="宋体" w:cs="宋体"/>
                <w:color w:val="000000"/>
                <w:sz w:val="20"/>
                <w:szCs w:val="22"/>
              </w:rPr>
            </w:pPr>
          </w:p>
        </w:tc>
        <w:tc>
          <w:tcPr>
            <w:tcW w:w="498" w:type="dxa"/>
            <w:vAlign w:val="center"/>
          </w:tcPr>
          <w:p>
            <w:pPr>
              <w:widowControl/>
              <w:jc w:val="right"/>
              <w:textAlignment w:val="center"/>
              <w:rPr>
                <w:rFonts w:ascii="宋体" w:hAnsi="宋体" w:eastAsia="宋体" w:cs="宋体"/>
                <w:color w:val="000000"/>
                <w:sz w:val="20"/>
              </w:rPr>
            </w:pPr>
            <w:r>
              <w:rPr>
                <w:rFonts w:hint="eastAsia" w:ascii="宋体" w:hAnsi="宋体" w:eastAsia="宋体" w:cs="宋体"/>
                <w:color w:val="000000"/>
                <w:kern w:val="0"/>
                <w:sz w:val="20"/>
                <w:lang w:bidi="ar"/>
              </w:rPr>
              <w:t>410.8931</w:t>
            </w:r>
          </w:p>
        </w:tc>
        <w:tc>
          <w:tcPr>
            <w:tcW w:w="553" w:type="dxa"/>
            <w:vAlign w:val="center"/>
          </w:tcPr>
          <w:p>
            <w:pPr>
              <w:widowControl/>
              <w:jc w:val="right"/>
              <w:textAlignment w:val="center"/>
              <w:rPr>
                <w:rFonts w:ascii="宋体" w:hAnsi="宋体" w:eastAsia="宋体" w:cs="宋体"/>
                <w:color w:val="000000"/>
                <w:sz w:val="20"/>
                <w:szCs w:val="22"/>
              </w:rPr>
            </w:pPr>
            <w:r>
              <w:rPr>
                <w:rFonts w:hint="eastAsia" w:ascii="宋体" w:hAnsi="宋体" w:eastAsia="宋体" w:cs="宋体"/>
                <w:color w:val="000000"/>
                <w:kern w:val="0"/>
                <w:sz w:val="20"/>
                <w:lang w:bidi="ar"/>
              </w:rPr>
              <w:t>410.8931</w:t>
            </w:r>
          </w:p>
        </w:tc>
        <w:tc>
          <w:tcPr>
            <w:tcW w:w="554" w:type="dxa"/>
            <w:vAlign w:val="center"/>
          </w:tcPr>
          <w:p>
            <w:pPr>
              <w:autoSpaceDN w:val="0"/>
              <w:jc w:val="center"/>
              <w:textAlignment w:val="center"/>
              <w:rPr>
                <w:rFonts w:ascii="宋体" w:hAnsi="宋体" w:eastAsia="宋体" w:cs="宋体"/>
                <w:color w:val="000000"/>
                <w:sz w:val="20"/>
                <w:szCs w:val="2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向海乡政府原财政所聘用人员工资1.3</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4.20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4.20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向海乡财政办公室一人，按照每个月3500元标准，用来解决其工资。</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p>
            <w:pPr>
              <w:autoSpaceDN w:val="0"/>
              <w:jc w:val="center"/>
              <w:textAlignment w:val="center"/>
              <w:rPr>
                <w:rFonts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原财政所聘用人员人数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人员雇佣达标率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工资月标准</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=3500元/月/人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工资到账及时率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对工作质量、工作效率的影响</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聘用人员对工资发放及时率的满意度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textAlignment w:val="center"/>
              <w:rPr>
                <w:rFonts w:eastAsia="方正小标宋简体"/>
                <w:kern w:val="0"/>
                <w:sz w:val="36"/>
                <w:szCs w:val="36"/>
              </w:rPr>
            </w:pPr>
          </w:p>
          <w:p>
            <w:pPr>
              <w:widowControl/>
              <w:textAlignment w:val="center"/>
              <w:rPr>
                <w:rFonts w:eastAsia="方正小标宋简体"/>
                <w:kern w:val="0"/>
                <w:sz w:val="36"/>
                <w:szCs w:val="36"/>
              </w:rPr>
            </w:pPr>
          </w:p>
          <w:p>
            <w:pPr>
              <w:widowControl/>
              <w:textAlignment w:val="center"/>
              <w:rPr>
                <w:rFonts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向海乡政府大学生村官工资1.3</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47.19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47.19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向海乡大学生村官共9人，此笔资金用于村官工资，为了更好协助村内治理工作，促进经济发展，办好民生实事。</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村官总人数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=9人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聘用达标率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月工资平均标准</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&lt;=4369.56元/月/人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工资发放及时性</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行政村办事服务效率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作用明显</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村官满意度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bl>
    <w:p>
      <w:pPr>
        <w:spacing w:line="700" w:lineRule="exact"/>
        <w:rPr>
          <w:rFonts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向海乡政府辅助岗位人员工资1.5</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为了更好协助乡里治理工作，促进经济发展，办好民生实事。</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辅助岗总人数</w:t>
            </w:r>
          </w:p>
        </w:tc>
        <w:tc>
          <w:tcPr>
            <w:tcW w:w="23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=9人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聘用达标率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月工资平均标准</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&lt;=3172.59元/月/人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工资发放及时性</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行政村办事服务效率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作用明显</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辅助岗满意度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向海乡政府驻村工作队生活补助1.3</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39.60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39.60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向海乡驻村工作队驻村开展工作，驻村工作队主要工作职责是帮助村书记共同开展各项工作，使村部工作运行更加有序，生活补助经费能够使驻村工作队更好的有序开展工作。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驻村天数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=3960天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驻村补助对生活水平影响程度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补助标准</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=100元/天/人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补助资金发放的及时率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对工作质量、工作效率的影响</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驻村干部对补助资金拨付及时性的满意度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向海乡转移支付资金1.3</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32.55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32.55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为了维持基层政府基本运转，保障基层政府运行，达到为人民服务初衷。</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乡镇转移支付资金涉及单位</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资金使用率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运行成本</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=325478元/个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资金到账及时率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向海乡政府运转率</w:t>
            </w:r>
          </w:p>
        </w:tc>
        <w:tc>
          <w:tcPr>
            <w:tcW w:w="23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明显提高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政府工作人员对此笔资金应用情况满意度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Verdana" w:hAnsi="Verdana" w:cs="Verdana"/>
                <w:color w:val="000000"/>
                <w:sz w:val="24"/>
                <w:szCs w:val="24"/>
              </w:rPr>
            </w:pPr>
            <w:r>
              <w:rPr>
                <w:rFonts w:ascii="宋体" w:hAnsi="宋体" w:eastAsia="宋体" w:cs="宋体"/>
                <w:color w:val="000000"/>
                <w:sz w:val="20"/>
              </w:rPr>
              <w:t>向海乡综合服务中心村级组织运转经费1.3（2530900元）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253.09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253.09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向海乡行政村16个，村级组织运转经费保障16个村正常运转。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经费保障村数量</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=16个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村级组织正常运转率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村级运转经费数</w:t>
            </w:r>
          </w:p>
        </w:tc>
        <w:tc>
          <w:tcPr>
            <w:tcW w:w="2392" w:type="dxa"/>
            <w:tcBorders>
              <w:top w:val="single" w:color="000000" w:sz="4" w:space="0"/>
              <w:left w:val="single" w:color="000000" w:sz="4" w:space="0"/>
              <w:bottom w:val="single" w:color="000000" w:sz="4" w:space="0"/>
              <w:right w:val="single" w:color="000000" w:sz="4" w:space="0"/>
            </w:tcBorders>
            <w:vAlign w:val="center"/>
          </w:tcPr>
          <w:p>
            <w:pPr>
              <w:tabs>
                <w:tab w:val="left" w:pos="375"/>
                <w:tab w:val="center" w:pos="1241"/>
              </w:tabs>
              <w:autoSpaceDN w:val="0"/>
              <w:jc w:val="left"/>
              <w:textAlignment w:val="center"/>
              <w:rPr>
                <w:rFonts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w:t>
            </w:r>
            <w:r>
              <w:rPr>
                <w:rFonts w:hint="eastAsia" w:ascii="宋体" w:hAnsi="宋体" w:eastAsia="宋体" w:cs="宋体"/>
                <w:color w:val="000000"/>
                <w:sz w:val="20"/>
              </w:rPr>
              <w:tab/>
            </w:r>
            <w:r>
              <w:rPr>
                <w:rFonts w:hint="eastAsia" w:ascii="宋体" w:hAnsi="宋体" w:eastAsia="宋体" w:cs="宋体"/>
                <w:color w:val="000000"/>
                <w:sz w:val="20"/>
              </w:rPr>
              <w:t>158181.25元/村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村级组织运转经费拨付及时率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提升基层党组织情况</w:t>
            </w:r>
          </w:p>
        </w:tc>
        <w:tc>
          <w:tcPr>
            <w:tcW w:w="2392" w:type="dxa"/>
            <w:tcBorders>
              <w:top w:val="single" w:color="000000" w:sz="4" w:space="0"/>
              <w:left w:val="single" w:color="000000" w:sz="4" w:space="0"/>
              <w:bottom w:val="single" w:color="000000" w:sz="4" w:space="0"/>
              <w:right w:val="single" w:color="000000" w:sz="4" w:space="0"/>
            </w:tcBorders>
            <w:vAlign w:val="center"/>
          </w:tcPr>
          <w:p>
            <w:pPr>
              <w:tabs>
                <w:tab w:val="left" w:pos="660"/>
                <w:tab w:val="center" w:pos="1241"/>
              </w:tabs>
              <w:autoSpaceDN w:val="0"/>
              <w:jc w:val="left"/>
              <w:textAlignment w:val="center"/>
              <w:rPr>
                <w:rFonts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 xml:space="preserve">   =100%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村干部满意度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=100%</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2024</w:t>
      </w:r>
      <w:r>
        <w:rPr>
          <w:rFonts w:eastAsia="黑体"/>
          <w:szCs w:val="32"/>
        </w:rPr>
        <w:t>年收支预算总体情况</w:t>
      </w:r>
    </w:p>
    <w:p>
      <w:pPr>
        <w:ind w:firstLine="640" w:firstLineChars="200"/>
        <w:rPr>
          <w:rFonts w:ascii="仿宋_GB2312" w:hAnsi="仿宋_GB2312" w:cs="仿宋_GB2312"/>
          <w:szCs w:val="32"/>
        </w:rPr>
      </w:pPr>
      <w:r>
        <w:rPr>
          <w:rFonts w:hint="eastAsia" w:ascii="仿宋_GB2312" w:hAnsi="仿宋_GB2312" w:cs="仿宋_GB2312"/>
          <w:szCs w:val="32"/>
        </w:rPr>
        <w:t>按照综合预算的原则，所有收入和支出全部纳入部门预算管理。收入包括：一般公共预算拨款收入2074.559265万元；支出包括：一般公共服务支出1418.853409万元、社会保障和就业支出214.192635万元、</w:t>
      </w:r>
      <w:r>
        <w:rPr>
          <w:rFonts w:hint="eastAsia" w:ascii="仿宋_GB2312" w:hAnsi="仿宋_GB2312" w:cs="仿宋_GB2312"/>
          <w:kern w:val="0"/>
          <w:szCs w:val="32"/>
        </w:rPr>
        <w:t>卫生健康支出</w:t>
      </w:r>
      <w:r>
        <w:rPr>
          <w:rFonts w:hint="eastAsia" w:ascii="仿宋_GB2312" w:hAnsi="仿宋_GB2312" w:cs="仿宋_GB2312"/>
          <w:szCs w:val="32"/>
        </w:rPr>
        <w:t>70.593852万元、农林水支出253.09万元、住房保障支出117.829369万元、。2024年收支总预算2074.559265万元，其中：当年预算2074.559265万元；上年结转0万元。2024年当年预算比2023年预算增加140.45724万元，主要原因是项目资金增加。</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二、2024年收入预算情况</w:t>
      </w:r>
    </w:p>
    <w:p>
      <w:pPr>
        <w:ind w:firstLine="640" w:firstLineChars="200"/>
        <w:rPr>
          <w:rFonts w:ascii="仿宋_GB2312" w:hAnsi="仿宋_GB2312" w:cs="仿宋_GB2312"/>
          <w:szCs w:val="32"/>
        </w:rPr>
      </w:pPr>
      <w:r>
        <w:rPr>
          <w:rFonts w:hint="eastAsia" w:ascii="仿宋_GB2312" w:hAnsi="仿宋_GB2312" w:cs="仿宋_GB2312"/>
          <w:szCs w:val="32"/>
        </w:rPr>
        <w:t>2024年收入预算2074.559265万元，其中：本年收入2074.559265万元，占100%；上年结转0万元，占0%。本年收入中，一般公共预算拨款收入2074.559265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rPr>
        <w:t>未涉及到的资金填“0”。</w:t>
      </w:r>
    </w:p>
    <w:p>
      <w:pPr>
        <w:ind w:firstLine="640" w:firstLineChars="200"/>
        <w:rPr>
          <w:rFonts w:ascii="黑体" w:hAnsi="黑体" w:eastAsia="黑体" w:cs="黑体"/>
          <w:szCs w:val="32"/>
        </w:rPr>
      </w:pPr>
      <w:r>
        <w:rPr>
          <w:rFonts w:eastAsia="楷体"/>
          <w:szCs w:val="30"/>
        </w:rPr>
        <w:br w:type="page"/>
      </w:r>
      <w:r>
        <w:rPr>
          <w:rFonts w:hint="eastAsia" w:ascii="黑体" w:hAnsi="黑体" w:eastAsia="黑体" w:cs="黑体"/>
          <w:szCs w:val="32"/>
        </w:rPr>
        <w:t>三、2024年支出预算情况</w:t>
      </w:r>
    </w:p>
    <w:p>
      <w:pPr>
        <w:ind w:firstLine="640" w:firstLineChars="200"/>
        <w:rPr>
          <w:rFonts w:ascii="仿宋_GB2312" w:hAnsi="仿宋_GB2312" w:cs="仿宋_GB2312"/>
          <w:szCs w:val="32"/>
        </w:rPr>
      </w:pPr>
      <w:r>
        <w:rPr>
          <w:rFonts w:hint="eastAsia" w:ascii="仿宋_GB2312" w:hAnsi="仿宋_GB2312" w:cs="仿宋_GB2312"/>
          <w:szCs w:val="32"/>
        </w:rPr>
        <w:t>2024年支出预算2074.559265万元，其中：基本支出1663.666165万元，占80.19%；项目支出410.8931万元，占19.81%；事业单位经营支出0万元，占0%；上缴上级支出0万元，占0%；对附属单位补助支出0万元，占0%。</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ascii="黑体" w:hAnsi="黑体" w:eastAsia="黑体" w:cs="黑体"/>
          <w:szCs w:val="32"/>
        </w:rPr>
      </w:pPr>
      <w:r>
        <w:rPr>
          <w:rFonts w:eastAsia="楷体"/>
          <w:szCs w:val="32"/>
        </w:rPr>
        <w:br w:type="page"/>
      </w:r>
      <w:r>
        <w:rPr>
          <w:rFonts w:hint="eastAsia" w:ascii="黑体" w:hAnsi="黑体" w:eastAsia="黑体" w:cs="黑体"/>
          <w:szCs w:val="32"/>
        </w:rPr>
        <w:t>四、2024年财政拨款收支预算情况</w:t>
      </w:r>
    </w:p>
    <w:p>
      <w:pPr>
        <w:ind w:firstLine="600"/>
        <w:rPr>
          <w:szCs w:val="32"/>
        </w:rPr>
      </w:pPr>
      <w:r>
        <w:rPr>
          <w:rFonts w:hint="eastAsia" w:ascii="仿宋_GB2312" w:hAnsi="仿宋_GB2312" w:cs="仿宋_GB2312"/>
          <w:szCs w:val="32"/>
        </w:rPr>
        <w:t>2024年财政拨款收支总预算2074.559265万元，其中：本年收入2074.559265万元，上年结转0万元。支出包括：</w:t>
      </w:r>
      <w:r>
        <w:rPr>
          <w:rFonts w:hint="eastAsia" w:ascii="仿宋_GB2312" w:hAnsi="仿宋_GB2312" w:cs="仿宋_GB2312"/>
          <w:kern w:val="0"/>
          <w:szCs w:val="32"/>
        </w:rPr>
        <w:t>一般公共服务支出</w:t>
      </w:r>
      <w:r>
        <w:rPr>
          <w:rFonts w:hint="eastAsia" w:ascii="仿宋_GB2312" w:hAnsi="仿宋_GB2312" w:cs="仿宋_GB2312"/>
          <w:szCs w:val="32"/>
        </w:rPr>
        <w:t>1418.853409万元，</w:t>
      </w:r>
      <w:r>
        <w:rPr>
          <w:rFonts w:hint="eastAsia" w:ascii="仿宋_GB2312" w:hAnsi="仿宋_GB2312" w:cs="仿宋_GB2312"/>
          <w:kern w:val="0"/>
          <w:szCs w:val="32"/>
        </w:rPr>
        <w:t>国防支出</w:t>
      </w:r>
      <w:r>
        <w:rPr>
          <w:rFonts w:hint="eastAsia" w:ascii="仿宋_GB2312" w:hAnsi="仿宋_GB2312" w:cs="仿宋_GB2312"/>
          <w:szCs w:val="32"/>
        </w:rPr>
        <w:t>0万元，</w:t>
      </w:r>
      <w:r>
        <w:rPr>
          <w:rFonts w:hint="eastAsia" w:ascii="仿宋_GB2312" w:hAnsi="仿宋_GB2312" w:cs="仿宋_GB2312"/>
          <w:kern w:val="0"/>
          <w:szCs w:val="32"/>
        </w:rPr>
        <w:t>公共安全支出</w:t>
      </w:r>
      <w:r>
        <w:rPr>
          <w:rFonts w:hint="eastAsia" w:ascii="仿宋_GB2312" w:hAnsi="仿宋_GB2312" w:cs="仿宋_GB2312"/>
          <w:szCs w:val="32"/>
        </w:rPr>
        <w:t>0万元，</w:t>
      </w:r>
      <w:r>
        <w:rPr>
          <w:rFonts w:hint="eastAsia" w:ascii="仿宋_GB2312" w:hAnsi="仿宋_GB2312" w:cs="仿宋_GB2312"/>
          <w:kern w:val="0"/>
          <w:szCs w:val="32"/>
        </w:rPr>
        <w:t>教育支出</w:t>
      </w:r>
      <w:r>
        <w:rPr>
          <w:rFonts w:hint="eastAsia" w:ascii="仿宋_GB2312" w:hAnsi="仿宋_GB2312" w:cs="仿宋_GB2312"/>
          <w:szCs w:val="32"/>
        </w:rPr>
        <w:t>0万元，</w:t>
      </w:r>
      <w:r>
        <w:rPr>
          <w:rFonts w:hint="eastAsia" w:ascii="仿宋_GB2312" w:hAnsi="仿宋_GB2312" w:cs="仿宋_GB2312"/>
          <w:kern w:val="0"/>
          <w:szCs w:val="32"/>
        </w:rPr>
        <w:t>科学技术支出</w:t>
      </w:r>
      <w:r>
        <w:rPr>
          <w:rFonts w:hint="eastAsia" w:ascii="仿宋_GB2312" w:hAnsi="仿宋_GB2312" w:cs="仿宋_GB2312"/>
          <w:szCs w:val="32"/>
        </w:rPr>
        <w:t>0万元，</w:t>
      </w:r>
      <w:r>
        <w:rPr>
          <w:rFonts w:hint="eastAsia" w:ascii="仿宋_GB2312" w:hAnsi="仿宋_GB2312" w:cs="仿宋_GB2312"/>
          <w:kern w:val="0"/>
          <w:szCs w:val="32"/>
        </w:rPr>
        <w:t>文化旅游体育与传媒支出</w:t>
      </w:r>
      <w:r>
        <w:rPr>
          <w:rFonts w:hint="eastAsia" w:ascii="仿宋_GB2312" w:hAnsi="仿宋_GB2312" w:cs="仿宋_GB2312"/>
          <w:szCs w:val="32"/>
        </w:rPr>
        <w:t>0万元，</w:t>
      </w:r>
      <w:r>
        <w:rPr>
          <w:rFonts w:hint="eastAsia" w:ascii="仿宋_GB2312" w:hAnsi="仿宋_GB2312" w:cs="仿宋_GB2312"/>
          <w:kern w:val="0"/>
          <w:szCs w:val="32"/>
        </w:rPr>
        <w:t>社会保障和就业支出</w:t>
      </w:r>
      <w:r>
        <w:rPr>
          <w:rFonts w:hint="eastAsia" w:ascii="仿宋_GB2312" w:hAnsi="仿宋_GB2312" w:cs="仿宋_GB2312"/>
          <w:szCs w:val="32"/>
        </w:rPr>
        <w:t>214.192635万元，</w:t>
      </w:r>
      <w:r>
        <w:rPr>
          <w:rFonts w:hint="eastAsia" w:ascii="仿宋_GB2312" w:hAnsi="仿宋_GB2312" w:cs="仿宋_GB2312"/>
          <w:kern w:val="0"/>
          <w:szCs w:val="32"/>
        </w:rPr>
        <w:t>社会保险基金支出</w:t>
      </w:r>
      <w:r>
        <w:rPr>
          <w:rFonts w:hint="eastAsia" w:ascii="仿宋_GB2312" w:hAnsi="仿宋_GB2312" w:cs="仿宋_GB2312"/>
          <w:szCs w:val="32"/>
        </w:rPr>
        <w:t>0万元，</w:t>
      </w:r>
      <w:r>
        <w:rPr>
          <w:rFonts w:hint="eastAsia" w:ascii="仿宋_GB2312" w:hAnsi="仿宋_GB2312" w:cs="仿宋_GB2312"/>
          <w:kern w:val="0"/>
          <w:szCs w:val="32"/>
        </w:rPr>
        <w:t>卫生健康支出</w:t>
      </w:r>
      <w:r>
        <w:rPr>
          <w:rFonts w:hint="eastAsia" w:ascii="仿宋_GB2312" w:hAnsi="仿宋_GB2312" w:cs="仿宋_GB2312"/>
          <w:szCs w:val="32"/>
        </w:rPr>
        <w:t>70.593852万元，</w:t>
      </w:r>
      <w:r>
        <w:rPr>
          <w:rFonts w:hint="eastAsia" w:ascii="仿宋_GB2312" w:hAnsi="仿宋_GB2312" w:cs="仿宋_GB2312"/>
          <w:kern w:val="0"/>
          <w:szCs w:val="32"/>
        </w:rPr>
        <w:t>节能环保支出</w:t>
      </w:r>
      <w:r>
        <w:rPr>
          <w:rFonts w:hint="eastAsia" w:ascii="仿宋_GB2312" w:hAnsi="仿宋_GB2312" w:cs="仿宋_GB2312"/>
          <w:szCs w:val="32"/>
        </w:rPr>
        <w:t>0万元，</w:t>
      </w:r>
      <w:r>
        <w:rPr>
          <w:rFonts w:hint="eastAsia" w:ascii="仿宋_GB2312" w:hAnsi="仿宋_GB2312" w:cs="仿宋_GB2312"/>
          <w:kern w:val="0"/>
          <w:szCs w:val="32"/>
        </w:rPr>
        <w:t>城乡社区支出</w:t>
      </w:r>
      <w:r>
        <w:rPr>
          <w:rFonts w:hint="eastAsia" w:ascii="仿宋_GB2312" w:hAnsi="仿宋_GB2312" w:cs="仿宋_GB2312"/>
          <w:szCs w:val="32"/>
        </w:rPr>
        <w:t>0万元，</w:t>
      </w:r>
      <w:r>
        <w:rPr>
          <w:rFonts w:hint="eastAsia" w:ascii="仿宋_GB2312" w:hAnsi="仿宋_GB2312" w:cs="仿宋_GB2312"/>
          <w:kern w:val="0"/>
          <w:szCs w:val="32"/>
        </w:rPr>
        <w:t>农林水支出</w:t>
      </w:r>
      <w:r>
        <w:rPr>
          <w:rFonts w:hint="eastAsia" w:ascii="仿宋_GB2312" w:hAnsi="仿宋_GB2312" w:cs="仿宋_GB2312"/>
          <w:szCs w:val="32"/>
        </w:rPr>
        <w:t>253.09万元，</w:t>
      </w:r>
      <w:r>
        <w:rPr>
          <w:rFonts w:hint="eastAsia" w:ascii="仿宋_GB2312" w:hAnsi="仿宋_GB2312" w:cs="仿宋_GB2312"/>
          <w:kern w:val="0"/>
          <w:szCs w:val="32"/>
        </w:rPr>
        <w:t>交通运输支出</w:t>
      </w:r>
      <w:r>
        <w:rPr>
          <w:rFonts w:hint="eastAsia" w:ascii="仿宋_GB2312" w:hAnsi="仿宋_GB2312" w:cs="仿宋_GB2312"/>
          <w:szCs w:val="32"/>
        </w:rPr>
        <w:t>0万元，</w:t>
      </w:r>
      <w:r>
        <w:rPr>
          <w:rFonts w:hint="eastAsia" w:ascii="仿宋_GB2312" w:hAnsi="仿宋_GB2312" w:cs="仿宋_GB2312"/>
          <w:kern w:val="0"/>
          <w:szCs w:val="32"/>
        </w:rPr>
        <w:t>资源勘探信息等支出</w:t>
      </w:r>
      <w:r>
        <w:rPr>
          <w:rFonts w:hint="eastAsia" w:ascii="仿宋_GB2312" w:hAnsi="仿宋_GB2312" w:cs="仿宋_GB2312"/>
          <w:szCs w:val="32"/>
        </w:rPr>
        <w:t>0万元，</w:t>
      </w:r>
      <w:r>
        <w:rPr>
          <w:rFonts w:hint="eastAsia" w:ascii="仿宋_GB2312" w:hAnsi="仿宋_GB2312" w:cs="仿宋_GB2312"/>
          <w:kern w:val="0"/>
          <w:szCs w:val="32"/>
        </w:rPr>
        <w:t>商业服务业等支出</w:t>
      </w:r>
      <w:r>
        <w:rPr>
          <w:rFonts w:hint="eastAsia" w:ascii="仿宋_GB2312" w:hAnsi="仿宋_GB2312" w:cs="仿宋_GB2312"/>
          <w:szCs w:val="32"/>
        </w:rPr>
        <w:t>0万元，</w:t>
      </w:r>
      <w:r>
        <w:rPr>
          <w:rFonts w:hint="eastAsia" w:ascii="仿宋_GB2312" w:hAnsi="仿宋_GB2312" w:cs="仿宋_GB2312"/>
          <w:kern w:val="0"/>
          <w:szCs w:val="32"/>
        </w:rPr>
        <w:t>金融支出</w:t>
      </w:r>
      <w:r>
        <w:rPr>
          <w:rFonts w:hint="eastAsia" w:ascii="仿宋_GB2312" w:hAnsi="仿宋_GB2312" w:cs="仿宋_GB2312"/>
          <w:szCs w:val="32"/>
        </w:rPr>
        <w:t>0万元，</w:t>
      </w:r>
      <w:r>
        <w:rPr>
          <w:rFonts w:hint="eastAsia" w:ascii="仿宋_GB2312" w:hAnsi="仿宋_GB2312" w:cs="仿宋_GB2312"/>
          <w:kern w:val="0"/>
          <w:szCs w:val="32"/>
        </w:rPr>
        <w:t>援助其他地区支出</w:t>
      </w:r>
      <w:r>
        <w:rPr>
          <w:rFonts w:hint="eastAsia" w:ascii="仿宋_GB2312" w:hAnsi="仿宋_GB2312" w:cs="仿宋_GB2312"/>
          <w:szCs w:val="32"/>
        </w:rPr>
        <w:t>0万元，</w:t>
      </w:r>
      <w:r>
        <w:rPr>
          <w:rFonts w:hint="eastAsia" w:ascii="仿宋_GB2312" w:hAnsi="仿宋_GB2312" w:cs="仿宋_GB2312"/>
          <w:kern w:val="0"/>
          <w:szCs w:val="32"/>
        </w:rPr>
        <w:t>自然资源海洋气象等支出</w:t>
      </w:r>
      <w:r>
        <w:rPr>
          <w:rFonts w:hint="eastAsia" w:ascii="仿宋_GB2312" w:hAnsi="仿宋_GB2312" w:cs="仿宋_GB2312"/>
          <w:szCs w:val="32"/>
        </w:rPr>
        <w:t>0万元，</w:t>
      </w:r>
      <w:r>
        <w:rPr>
          <w:rFonts w:hint="eastAsia" w:ascii="仿宋_GB2312" w:hAnsi="仿宋_GB2312" w:cs="仿宋_GB2312"/>
          <w:kern w:val="0"/>
          <w:szCs w:val="32"/>
        </w:rPr>
        <w:t>住房保障支出</w:t>
      </w:r>
      <w:r>
        <w:rPr>
          <w:rFonts w:hint="eastAsia" w:ascii="仿宋_GB2312" w:hAnsi="仿宋_GB2312" w:cs="仿宋_GB2312"/>
          <w:szCs w:val="32"/>
        </w:rPr>
        <w:t>117.829369万元，</w:t>
      </w:r>
      <w:r>
        <w:rPr>
          <w:rFonts w:hint="eastAsia" w:ascii="仿宋_GB2312" w:hAnsi="仿宋_GB2312" w:cs="仿宋_GB2312"/>
          <w:kern w:val="0"/>
          <w:szCs w:val="32"/>
        </w:rPr>
        <w:t>粮油物资储备支出</w:t>
      </w:r>
      <w:r>
        <w:rPr>
          <w:rFonts w:hint="eastAsia" w:ascii="仿宋_GB2312" w:hAnsi="仿宋_GB2312" w:cs="仿宋_GB2312"/>
          <w:szCs w:val="32"/>
        </w:rPr>
        <w:t>0万元，灾害防治及应急管理支出0万元，</w:t>
      </w:r>
      <w:r>
        <w:rPr>
          <w:rFonts w:hint="eastAsia" w:ascii="仿宋_GB2312" w:hAnsi="仿宋_GB2312" w:cs="仿宋_GB2312"/>
          <w:kern w:val="0"/>
          <w:szCs w:val="32"/>
        </w:rPr>
        <w:t>其他支出</w:t>
      </w:r>
      <w:r>
        <w:rPr>
          <w:rFonts w:hint="eastAsia" w:ascii="仿宋_GB2312" w:hAnsi="仿宋_GB2312" w:cs="仿宋_GB2312"/>
          <w:szCs w:val="32"/>
        </w:rPr>
        <w:t>0万元，</w:t>
      </w:r>
      <w:r>
        <w:rPr>
          <w:rFonts w:hint="eastAsia" w:ascii="仿宋_GB2312" w:hAnsi="仿宋_GB2312" w:cs="仿宋_GB2312"/>
          <w:kern w:val="0"/>
          <w:szCs w:val="32"/>
        </w:rPr>
        <w:t>结转下年支出</w:t>
      </w:r>
      <w:r>
        <w:rPr>
          <w:rFonts w:hint="eastAsia" w:ascii="仿宋_GB2312" w:hAnsi="仿宋_GB2312" w:cs="仿宋_GB2312"/>
          <w:szCs w:val="32"/>
        </w:rPr>
        <w:t>0万元。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五、2024年一般公共预算支出情况</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2024年一般公共预算拨款2074.559265万元，其中：基本支出1663.666165万元，占80.19%；项目支出410.8931万元，占19.81%。基本支出中，人员经费1520.566165万元，占91.4%；公用经费143.1万元，占8.6%。</w:t>
      </w:r>
    </w:p>
    <w:p>
      <w:pPr>
        <w:spacing w:line="520" w:lineRule="exact"/>
        <w:ind w:firstLine="200"/>
        <w:rPr>
          <w:rFonts w:ascii="仿宋_GB2312" w:hAnsi="仿宋_GB2312" w:cs="仿宋_GB2312"/>
          <w:szCs w:val="32"/>
        </w:rPr>
      </w:pPr>
      <w:r>
        <w:rPr>
          <w:rFonts w:hint="eastAsia" w:ascii="仿宋_GB2312" w:hAnsi="仿宋_GB2312" w:cs="仿宋_GB2312"/>
          <w:szCs w:val="32"/>
        </w:rPr>
        <w:t>一般公共服务（类）支出1418.853409万元，占68.39%，主要用于政府办公厅（室）及相关机构事务。</w:t>
      </w:r>
    </w:p>
    <w:p>
      <w:pPr>
        <w:spacing w:line="520" w:lineRule="exact"/>
        <w:ind w:firstLine="200"/>
        <w:rPr>
          <w:rFonts w:ascii="仿宋_GB2312" w:hAnsi="仿宋_GB2312" w:cs="仿宋_GB2312"/>
          <w:szCs w:val="32"/>
        </w:rPr>
      </w:pPr>
      <w:r>
        <w:rPr>
          <w:rFonts w:hint="eastAsia" w:ascii="仿宋_GB2312" w:hAnsi="仿宋_GB2312" w:cs="仿宋_GB2312"/>
          <w:szCs w:val="32"/>
        </w:rPr>
        <w:t>国防（类）支出_____万元，占_____%，主要用于_____________________。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教育（类）支出_____万元，占_____%，主要用于_____________________。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科学技术（类）支出_____万元，占_____%，主要用于_____________________。</w:t>
      </w:r>
    </w:p>
    <w:p>
      <w:pPr>
        <w:spacing w:line="520" w:lineRule="exact"/>
        <w:ind w:firstLine="200"/>
        <w:rPr>
          <w:rFonts w:ascii="仿宋_GB2312" w:hAnsi="仿宋_GB2312" w:cs="仿宋_GB2312"/>
          <w:szCs w:val="32"/>
        </w:rPr>
      </w:pPr>
      <w:r>
        <w:rPr>
          <w:rFonts w:hint="eastAsia" w:ascii="仿宋_GB2312" w:hAnsi="仿宋_GB2312" w:cs="仿宋_GB2312"/>
          <w:szCs w:val="32"/>
        </w:rPr>
        <w:t>社会保障和就业（类）支出214.192635万元，占10.32%，主要用于行政事业单位养老支出。</w:t>
      </w:r>
    </w:p>
    <w:p>
      <w:pPr>
        <w:spacing w:line="520" w:lineRule="exact"/>
        <w:ind w:firstLine="200"/>
        <w:rPr>
          <w:rFonts w:ascii="仿宋_GB2312" w:hAnsi="仿宋_GB2312" w:cs="仿宋_GB2312"/>
          <w:szCs w:val="32"/>
        </w:rPr>
      </w:pPr>
      <w:r>
        <w:rPr>
          <w:rFonts w:hint="eastAsia" w:ascii="仿宋_GB2312" w:hAnsi="仿宋_GB2312" w:cs="仿宋_GB2312"/>
          <w:szCs w:val="32"/>
        </w:rPr>
        <w:t>农林水支出（类）支出253.09万元，占12.2%，主要用于农村综合改革。</w:t>
      </w:r>
    </w:p>
    <w:p>
      <w:pPr>
        <w:spacing w:line="520" w:lineRule="exact"/>
        <w:ind w:firstLine="200"/>
        <w:rPr>
          <w:szCs w:val="32"/>
        </w:rPr>
      </w:pPr>
      <w:r>
        <w:rPr>
          <w:rFonts w:hint="eastAsia" w:ascii="仿宋_GB2312" w:hAnsi="仿宋_GB2312" w:cs="仿宋_GB2312"/>
          <w:szCs w:val="32"/>
        </w:rPr>
        <w:t>住房保障（类）支出117.829369万元，占5.68%，主要用于住房公积金。</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ascii="黑体" w:hAnsi="黑体" w:eastAsia="黑体" w:cs="黑体"/>
          <w:szCs w:val="32"/>
        </w:rPr>
      </w:pPr>
      <w:r>
        <w:rPr>
          <w:rFonts w:eastAsia="楷体"/>
          <w:szCs w:val="32"/>
        </w:rPr>
        <w:br w:type="page"/>
      </w:r>
      <w:r>
        <w:rPr>
          <w:rFonts w:hint="eastAsia" w:ascii="黑体" w:hAnsi="黑体" w:eastAsia="黑体" w:cs="黑体"/>
          <w:szCs w:val="32"/>
        </w:rPr>
        <w:t>六、2024年一般公共预算基本支出情况</w:t>
      </w:r>
    </w:p>
    <w:p>
      <w:pPr>
        <w:ind w:firstLine="640"/>
        <w:rPr>
          <w:rFonts w:ascii="仿宋_GB2312" w:hAnsi="仿宋_GB2312" w:cs="仿宋_GB2312"/>
          <w:szCs w:val="32"/>
        </w:rPr>
      </w:pPr>
      <w:r>
        <w:rPr>
          <w:rFonts w:hint="eastAsia" w:ascii="仿宋_GB2312" w:hAnsi="仿宋_GB2312" w:cs="仿宋_GB2312"/>
          <w:szCs w:val="32"/>
        </w:rPr>
        <w:t>2024年一般公共预算基本支出1663.666165万元，其中：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人员经费1520.566165万元，主要包括：</w:t>
      </w:r>
      <w:r>
        <w:rPr>
          <w:rFonts w:hint="eastAsia" w:ascii="仿宋_GB2312" w:hAnsi="仿宋_GB2312" w:cs="仿宋_GB2312"/>
          <w:kern w:val="0"/>
          <w:szCs w:val="32"/>
        </w:rPr>
        <w:t>基本工资、津贴补贴</w:t>
      </w:r>
      <w:r>
        <w:rPr>
          <w:rFonts w:hint="eastAsia" w:ascii="仿宋_GB2312" w:hAnsi="仿宋_GB2312" w:cs="仿宋_GB2312"/>
          <w:szCs w:val="32"/>
        </w:rPr>
        <w:t>、</w:t>
      </w:r>
      <w:r>
        <w:rPr>
          <w:rFonts w:hint="eastAsia" w:ascii="仿宋_GB2312" w:hAnsi="仿宋_GB2312" w:cs="仿宋_GB2312"/>
          <w:kern w:val="0"/>
          <w:szCs w:val="32"/>
        </w:rPr>
        <w:t>奖金</w:t>
      </w:r>
      <w:r>
        <w:rPr>
          <w:rFonts w:hint="eastAsia" w:ascii="仿宋_GB2312" w:hAnsi="仿宋_GB2312" w:cs="仿宋_GB2312"/>
          <w:szCs w:val="32"/>
        </w:rPr>
        <w:t>、</w:t>
      </w:r>
      <w:r>
        <w:rPr>
          <w:rFonts w:hint="eastAsia" w:ascii="仿宋_GB2312" w:hAnsi="仿宋_GB2312" w:cs="仿宋_GB2312"/>
          <w:kern w:val="0"/>
          <w:szCs w:val="32"/>
        </w:rPr>
        <w:t>社会保障缴费</w:t>
      </w:r>
      <w:r>
        <w:rPr>
          <w:rFonts w:hint="eastAsia" w:ascii="仿宋_GB2312" w:hAnsi="仿宋_GB2312" w:cs="仿宋_GB2312"/>
          <w:szCs w:val="32"/>
        </w:rPr>
        <w:t>、</w:t>
      </w:r>
      <w:r>
        <w:rPr>
          <w:rFonts w:hint="eastAsia" w:ascii="仿宋_GB2312" w:hAnsi="仿宋_GB2312" w:cs="仿宋_GB2312"/>
          <w:kern w:val="0"/>
          <w:szCs w:val="32"/>
        </w:rPr>
        <w:t>其他工资福利支出</w:t>
      </w:r>
      <w:r>
        <w:rPr>
          <w:rFonts w:hint="eastAsia" w:ascii="仿宋_GB2312" w:hAnsi="仿宋_GB2312" w:cs="仿宋_GB2312"/>
          <w:szCs w:val="32"/>
        </w:rPr>
        <w:t>、</w:t>
      </w:r>
      <w:r>
        <w:rPr>
          <w:rFonts w:hint="eastAsia" w:ascii="仿宋_GB2312" w:hAnsi="仿宋_GB2312" w:cs="仿宋_GB2312"/>
          <w:kern w:val="0"/>
          <w:szCs w:val="32"/>
        </w:rPr>
        <w:t>离休费</w:t>
      </w:r>
      <w:r>
        <w:rPr>
          <w:rFonts w:hint="eastAsia" w:ascii="仿宋_GB2312" w:hAnsi="仿宋_GB2312" w:cs="仿宋_GB2312"/>
          <w:szCs w:val="32"/>
        </w:rPr>
        <w:t>、</w:t>
      </w:r>
      <w:r>
        <w:rPr>
          <w:rFonts w:hint="eastAsia" w:ascii="仿宋_GB2312" w:hAnsi="仿宋_GB2312" w:cs="仿宋_GB2312"/>
          <w:kern w:val="0"/>
          <w:szCs w:val="32"/>
        </w:rPr>
        <w:t>退休费</w:t>
      </w:r>
      <w:r>
        <w:rPr>
          <w:rFonts w:hint="eastAsia" w:ascii="仿宋_GB2312" w:hAnsi="仿宋_GB2312" w:cs="仿宋_GB2312"/>
          <w:szCs w:val="32"/>
        </w:rPr>
        <w:t>、</w:t>
      </w:r>
      <w:r>
        <w:rPr>
          <w:rFonts w:hint="eastAsia" w:ascii="仿宋_GB2312" w:hAnsi="仿宋_GB2312" w:cs="仿宋_GB2312"/>
          <w:kern w:val="0"/>
          <w:szCs w:val="32"/>
        </w:rPr>
        <w:t>抚恤金</w:t>
      </w:r>
      <w:r>
        <w:rPr>
          <w:rFonts w:hint="eastAsia" w:ascii="仿宋_GB2312" w:hAnsi="仿宋_GB2312" w:cs="仿宋_GB2312"/>
          <w:szCs w:val="32"/>
        </w:rPr>
        <w:t>、</w:t>
      </w:r>
      <w:r>
        <w:rPr>
          <w:rFonts w:hint="eastAsia" w:ascii="仿宋_GB2312" w:hAnsi="仿宋_GB2312" w:cs="仿宋_GB2312"/>
          <w:kern w:val="0"/>
          <w:szCs w:val="32"/>
        </w:rPr>
        <w:t>生活补助</w:t>
      </w:r>
      <w:r>
        <w:rPr>
          <w:rFonts w:hint="eastAsia" w:ascii="仿宋_GB2312" w:hAnsi="仿宋_GB2312" w:cs="仿宋_GB2312"/>
          <w:szCs w:val="32"/>
        </w:rPr>
        <w:t>、</w:t>
      </w:r>
      <w:r>
        <w:rPr>
          <w:rFonts w:hint="eastAsia" w:ascii="仿宋_GB2312" w:hAnsi="仿宋_GB2312" w:cs="仿宋_GB2312"/>
          <w:kern w:val="0"/>
          <w:szCs w:val="32"/>
        </w:rPr>
        <w:t>助学金</w:t>
      </w:r>
      <w:r>
        <w:rPr>
          <w:rFonts w:hint="eastAsia" w:ascii="仿宋_GB2312" w:hAnsi="仿宋_GB2312" w:cs="仿宋_GB2312"/>
          <w:szCs w:val="32"/>
        </w:rPr>
        <w:t>、</w:t>
      </w:r>
      <w:r>
        <w:rPr>
          <w:rFonts w:hint="eastAsia" w:ascii="仿宋_GB2312" w:hAnsi="仿宋_GB2312" w:cs="仿宋_GB2312"/>
          <w:kern w:val="0"/>
          <w:szCs w:val="32"/>
        </w:rPr>
        <w:t>住房公积金</w:t>
      </w:r>
      <w:r>
        <w:rPr>
          <w:rFonts w:hint="eastAsia" w:ascii="仿宋_GB2312" w:hAnsi="仿宋_GB2312" w:cs="仿宋_GB2312"/>
          <w:szCs w:val="32"/>
        </w:rPr>
        <w:t>、</w:t>
      </w:r>
      <w:r>
        <w:rPr>
          <w:rFonts w:hint="eastAsia" w:ascii="仿宋_GB2312" w:hAnsi="仿宋_GB2312" w:cs="仿宋_GB2312"/>
          <w:kern w:val="0"/>
          <w:szCs w:val="32"/>
        </w:rPr>
        <w:t>采暖补贴</w:t>
      </w:r>
      <w:r>
        <w:rPr>
          <w:rFonts w:hint="eastAsia" w:ascii="仿宋_GB2312" w:hAnsi="仿宋_GB2312" w:cs="仿宋_GB2312"/>
          <w:szCs w:val="32"/>
        </w:rPr>
        <w:t>、</w:t>
      </w:r>
      <w:r>
        <w:rPr>
          <w:rFonts w:hint="eastAsia" w:ascii="仿宋_GB2312" w:hAnsi="仿宋_GB2312" w:cs="仿宋_GB2312"/>
          <w:kern w:val="0"/>
          <w:szCs w:val="32"/>
        </w:rPr>
        <w:t>其他对个人和家庭的补助支出。</w:t>
      </w:r>
    </w:p>
    <w:p>
      <w:pPr>
        <w:ind w:firstLine="640" w:firstLineChars="200"/>
        <w:rPr>
          <w:szCs w:val="32"/>
        </w:rPr>
      </w:pPr>
      <w:r>
        <w:rPr>
          <w:rFonts w:hint="eastAsia" w:ascii="仿宋_GB2312" w:hAnsi="仿宋_GB2312" w:cs="仿宋_GB2312"/>
          <w:kern w:val="0"/>
          <w:szCs w:val="32"/>
        </w:rPr>
        <w:t>公用经费</w:t>
      </w:r>
      <w:r>
        <w:rPr>
          <w:rFonts w:hint="eastAsia" w:ascii="仿宋_GB2312" w:hAnsi="仿宋_GB2312" w:cs="仿宋_GB2312"/>
          <w:szCs w:val="32"/>
        </w:rPr>
        <w:t>143.1万元，主要包括：</w:t>
      </w:r>
      <w:r>
        <w:rPr>
          <w:rFonts w:hint="eastAsia" w:ascii="仿宋_GB2312" w:hAnsi="仿宋_GB2312" w:cs="仿宋_GB2312"/>
          <w:kern w:val="0"/>
          <w:szCs w:val="32"/>
        </w:rPr>
        <w:t>办公费</w:t>
      </w:r>
      <w:r>
        <w:rPr>
          <w:rFonts w:hint="eastAsia" w:ascii="仿宋_GB2312" w:hAnsi="仿宋_GB2312" w:cs="仿宋_GB2312"/>
          <w:szCs w:val="32"/>
        </w:rPr>
        <w:t>、</w:t>
      </w:r>
      <w:r>
        <w:rPr>
          <w:rFonts w:hint="eastAsia" w:ascii="仿宋_GB2312" w:hAnsi="仿宋_GB2312" w:cs="仿宋_GB2312"/>
          <w:kern w:val="0"/>
          <w:szCs w:val="32"/>
        </w:rPr>
        <w:t>印刷费</w:t>
      </w:r>
      <w:r>
        <w:rPr>
          <w:rFonts w:hint="eastAsia" w:ascii="仿宋_GB2312" w:hAnsi="仿宋_GB2312" w:cs="仿宋_GB2312"/>
          <w:szCs w:val="32"/>
        </w:rPr>
        <w:t>、</w:t>
      </w:r>
      <w:r>
        <w:rPr>
          <w:rFonts w:hint="eastAsia" w:ascii="仿宋_GB2312" w:hAnsi="仿宋_GB2312" w:cs="仿宋_GB2312"/>
          <w:kern w:val="0"/>
          <w:szCs w:val="32"/>
        </w:rPr>
        <w:t>水费</w:t>
      </w:r>
      <w:r>
        <w:rPr>
          <w:rFonts w:hint="eastAsia" w:ascii="仿宋_GB2312" w:hAnsi="仿宋_GB2312" w:cs="仿宋_GB2312"/>
          <w:szCs w:val="32"/>
        </w:rPr>
        <w:t>、</w:t>
      </w:r>
      <w:r>
        <w:rPr>
          <w:rFonts w:hint="eastAsia" w:ascii="仿宋_GB2312" w:hAnsi="仿宋_GB2312" w:cs="仿宋_GB2312"/>
          <w:kern w:val="0"/>
          <w:szCs w:val="32"/>
        </w:rPr>
        <w:t>电费</w:t>
      </w:r>
      <w:r>
        <w:rPr>
          <w:rFonts w:hint="eastAsia" w:ascii="仿宋_GB2312" w:hAnsi="仿宋_GB2312" w:cs="仿宋_GB2312"/>
          <w:szCs w:val="32"/>
        </w:rPr>
        <w:t>、</w:t>
      </w:r>
      <w:r>
        <w:rPr>
          <w:rFonts w:hint="eastAsia" w:ascii="仿宋_GB2312" w:hAnsi="仿宋_GB2312" w:cs="仿宋_GB2312"/>
          <w:kern w:val="0"/>
          <w:szCs w:val="32"/>
        </w:rPr>
        <w:t>邮电费</w:t>
      </w:r>
      <w:r>
        <w:rPr>
          <w:rFonts w:hint="eastAsia" w:ascii="仿宋_GB2312" w:hAnsi="仿宋_GB2312" w:cs="仿宋_GB2312"/>
          <w:szCs w:val="32"/>
        </w:rPr>
        <w:t>、</w:t>
      </w:r>
      <w:r>
        <w:rPr>
          <w:rFonts w:hint="eastAsia" w:ascii="仿宋_GB2312" w:hAnsi="仿宋_GB2312" w:cs="仿宋_GB2312"/>
          <w:kern w:val="0"/>
          <w:szCs w:val="32"/>
        </w:rPr>
        <w:t>取暖费</w:t>
      </w:r>
      <w:r>
        <w:rPr>
          <w:rFonts w:hint="eastAsia" w:ascii="仿宋_GB2312" w:hAnsi="仿宋_GB2312" w:cs="仿宋_GB2312"/>
          <w:szCs w:val="32"/>
        </w:rPr>
        <w:t>、</w:t>
      </w:r>
      <w:r>
        <w:rPr>
          <w:rFonts w:hint="eastAsia" w:ascii="仿宋_GB2312" w:hAnsi="仿宋_GB2312" w:cs="仿宋_GB2312"/>
          <w:kern w:val="0"/>
          <w:szCs w:val="32"/>
        </w:rPr>
        <w:t>物业管理费</w:t>
      </w:r>
      <w:r>
        <w:rPr>
          <w:rFonts w:hint="eastAsia" w:ascii="仿宋_GB2312" w:hAnsi="仿宋_GB2312" w:cs="仿宋_GB2312"/>
          <w:szCs w:val="32"/>
        </w:rPr>
        <w:t>、</w:t>
      </w:r>
      <w:r>
        <w:rPr>
          <w:rFonts w:hint="eastAsia" w:ascii="仿宋_GB2312" w:hAnsi="仿宋_GB2312" w:cs="仿宋_GB2312"/>
          <w:kern w:val="0"/>
          <w:szCs w:val="32"/>
        </w:rPr>
        <w:t>差旅费</w:t>
      </w:r>
      <w:r>
        <w:rPr>
          <w:rFonts w:hint="eastAsia" w:ascii="仿宋_GB2312" w:hAnsi="仿宋_GB2312" w:cs="仿宋_GB2312"/>
          <w:szCs w:val="32"/>
        </w:rPr>
        <w:t>、</w:t>
      </w:r>
      <w:r>
        <w:rPr>
          <w:rFonts w:hint="eastAsia" w:ascii="仿宋_GB2312" w:hAnsi="仿宋_GB2312" w:cs="仿宋_GB2312"/>
          <w:kern w:val="0"/>
          <w:szCs w:val="32"/>
        </w:rPr>
        <w:t>维修（护）费</w:t>
      </w:r>
      <w:r>
        <w:rPr>
          <w:rFonts w:hint="eastAsia" w:ascii="仿宋_GB2312" w:hAnsi="仿宋_GB2312" w:cs="仿宋_GB2312"/>
          <w:szCs w:val="32"/>
        </w:rPr>
        <w:t>、</w:t>
      </w:r>
      <w:r>
        <w:rPr>
          <w:rFonts w:hint="eastAsia" w:ascii="仿宋_GB2312" w:hAnsi="仿宋_GB2312" w:cs="仿宋_GB2312"/>
          <w:kern w:val="0"/>
          <w:szCs w:val="32"/>
        </w:rPr>
        <w:t>会议费</w:t>
      </w:r>
      <w:r>
        <w:rPr>
          <w:rFonts w:hint="eastAsia" w:ascii="仿宋_GB2312" w:hAnsi="仿宋_GB2312" w:cs="仿宋_GB2312"/>
          <w:szCs w:val="32"/>
        </w:rPr>
        <w:t>、</w:t>
      </w:r>
      <w:r>
        <w:rPr>
          <w:rFonts w:hint="eastAsia" w:ascii="仿宋_GB2312" w:hAnsi="仿宋_GB2312" w:cs="仿宋_GB2312"/>
          <w:kern w:val="0"/>
          <w:szCs w:val="32"/>
        </w:rPr>
        <w:t>培训费</w:t>
      </w:r>
      <w:r>
        <w:rPr>
          <w:rFonts w:hint="eastAsia" w:ascii="仿宋_GB2312" w:hAnsi="仿宋_GB2312" w:cs="仿宋_GB2312"/>
          <w:szCs w:val="32"/>
        </w:rPr>
        <w:t>、</w:t>
      </w:r>
      <w:r>
        <w:rPr>
          <w:rFonts w:hint="eastAsia" w:ascii="仿宋_GB2312" w:hAnsi="仿宋_GB2312" w:cs="仿宋_GB2312"/>
          <w:kern w:val="0"/>
          <w:szCs w:val="32"/>
        </w:rPr>
        <w:t>公务接待费</w:t>
      </w:r>
      <w:r>
        <w:rPr>
          <w:rFonts w:hint="eastAsia" w:ascii="仿宋_GB2312" w:hAnsi="仿宋_GB2312" w:cs="仿宋_GB2312"/>
          <w:szCs w:val="32"/>
        </w:rPr>
        <w:t>、</w:t>
      </w:r>
      <w:r>
        <w:rPr>
          <w:rFonts w:hint="eastAsia" w:ascii="仿宋_GB2312" w:hAnsi="仿宋_GB2312" w:cs="仿宋_GB2312"/>
          <w:kern w:val="0"/>
          <w:szCs w:val="32"/>
        </w:rPr>
        <w:t>工会经费、福利费</w:t>
      </w:r>
      <w:r>
        <w:rPr>
          <w:rFonts w:hint="eastAsia" w:ascii="仿宋_GB2312" w:hAnsi="仿宋_GB2312" w:cs="仿宋_GB2312"/>
          <w:szCs w:val="32"/>
        </w:rPr>
        <w:t>、公</w:t>
      </w:r>
      <w:r>
        <w:rPr>
          <w:rFonts w:hint="eastAsia" w:ascii="仿宋_GB2312" w:hAnsi="仿宋_GB2312" w:cs="仿宋_GB2312"/>
          <w:kern w:val="0"/>
          <w:szCs w:val="32"/>
        </w:rPr>
        <w:t>务用车运行维护费</w:t>
      </w:r>
      <w:r>
        <w:rPr>
          <w:rFonts w:hint="eastAsia" w:ascii="仿宋_GB2312" w:hAnsi="仿宋_GB2312" w:cs="仿宋_GB2312"/>
          <w:szCs w:val="32"/>
        </w:rPr>
        <w:t>、</w:t>
      </w:r>
      <w:r>
        <w:rPr>
          <w:rFonts w:hint="eastAsia" w:ascii="仿宋_GB2312" w:hAnsi="仿宋_GB2312" w:cs="仿宋_GB2312"/>
          <w:kern w:val="0"/>
          <w:szCs w:val="32"/>
        </w:rPr>
        <w:t>其他交通补助</w:t>
      </w:r>
      <w:r>
        <w:rPr>
          <w:rFonts w:hint="eastAsia" w:ascii="仿宋_GB2312" w:hAnsi="仿宋_GB2312" w:cs="仿宋_GB2312"/>
          <w:szCs w:val="32"/>
        </w:rPr>
        <w:t>、</w:t>
      </w:r>
      <w:r>
        <w:rPr>
          <w:rFonts w:hint="eastAsia" w:ascii="仿宋_GB2312" w:hAnsi="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七、2024年一般公共预算财政拨款“三公”经费情况</w:t>
      </w:r>
    </w:p>
    <w:p>
      <w:pPr>
        <w:ind w:firstLine="640" w:firstLineChars="200"/>
        <w:rPr>
          <w:rFonts w:ascii="仿宋_GB2312" w:hAnsi="仿宋_GB2312" w:cs="仿宋_GB2312"/>
          <w:szCs w:val="32"/>
        </w:rPr>
      </w:pPr>
      <w:r>
        <w:rPr>
          <w:rFonts w:hint="eastAsia" w:ascii="仿宋_GB2312" w:hAnsi="仿宋_GB2312" w:cs="仿宋_GB2312"/>
          <w:szCs w:val="32"/>
        </w:rPr>
        <w:t>2024年“三公”经费预算数为12万元，其中:当年预算12万元；上年结转0万元。2024年当年预算数比2023年预算数增加5.16万元。其中：</w:t>
      </w:r>
    </w:p>
    <w:p>
      <w:pPr>
        <w:ind w:firstLine="640" w:firstLineChars="200"/>
        <w:rPr>
          <w:rFonts w:ascii="仿宋_GB2312" w:hAnsi="仿宋_GB2312" w:cs="仿宋_GB2312"/>
          <w:szCs w:val="32"/>
        </w:rPr>
      </w:pPr>
      <w:r>
        <w:rPr>
          <w:rFonts w:hint="eastAsia" w:ascii="仿宋_GB2312" w:hAnsi="仿宋_GB2312" w:cs="仿宋_GB2312"/>
          <w:szCs w:val="32"/>
        </w:rPr>
        <w:t>1.因公出国（境）费_______万元，其中：当年预算_______万元；上年结转_______万元。2024年当年预算数比2023年预算数增加（减少）_____万元，主要原因是_______________。</w:t>
      </w:r>
    </w:p>
    <w:p>
      <w:pPr>
        <w:ind w:firstLine="640" w:firstLineChars="200"/>
        <w:rPr>
          <w:rFonts w:ascii="仿宋_GB2312" w:hAnsi="仿宋_GB2312" w:cs="仿宋_GB2312"/>
          <w:szCs w:val="32"/>
        </w:rPr>
      </w:pPr>
      <w:r>
        <w:rPr>
          <w:rFonts w:hint="eastAsia" w:ascii="仿宋_GB2312" w:hAnsi="仿宋_GB2312" w:cs="仿宋_GB2312"/>
          <w:szCs w:val="32"/>
        </w:rPr>
        <w:t>2.公务接待费_______万元，其中：当年预算_______万元；上年结转_______万元。2024年当年预算数比2023年预算数增加（减少）_______万元，主要原因是__________________。</w:t>
      </w:r>
    </w:p>
    <w:p>
      <w:pPr>
        <w:ind w:firstLine="640" w:firstLineChars="200"/>
        <w:rPr>
          <w:rFonts w:ascii="仿宋_GB2312" w:hAnsi="仿宋_GB2312" w:cs="仿宋_GB2312"/>
          <w:szCs w:val="32"/>
        </w:rPr>
      </w:pPr>
      <w:r>
        <w:rPr>
          <w:rFonts w:hint="eastAsia" w:ascii="仿宋_GB2312" w:hAnsi="仿宋_GB2312" w:cs="仿宋_GB2312"/>
          <w:szCs w:val="32"/>
        </w:rPr>
        <w:t>3.公务用车购置及运行费12万元，其中：当年预算12万元；上年结转0万元。2024年当年预算数比2023年预算数增加5.16万元。公务用车运行维护费12万元，其中：当年预算12万元；上年结转0万元。2024年当年预算数比2023年预算数增加5.16万元，主要原因是运行维护费增多；公务用车购置费0万元，其中：当年预算0万元；上年结转0万元。2024年当年预算数比2023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八、2024年政府性基金预算支出情况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ascii="黑体" w:hAnsi="黑体" w:eastAsia="黑体" w:cs="黑体"/>
          <w:szCs w:val="32"/>
        </w:rPr>
      </w:pPr>
      <w:r>
        <w:rPr>
          <w:rFonts w:hint="eastAsia" w:ascii="黑体" w:hAnsi="黑体" w:eastAsia="黑体" w:cs="黑体"/>
          <w:szCs w:val="32"/>
        </w:rPr>
        <w:t>九、2024年国有资本经营预算支出情况</w:t>
      </w:r>
    </w:p>
    <w:p>
      <w:pPr>
        <w:ind w:firstLine="640"/>
        <w:rPr>
          <w:rFonts w:ascii="仿宋_GB2312" w:hAnsi="仿宋_GB2312" w:cs="仿宋_GB2312"/>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2024年部门本级1家行政单位的机关运行经费财政拨款预算2074.559265万元，比2023年预算增加140.45724万元，增长6.77%，主要原因是项目资金增加。</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（二）政府采购情况</w:t>
      </w:r>
    </w:p>
    <w:p>
      <w:pPr>
        <w:spacing w:line="540" w:lineRule="exact"/>
        <w:ind w:firstLine="640" w:firstLineChars="200"/>
        <w:rPr>
          <w:rFonts w:hint="eastAsia" w:ascii="仿宋_GB2312" w:hAnsi="仿宋_GB2312" w:eastAsia="楷体" w:cs="仿宋_GB2312"/>
          <w:szCs w:val="32"/>
          <w:lang w:val="en-US" w:eastAsia="zh-CN"/>
        </w:rPr>
      </w:pPr>
      <w:r>
        <w:rPr>
          <w:rFonts w:hint="eastAsia" w:ascii="仿宋_GB2312" w:hAnsi="仿宋_GB2312" w:eastAsia="楷体" w:cs="仿宋_GB2312"/>
          <w:szCs w:val="32"/>
          <w:lang w:val="en-US" w:eastAsia="zh-CN"/>
        </w:rPr>
        <w:t>本单位无政府采购预算</w:t>
      </w:r>
    </w:p>
    <w:p>
      <w:pPr>
        <w:spacing w:line="540" w:lineRule="exact"/>
        <w:ind w:firstLine="640" w:firstLineChars="200"/>
        <w:rPr>
          <w:rFonts w:eastAsia="楷体"/>
          <w:szCs w:val="32"/>
        </w:rPr>
      </w:pPr>
      <w:bookmarkStart w:id="0" w:name="_GoBack"/>
      <w:bookmarkEnd w:id="0"/>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截至2023年8月底，部门本级和所属各预算单位共有车辆3辆，土地0平方米，房屋3555平方米，单价50万元及以上的通用设备0台/套，单价100万元及以上的专用设备实有数0台/套。</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2024年部门预算安排购置车辆0辆，安排购置土地0平方米，安排购置房屋0平方米，计划新增单价50万元及以上的通用设备0台/套，计划新增单价100万元及以上的专用设备实有数0台/套。</w:t>
      </w:r>
    </w:p>
    <w:p>
      <w:pPr>
        <w:numPr>
          <w:ilvl w:val="0"/>
          <w:numId w:val="1"/>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2024年部门项目支出</w:t>
      </w:r>
      <w:r>
        <w:rPr>
          <w:rFonts w:hint="eastAsia" w:ascii="仿宋_GB2312" w:hAnsi="仿宋_GB2312" w:cs="仿宋_GB2312"/>
          <w:szCs w:val="32"/>
        </w:rPr>
        <w:t>410.8931万元，其中：一级项目6个，二级项目6个；使用本年拨款410.8931万元，财政拨款结转0万元。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ascii="仿宋_GB2312" w:hAnsi="仿宋_GB2312" w:cs="仿宋_GB2312"/>
          <w:szCs w:val="32"/>
        </w:rPr>
      </w:pPr>
      <w:r>
        <w:rPr>
          <w:rFonts w:hint="eastAsia" w:ascii="仿宋_GB2312" w:hAnsi="仿宋_GB2312" w:cs="仿宋_GB2312"/>
        </w:rPr>
        <w:t>按照全面实施预算绩效管理的要求，结合本部门职能和重点工作，2024年确定</w:t>
      </w:r>
      <w:r>
        <w:rPr>
          <w:rFonts w:hint="eastAsia" w:ascii="仿宋_GB2312" w:hAnsi="仿宋_GB2312" w:cs="仿宋_GB2312"/>
          <w:szCs w:val="32"/>
        </w:rPr>
        <w:t>6</w:t>
      </w:r>
      <w:r>
        <w:rPr>
          <w:rFonts w:hint="eastAsia" w:ascii="仿宋_GB2312" w:hAnsi="仿宋_GB2312" w:cs="仿宋_GB2312"/>
        </w:rPr>
        <w:t>个一级项目支出的绩效目标和指标向社会公开，涉及金额</w:t>
      </w:r>
      <w:r>
        <w:rPr>
          <w:rFonts w:hint="eastAsia" w:ascii="仿宋_GB2312" w:hAnsi="仿宋_GB2312" w:cs="仿宋_GB2312"/>
          <w:szCs w:val="32"/>
        </w:rPr>
        <w:t>410.8931</w:t>
      </w:r>
      <w:r>
        <w:rPr>
          <w:rFonts w:hint="eastAsia" w:ascii="仿宋_GB2312" w:hAnsi="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B076C1-A817-48E3-B0F5-EB58B6D546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E651B22-206F-430A-BFC7-41A417929463}"/>
  </w:font>
  <w:font w:name="仿宋_GB2312">
    <w:altName w:val="仿宋"/>
    <w:panose1 w:val="00000000000000000000"/>
    <w:charset w:val="86"/>
    <w:family w:val="modern"/>
    <w:pitch w:val="default"/>
    <w:sig w:usb0="00000000" w:usb1="00000000" w:usb2="00000000" w:usb3="00000000" w:csb0="00040000" w:csb1="00000000"/>
    <w:embedRegular r:id="rId3" w:fontKey="{0E5AEEAE-C6B6-48E6-A26B-FB1DBCBE2BA5}"/>
  </w:font>
  <w:font w:name="Arial">
    <w:panose1 w:val="020B0604020202020204"/>
    <w:charset w:val="00"/>
    <w:family w:val="swiss"/>
    <w:pitch w:val="default"/>
    <w:sig w:usb0="E0002EFF" w:usb1="C000785B" w:usb2="00000009" w:usb3="00000000" w:csb0="400001FF" w:csb1="FFFF0000"/>
    <w:embedRegular r:id="rId4" w:fontKey="{66A1B8D9-7316-4769-AC39-B50C5EAB56B3}"/>
  </w:font>
  <w:font w:name="华文细黑">
    <w:panose1 w:val="02010600040101010101"/>
    <w:charset w:val="86"/>
    <w:family w:val="auto"/>
    <w:pitch w:val="default"/>
    <w:sig w:usb0="00000287" w:usb1="080F0000" w:usb2="00000000" w:usb3="00000000" w:csb0="0004009F" w:csb1="DFD70000"/>
    <w:embedRegular r:id="rId5" w:fontKey="{120063B0-7018-4300-92DB-1BC8C10AC9B8}"/>
  </w:font>
  <w:font w:name="方正小标宋简体">
    <w:panose1 w:val="02000000000000000000"/>
    <w:charset w:val="86"/>
    <w:family w:val="auto"/>
    <w:pitch w:val="default"/>
    <w:sig w:usb0="00000001" w:usb1="08000000" w:usb2="00000000" w:usb3="00000000" w:csb0="00040000" w:csb1="00000000"/>
    <w:embedRegular r:id="rId6" w:fontKey="{C57FB690-D50E-44CC-AA13-A7F91BB86511}"/>
  </w:font>
  <w:font w:name="楷体_GB2312">
    <w:altName w:val="楷体"/>
    <w:panose1 w:val="00000000000000000000"/>
    <w:charset w:val="86"/>
    <w:family w:val="modern"/>
    <w:pitch w:val="default"/>
    <w:sig w:usb0="00000000" w:usb1="00000000" w:usb2="00000000" w:usb3="00000000" w:csb0="00040000" w:csb1="00000000"/>
    <w:embedRegular r:id="rId7" w:fontKey="{83C3B884-47EC-41D9-BDAB-9A732D3294D1}"/>
  </w:font>
  <w:font w:name="楷体">
    <w:panose1 w:val="02010609060101010101"/>
    <w:charset w:val="86"/>
    <w:family w:val="modern"/>
    <w:pitch w:val="default"/>
    <w:sig w:usb0="800002BF" w:usb1="38CF7CFA" w:usb2="00000016" w:usb3="00000000" w:csb0="00040001" w:csb1="00000000"/>
    <w:embedRegular r:id="rId8" w:fontKey="{2EDEAA4E-55D3-465F-BD93-A7F1588B0D55}"/>
  </w:font>
  <w:font w:name="Verdana">
    <w:panose1 w:val="020B0604030504040204"/>
    <w:charset w:val="00"/>
    <w:family w:val="swiss"/>
    <w:pitch w:val="default"/>
    <w:sig w:usb0="A00006FF" w:usb1="4000205B" w:usb2="00000010" w:usb3="00000000" w:csb0="2000019F" w:csb1="00000000"/>
    <w:embedRegular r:id="rId9" w:fontKey="{BB6A86D2-A1E1-49C7-8F8B-3191A4C545CD}"/>
  </w:font>
  <w:font w:name="仿宋">
    <w:panose1 w:val="02010609060101010101"/>
    <w:charset w:val="86"/>
    <w:family w:val="modern"/>
    <w:pitch w:val="default"/>
    <w:sig w:usb0="800002BF" w:usb1="38CF7CFA" w:usb2="00000016" w:usb3="00000000" w:csb0="00040001" w:csb1="00000000"/>
    <w:embedRegular r:id="rId10" w:fontKey="{798832C3-A811-4A1B-8A18-952786AE5C3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drawingGridHorizontalSpacing w:val="156"/>
  <w:drawingGridVerticalSpacing w:val="287"/>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858BB"/>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02B42"/>
    <w:rsid w:val="00C36C22"/>
    <w:rsid w:val="00C55740"/>
    <w:rsid w:val="00CA1FFF"/>
    <w:rsid w:val="00CC6E11"/>
    <w:rsid w:val="00CC7209"/>
    <w:rsid w:val="00D33284"/>
    <w:rsid w:val="00D44841"/>
    <w:rsid w:val="00D55467"/>
    <w:rsid w:val="00D71247"/>
    <w:rsid w:val="00DF0F79"/>
    <w:rsid w:val="00E00855"/>
    <w:rsid w:val="00E22C47"/>
    <w:rsid w:val="00E46B99"/>
    <w:rsid w:val="00E56F79"/>
    <w:rsid w:val="00E67450"/>
    <w:rsid w:val="00E82D48"/>
    <w:rsid w:val="00EC73B7"/>
    <w:rsid w:val="00EE1F67"/>
    <w:rsid w:val="00F04A19"/>
    <w:rsid w:val="00F47B19"/>
    <w:rsid w:val="00F7193F"/>
    <w:rsid w:val="00F8523B"/>
    <w:rsid w:val="00FF7928"/>
    <w:rsid w:val="01620FE6"/>
    <w:rsid w:val="018C1643"/>
    <w:rsid w:val="019B69D8"/>
    <w:rsid w:val="020E6D2C"/>
    <w:rsid w:val="031D7D4B"/>
    <w:rsid w:val="04022755"/>
    <w:rsid w:val="0431290B"/>
    <w:rsid w:val="04317370"/>
    <w:rsid w:val="0486486A"/>
    <w:rsid w:val="04954460"/>
    <w:rsid w:val="04F026C1"/>
    <w:rsid w:val="050D06DA"/>
    <w:rsid w:val="050F3BA7"/>
    <w:rsid w:val="05513E94"/>
    <w:rsid w:val="056F5A6D"/>
    <w:rsid w:val="05791EDF"/>
    <w:rsid w:val="057B4D18"/>
    <w:rsid w:val="059B3770"/>
    <w:rsid w:val="063949A0"/>
    <w:rsid w:val="067960C1"/>
    <w:rsid w:val="06BD5BC7"/>
    <w:rsid w:val="07D21289"/>
    <w:rsid w:val="07F544B0"/>
    <w:rsid w:val="08D54357"/>
    <w:rsid w:val="09896468"/>
    <w:rsid w:val="09A0082A"/>
    <w:rsid w:val="09B94F9F"/>
    <w:rsid w:val="09FE3874"/>
    <w:rsid w:val="0A334D52"/>
    <w:rsid w:val="0ABA06FE"/>
    <w:rsid w:val="0B5F5ADA"/>
    <w:rsid w:val="0B710869"/>
    <w:rsid w:val="0BEA6BCC"/>
    <w:rsid w:val="0C2A5C84"/>
    <w:rsid w:val="0DA001B0"/>
    <w:rsid w:val="0DB6446C"/>
    <w:rsid w:val="0DEB170B"/>
    <w:rsid w:val="0E4336AC"/>
    <w:rsid w:val="0E4C7841"/>
    <w:rsid w:val="0E7C112B"/>
    <w:rsid w:val="0F3E0406"/>
    <w:rsid w:val="0F8B592F"/>
    <w:rsid w:val="0FD62F63"/>
    <w:rsid w:val="107728C7"/>
    <w:rsid w:val="10910998"/>
    <w:rsid w:val="10AE7F82"/>
    <w:rsid w:val="10C93B35"/>
    <w:rsid w:val="11177619"/>
    <w:rsid w:val="112605C8"/>
    <w:rsid w:val="12726880"/>
    <w:rsid w:val="12E711B7"/>
    <w:rsid w:val="136D62BD"/>
    <w:rsid w:val="13F21722"/>
    <w:rsid w:val="1441443C"/>
    <w:rsid w:val="14C12787"/>
    <w:rsid w:val="15593E10"/>
    <w:rsid w:val="159F7E25"/>
    <w:rsid w:val="15F848D0"/>
    <w:rsid w:val="160E1FA5"/>
    <w:rsid w:val="160F2600"/>
    <w:rsid w:val="17765BCA"/>
    <w:rsid w:val="17A027D8"/>
    <w:rsid w:val="17EC4792"/>
    <w:rsid w:val="1A817DF8"/>
    <w:rsid w:val="1ADC594E"/>
    <w:rsid w:val="1AEB5252"/>
    <w:rsid w:val="1B132036"/>
    <w:rsid w:val="1C852172"/>
    <w:rsid w:val="1CA40C0C"/>
    <w:rsid w:val="1CFF4A32"/>
    <w:rsid w:val="1D833200"/>
    <w:rsid w:val="1E2D59A2"/>
    <w:rsid w:val="1E3A3FD0"/>
    <w:rsid w:val="1EB55C07"/>
    <w:rsid w:val="1F351A10"/>
    <w:rsid w:val="1F593B52"/>
    <w:rsid w:val="1FED47E9"/>
    <w:rsid w:val="206816AC"/>
    <w:rsid w:val="22A4003E"/>
    <w:rsid w:val="23984063"/>
    <w:rsid w:val="23CE11F0"/>
    <w:rsid w:val="23EC61F6"/>
    <w:rsid w:val="244C543C"/>
    <w:rsid w:val="24624768"/>
    <w:rsid w:val="25333A00"/>
    <w:rsid w:val="2539376C"/>
    <w:rsid w:val="254C6FAD"/>
    <w:rsid w:val="259B5BC5"/>
    <w:rsid w:val="25C7462E"/>
    <w:rsid w:val="25F62C4E"/>
    <w:rsid w:val="26643D6C"/>
    <w:rsid w:val="26FE109D"/>
    <w:rsid w:val="27073E1E"/>
    <w:rsid w:val="273070BB"/>
    <w:rsid w:val="27B04AB3"/>
    <w:rsid w:val="28820B88"/>
    <w:rsid w:val="28A63332"/>
    <w:rsid w:val="29C45F24"/>
    <w:rsid w:val="29E11498"/>
    <w:rsid w:val="2AE2452B"/>
    <w:rsid w:val="2B0674C1"/>
    <w:rsid w:val="2B172969"/>
    <w:rsid w:val="2B342280"/>
    <w:rsid w:val="2BA35887"/>
    <w:rsid w:val="2BC34CAF"/>
    <w:rsid w:val="2DD02CED"/>
    <w:rsid w:val="2DF8796C"/>
    <w:rsid w:val="2E437145"/>
    <w:rsid w:val="2E786212"/>
    <w:rsid w:val="2EB22F18"/>
    <w:rsid w:val="2EE12108"/>
    <w:rsid w:val="2EED35E3"/>
    <w:rsid w:val="2F250383"/>
    <w:rsid w:val="2F63610B"/>
    <w:rsid w:val="300965A3"/>
    <w:rsid w:val="30730D6E"/>
    <w:rsid w:val="30B50BEA"/>
    <w:rsid w:val="30B91A70"/>
    <w:rsid w:val="32A93554"/>
    <w:rsid w:val="32CF2C5D"/>
    <w:rsid w:val="335402B5"/>
    <w:rsid w:val="33897C83"/>
    <w:rsid w:val="339466B2"/>
    <w:rsid w:val="339A0AF3"/>
    <w:rsid w:val="34555AF5"/>
    <w:rsid w:val="34ED18B3"/>
    <w:rsid w:val="35616772"/>
    <w:rsid w:val="35CD7559"/>
    <w:rsid w:val="35E36F91"/>
    <w:rsid w:val="35EA1663"/>
    <w:rsid w:val="364C598E"/>
    <w:rsid w:val="36575075"/>
    <w:rsid w:val="36CC2B0F"/>
    <w:rsid w:val="371A614D"/>
    <w:rsid w:val="373C45E9"/>
    <w:rsid w:val="3838492F"/>
    <w:rsid w:val="387258D7"/>
    <w:rsid w:val="3887374F"/>
    <w:rsid w:val="38AF6637"/>
    <w:rsid w:val="39041A07"/>
    <w:rsid w:val="39043B77"/>
    <w:rsid w:val="393F0DCD"/>
    <w:rsid w:val="39670895"/>
    <w:rsid w:val="3A657F9A"/>
    <w:rsid w:val="3A9113D4"/>
    <w:rsid w:val="3AC54F32"/>
    <w:rsid w:val="3B144A0A"/>
    <w:rsid w:val="3B1B2A0D"/>
    <w:rsid w:val="3B620744"/>
    <w:rsid w:val="3B7C071F"/>
    <w:rsid w:val="3BB52F69"/>
    <w:rsid w:val="3BC92948"/>
    <w:rsid w:val="3BE370D4"/>
    <w:rsid w:val="3C29381E"/>
    <w:rsid w:val="3C711E1D"/>
    <w:rsid w:val="3C7F463D"/>
    <w:rsid w:val="3CA43C97"/>
    <w:rsid w:val="3CAE3960"/>
    <w:rsid w:val="3D2C1009"/>
    <w:rsid w:val="3D365BF6"/>
    <w:rsid w:val="3DF23324"/>
    <w:rsid w:val="3EA14040"/>
    <w:rsid w:val="3EB8361A"/>
    <w:rsid w:val="3EE8108D"/>
    <w:rsid w:val="3F176159"/>
    <w:rsid w:val="405745EF"/>
    <w:rsid w:val="40B80EFF"/>
    <w:rsid w:val="40D23DBA"/>
    <w:rsid w:val="41A35364"/>
    <w:rsid w:val="41C31686"/>
    <w:rsid w:val="42982B4E"/>
    <w:rsid w:val="436B1E42"/>
    <w:rsid w:val="43993170"/>
    <w:rsid w:val="44054362"/>
    <w:rsid w:val="449C5E6A"/>
    <w:rsid w:val="456D114B"/>
    <w:rsid w:val="45A16DC1"/>
    <w:rsid w:val="45EB670F"/>
    <w:rsid w:val="46AB7C0D"/>
    <w:rsid w:val="46D44808"/>
    <w:rsid w:val="46DB343F"/>
    <w:rsid w:val="47CF49E6"/>
    <w:rsid w:val="4843587B"/>
    <w:rsid w:val="48674ED2"/>
    <w:rsid w:val="487708E6"/>
    <w:rsid w:val="494F5BCA"/>
    <w:rsid w:val="49645F71"/>
    <w:rsid w:val="499F5C68"/>
    <w:rsid w:val="4AF16062"/>
    <w:rsid w:val="4B646DDD"/>
    <w:rsid w:val="4B7F44F8"/>
    <w:rsid w:val="4BAC24C5"/>
    <w:rsid w:val="4BFA0656"/>
    <w:rsid w:val="4C064D24"/>
    <w:rsid w:val="4C5567C9"/>
    <w:rsid w:val="4D616F2F"/>
    <w:rsid w:val="4D730507"/>
    <w:rsid w:val="4D741DD3"/>
    <w:rsid w:val="4DC93207"/>
    <w:rsid w:val="4E2A22FD"/>
    <w:rsid w:val="4E612ADD"/>
    <w:rsid w:val="4E8D5761"/>
    <w:rsid w:val="4ED84B4D"/>
    <w:rsid w:val="4EF54A85"/>
    <w:rsid w:val="4F6F75D9"/>
    <w:rsid w:val="501B3C66"/>
    <w:rsid w:val="504B40C5"/>
    <w:rsid w:val="50987DC2"/>
    <w:rsid w:val="50A4703E"/>
    <w:rsid w:val="5136104F"/>
    <w:rsid w:val="51E55C99"/>
    <w:rsid w:val="52071113"/>
    <w:rsid w:val="52447C09"/>
    <w:rsid w:val="525A440D"/>
    <w:rsid w:val="53D63625"/>
    <w:rsid w:val="54177EC5"/>
    <w:rsid w:val="54741940"/>
    <w:rsid w:val="54810E66"/>
    <w:rsid w:val="54C2556E"/>
    <w:rsid w:val="55480EEF"/>
    <w:rsid w:val="55C4407D"/>
    <w:rsid w:val="55D32512"/>
    <w:rsid w:val="56570E30"/>
    <w:rsid w:val="57AE5C26"/>
    <w:rsid w:val="57DD75A9"/>
    <w:rsid w:val="58256ABD"/>
    <w:rsid w:val="59472AC7"/>
    <w:rsid w:val="59BD150F"/>
    <w:rsid w:val="59DD570D"/>
    <w:rsid w:val="59EA7DFC"/>
    <w:rsid w:val="59FF5EDC"/>
    <w:rsid w:val="5A084708"/>
    <w:rsid w:val="5AB343F7"/>
    <w:rsid w:val="5ABF50F2"/>
    <w:rsid w:val="5AF76904"/>
    <w:rsid w:val="5B052E7A"/>
    <w:rsid w:val="5B3D7F7E"/>
    <w:rsid w:val="5B7C7777"/>
    <w:rsid w:val="5B9462A0"/>
    <w:rsid w:val="5BEC6771"/>
    <w:rsid w:val="5C9D73D6"/>
    <w:rsid w:val="5CA506B9"/>
    <w:rsid w:val="5CFD5FB2"/>
    <w:rsid w:val="5D2B52D8"/>
    <w:rsid w:val="5D526A73"/>
    <w:rsid w:val="5D5A7C63"/>
    <w:rsid w:val="5E256F6F"/>
    <w:rsid w:val="5E5F54F4"/>
    <w:rsid w:val="5F4354C8"/>
    <w:rsid w:val="5F6235A9"/>
    <w:rsid w:val="614125C2"/>
    <w:rsid w:val="614317D6"/>
    <w:rsid w:val="624C5C52"/>
    <w:rsid w:val="63952BB5"/>
    <w:rsid w:val="63DF08E4"/>
    <w:rsid w:val="64127E15"/>
    <w:rsid w:val="64C04AFD"/>
    <w:rsid w:val="64F92D0B"/>
    <w:rsid w:val="661A7B69"/>
    <w:rsid w:val="664909C1"/>
    <w:rsid w:val="66C63EB5"/>
    <w:rsid w:val="6709601B"/>
    <w:rsid w:val="677772D0"/>
    <w:rsid w:val="679461D3"/>
    <w:rsid w:val="6858287E"/>
    <w:rsid w:val="689D16AE"/>
    <w:rsid w:val="69157114"/>
    <w:rsid w:val="691A443E"/>
    <w:rsid w:val="6A80735F"/>
    <w:rsid w:val="6A86594D"/>
    <w:rsid w:val="6AC32221"/>
    <w:rsid w:val="6ACC5E47"/>
    <w:rsid w:val="6AD43ED1"/>
    <w:rsid w:val="6B11024D"/>
    <w:rsid w:val="6B7D5B36"/>
    <w:rsid w:val="6CF120A8"/>
    <w:rsid w:val="6EC46A44"/>
    <w:rsid w:val="704716DB"/>
    <w:rsid w:val="70585D72"/>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8E26444"/>
    <w:rsid w:val="79700BEF"/>
    <w:rsid w:val="79F85634"/>
    <w:rsid w:val="7A090695"/>
    <w:rsid w:val="7A910122"/>
    <w:rsid w:val="7AE175F4"/>
    <w:rsid w:val="7B417685"/>
    <w:rsid w:val="7B5220F0"/>
    <w:rsid w:val="7BA169C0"/>
    <w:rsid w:val="7BE95D3C"/>
    <w:rsid w:val="7CAD595B"/>
    <w:rsid w:val="7CF65D07"/>
    <w:rsid w:val="7D2975D1"/>
    <w:rsid w:val="7DCC0CD6"/>
    <w:rsid w:val="7FA02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4">
    <w:name w:val="页脚 New New New New New"/>
    <w:basedOn w:val="1"/>
    <w:qFormat/>
    <w:uiPriority w:val="0"/>
    <w:pPr>
      <w:tabs>
        <w:tab w:val="center" w:pos="4153"/>
        <w:tab w:val="right" w:pos="8306"/>
      </w:tabs>
      <w:snapToGrid w:val="0"/>
      <w:jc w:val="left"/>
    </w:pPr>
    <w:rPr>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sz w:val="18"/>
    </w:rPr>
  </w:style>
  <w:style w:type="paragraph" w:customStyle="1" w:styleId="54">
    <w:name w:val="页脚 New New New New New New New New New"/>
    <w:basedOn w:val="1"/>
    <w:qFormat/>
    <w:uiPriority w:val="0"/>
    <w:pPr>
      <w:tabs>
        <w:tab w:val="center" w:pos="4153"/>
        <w:tab w:val="right" w:pos="8306"/>
      </w:tabs>
      <w:snapToGrid w:val="0"/>
      <w:jc w:val="left"/>
    </w:pPr>
    <w:rPr>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sz w:val="18"/>
    </w:rPr>
  </w:style>
  <w:style w:type="paragraph" w:customStyle="1" w:styleId="60">
    <w:name w:val="页脚 New New New New New New"/>
    <w:basedOn w:val="1"/>
    <w:qFormat/>
    <w:uiPriority w:val="0"/>
    <w:pPr>
      <w:tabs>
        <w:tab w:val="center" w:pos="4153"/>
        <w:tab w:val="right" w:pos="8306"/>
      </w:tabs>
      <w:snapToGrid w:val="0"/>
      <w:jc w:val="left"/>
    </w:pPr>
    <w:rPr>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Template>
  <Pages>40</Pages>
  <Words>2314</Words>
  <Characters>13190</Characters>
  <Lines>109</Lines>
  <Paragraphs>30</Paragraphs>
  <TotalTime>6</TotalTime>
  <ScaleCrop>false</ScaleCrop>
  <LinksUpToDate>false</LinksUpToDate>
  <CharactersWithSpaces>15474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2022-02-21T08:08:00Z</cp:lastPrinted>
  <dcterms:modified xsi:type="dcterms:W3CDTF">2024-01-26T15:40:29Z</dcterms:modified>
  <dc:title>主  持  词</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66FBCE332CC34BCE9E7C685CD57484FB_13</vt:lpwstr>
  </property>
</Properties>
</file>