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ind w:firstLine="440" w:firstLineChars="100"/>
        <w:jc w:val="both"/>
        <w:rPr>
          <w:rFonts w:eastAsia="方正小标宋简体"/>
          <w:sz w:val="44"/>
          <w:szCs w:val="44"/>
        </w:rPr>
      </w:pPr>
      <w:r>
        <w:rPr>
          <w:rFonts w:hint="eastAsia" w:eastAsia="方正小标宋简体"/>
          <w:sz w:val="44"/>
          <w:szCs w:val="44"/>
          <w:lang w:eastAsia="zh-CN"/>
        </w:rPr>
        <w:t>通榆县向海水库管理处2024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ascii="仿宋_GB2312" w:cs="仿宋_GB2312"/>
          <w:color w:val="000000"/>
          <w:szCs w:val="32"/>
        </w:rPr>
      </w:pPr>
      <w:r>
        <w:rPr>
          <w:rFonts w:hint="eastAsia" w:ascii="仿宋_GB2312" w:hAnsi="仿宋_GB2312" w:cs="仿宋_GB2312"/>
          <w:color w:val="000000"/>
          <w:szCs w:val="32"/>
        </w:rPr>
        <w:t>（</w:t>
      </w:r>
      <w:r>
        <w:rPr>
          <w:rFonts w:ascii="仿宋_GB2312" w:hAnsi="仿宋_GB2312" w:cs="仿宋_GB2312"/>
          <w:color w:val="000000"/>
          <w:szCs w:val="32"/>
        </w:rPr>
        <w:t>1</w:t>
      </w:r>
      <w:r>
        <w:rPr>
          <w:rFonts w:hint="eastAsia" w:ascii="仿宋_GB2312" w:hAnsi="仿宋_GB2312" w:cs="仿宋_GB2312"/>
          <w:color w:val="000000"/>
          <w:szCs w:val="32"/>
        </w:rPr>
        <w:t>）防洪调蓄，安全度汛。</w:t>
      </w:r>
    </w:p>
    <w:p>
      <w:pPr>
        <w:ind w:firstLine="640" w:firstLineChars="200"/>
        <w:rPr>
          <w:rFonts w:ascii="仿宋_GB2312" w:cs="仿宋_GB2312"/>
          <w:color w:val="000000"/>
          <w:szCs w:val="32"/>
        </w:rPr>
      </w:pPr>
      <w:r>
        <w:rPr>
          <w:rFonts w:hint="eastAsia" w:ascii="仿宋_GB2312" w:hAnsi="仿宋_GB2312" w:cs="仿宋_GB2312"/>
          <w:color w:val="000000"/>
          <w:szCs w:val="32"/>
        </w:rPr>
        <w:t>（</w:t>
      </w:r>
      <w:r>
        <w:rPr>
          <w:rFonts w:ascii="仿宋_GB2312" w:hAnsi="仿宋_GB2312" w:cs="仿宋_GB2312"/>
          <w:color w:val="000000"/>
          <w:szCs w:val="32"/>
        </w:rPr>
        <w:t>2</w:t>
      </w:r>
      <w:r>
        <w:rPr>
          <w:rFonts w:hint="eastAsia" w:ascii="仿宋_GB2312" w:hAnsi="仿宋_GB2312" w:cs="仿宋_GB2312"/>
          <w:color w:val="000000"/>
          <w:szCs w:val="32"/>
        </w:rPr>
        <w:t>）湿地供水，维持生态稳定。</w:t>
      </w:r>
    </w:p>
    <w:p>
      <w:pPr>
        <w:ind w:firstLine="640" w:firstLineChars="200"/>
        <w:rPr>
          <w:rFonts w:ascii="仿宋_GB2312" w:cs="仿宋_GB2312"/>
          <w:color w:val="000000"/>
          <w:szCs w:val="32"/>
        </w:rPr>
      </w:pPr>
      <w:r>
        <w:rPr>
          <w:rFonts w:hint="eastAsia" w:ascii="仿宋_GB2312" w:hAnsi="仿宋_GB2312" w:cs="仿宋_GB2312"/>
          <w:color w:val="000000"/>
          <w:szCs w:val="32"/>
        </w:rPr>
        <w:t>（</w:t>
      </w:r>
      <w:r>
        <w:rPr>
          <w:rFonts w:ascii="仿宋_GB2312" w:hAnsi="仿宋_GB2312" w:cs="仿宋_GB2312"/>
          <w:color w:val="000000"/>
          <w:szCs w:val="32"/>
        </w:rPr>
        <w:t>3</w:t>
      </w:r>
      <w:r>
        <w:rPr>
          <w:rFonts w:hint="eastAsia" w:ascii="仿宋_GB2312" w:hAnsi="仿宋_GB2312" w:cs="仿宋_GB2312"/>
          <w:color w:val="000000"/>
          <w:szCs w:val="32"/>
        </w:rPr>
        <w:t>）水库大坝安全监测。</w:t>
      </w:r>
    </w:p>
    <w:p>
      <w:pPr>
        <w:ind w:firstLine="640" w:firstLineChars="200"/>
        <w:rPr>
          <w:rFonts w:ascii="仿宋_GB2312" w:cs="仿宋_GB2312"/>
          <w:color w:val="000000"/>
          <w:szCs w:val="32"/>
        </w:rPr>
      </w:pPr>
      <w:r>
        <w:rPr>
          <w:rFonts w:hint="eastAsia" w:ascii="仿宋_GB2312" w:hAnsi="仿宋_GB2312" w:cs="仿宋_GB2312"/>
          <w:color w:val="000000"/>
          <w:szCs w:val="32"/>
        </w:rPr>
        <w:t>（</w:t>
      </w:r>
      <w:r>
        <w:rPr>
          <w:rFonts w:ascii="仿宋_GB2312" w:hAnsi="仿宋_GB2312" w:cs="仿宋_GB2312"/>
          <w:color w:val="000000"/>
          <w:szCs w:val="32"/>
        </w:rPr>
        <w:t>4</w:t>
      </w:r>
      <w:r>
        <w:rPr>
          <w:rFonts w:hint="eastAsia" w:ascii="仿宋_GB2312" w:hAnsi="仿宋_GB2312" w:cs="仿宋_GB2312"/>
          <w:color w:val="000000"/>
          <w:szCs w:val="32"/>
        </w:rPr>
        <w:t>）水利工程养护维修。</w:t>
      </w:r>
    </w:p>
    <w:p>
      <w:pPr>
        <w:ind w:firstLine="640" w:firstLineChars="200"/>
        <w:rPr>
          <w:rFonts w:ascii="仿宋_GB2312" w:cs="仿宋_GB2312"/>
          <w:color w:val="000000"/>
          <w:szCs w:val="32"/>
        </w:rPr>
      </w:pPr>
      <w:r>
        <w:rPr>
          <w:rFonts w:hint="eastAsia" w:ascii="仿宋_GB2312" w:hAnsi="仿宋_GB2312" w:cs="仿宋_GB2312"/>
          <w:color w:val="000000"/>
          <w:szCs w:val="32"/>
        </w:rPr>
        <w:t>（</w:t>
      </w:r>
      <w:r>
        <w:rPr>
          <w:rFonts w:ascii="仿宋_GB2312" w:hAnsi="仿宋_GB2312" w:cs="仿宋_GB2312"/>
          <w:color w:val="000000"/>
          <w:szCs w:val="32"/>
        </w:rPr>
        <w:t>5</w:t>
      </w:r>
      <w:r>
        <w:rPr>
          <w:rFonts w:hint="eastAsia" w:ascii="仿宋_GB2312" w:hAnsi="仿宋_GB2312" w:cs="仿宋_GB2312"/>
          <w:color w:val="000000"/>
          <w:szCs w:val="32"/>
        </w:rPr>
        <w:t>）对管理范围内的水土资源、水域、生态环境及水利工程设施进行保护。</w:t>
      </w:r>
    </w:p>
    <w:p>
      <w:pPr>
        <w:ind w:firstLine="640" w:firstLineChars="200"/>
        <w:rPr>
          <w:rFonts w:ascii="仿宋_GB2312" w:cs="仿宋_GB2312"/>
          <w:color w:val="000000"/>
          <w:szCs w:val="32"/>
        </w:rPr>
      </w:pPr>
      <w:r>
        <w:rPr>
          <w:rFonts w:hint="eastAsia" w:ascii="仿宋_GB2312" w:hAnsi="仿宋_GB2312" w:cs="仿宋_GB2312"/>
          <w:color w:val="000000"/>
          <w:szCs w:val="32"/>
        </w:rPr>
        <w:t>（</w:t>
      </w:r>
      <w:r>
        <w:rPr>
          <w:rFonts w:ascii="仿宋_GB2312" w:hAnsi="仿宋_GB2312" w:cs="仿宋_GB2312"/>
          <w:color w:val="000000"/>
          <w:szCs w:val="32"/>
        </w:rPr>
        <w:t>6</w:t>
      </w:r>
      <w:r>
        <w:rPr>
          <w:rFonts w:hint="eastAsia" w:ascii="仿宋_GB2312" w:hAnsi="仿宋_GB2312" w:cs="仿宋_GB2312"/>
          <w:color w:val="000000"/>
          <w:szCs w:val="32"/>
        </w:rPr>
        <w:t>）加强水土保持综合治理，保护堤岸林木，扩大库区林草植被，涵养水源。</w:t>
      </w:r>
    </w:p>
    <w:p>
      <w:pPr>
        <w:ind w:firstLine="640" w:firstLineChars="200"/>
        <w:rPr>
          <w:rFonts w:hint="eastAsia" w:ascii="仿宋_GB2312" w:hAnsi="仿宋_GB2312" w:eastAsia="仿宋_GB2312" w:cs="仿宋_GB2312"/>
          <w:color w:val="000000"/>
          <w:sz w:val="21"/>
          <w:szCs w:val="21"/>
        </w:rPr>
      </w:pPr>
      <w:r>
        <w:rPr>
          <w:rFonts w:ascii="仿宋_GB2312" w:hAnsi="仿宋_GB2312" w:cs="仿宋_GB2312"/>
          <w:color w:val="000000"/>
          <w:szCs w:val="32"/>
        </w:rPr>
        <w:t xml:space="preserve"> (7)</w:t>
      </w:r>
      <w:r>
        <w:rPr>
          <w:rFonts w:hint="eastAsia" w:ascii="仿宋_GB2312" w:hAnsi="仿宋_GB2312" w:cs="仿宋_GB2312"/>
          <w:color w:val="000000"/>
          <w:szCs w:val="32"/>
        </w:rPr>
        <w:t>承办县委、县政府交办的其它工作事项。</w:t>
      </w:r>
    </w:p>
    <w:p>
      <w:pPr>
        <w:ind w:firstLine="640" w:firstLineChars="200"/>
      </w:pPr>
      <w:r>
        <w:rPr>
          <w:rFonts w:eastAsia="楷体_GB2312"/>
        </w:rPr>
        <w:t>二、机构设置</w:t>
      </w:r>
    </w:p>
    <w:p>
      <w:pPr>
        <w:pStyle w:val="51"/>
        <w:ind w:firstLine="640" w:firstLineChars="200"/>
        <w:rPr>
          <w:rFonts w:ascii="仿宋_GB2312" w:hAnsi="仿宋_GB2312" w:eastAsia="仿宋_GB2312" w:cs="仿宋_GB2312"/>
          <w:color w:val="000000"/>
          <w:kern w:val="2"/>
        </w:rPr>
      </w:pPr>
      <w:r>
        <w:rPr>
          <w:rFonts w:hint="eastAsia" w:ascii="仿宋_GB2312" w:hAnsi="仿宋_GB2312" w:eastAsia="仿宋_GB2312" w:cs="仿宋_GB2312"/>
          <w:color w:val="000000"/>
          <w:kern w:val="2"/>
        </w:rPr>
        <w:t>根据上述职责，通榆县向海水库管理处内设六个机构，分别为办公室、人事科、工程管理科、计财科、水土资源林政科、水政监察科。</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3240" w:firstLineChars="9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299.29</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225.64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225.64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21.42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21.42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12.67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12.67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299.29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51" w:type="dxa"/>
        <w:jc w:val="center"/>
        <w:tblLayout w:type="fixed"/>
        <w:tblCellMar>
          <w:top w:w="0" w:type="dxa"/>
          <w:left w:w="108" w:type="dxa"/>
          <w:bottom w:w="0" w:type="dxa"/>
          <w:right w:w="108" w:type="dxa"/>
        </w:tblCellMar>
      </w:tblPr>
      <w:tblGrid>
        <w:gridCol w:w="428"/>
        <w:gridCol w:w="567"/>
        <w:gridCol w:w="660"/>
        <w:gridCol w:w="720"/>
        <w:gridCol w:w="660"/>
        <w:gridCol w:w="375"/>
        <w:gridCol w:w="405"/>
        <w:gridCol w:w="360"/>
        <w:gridCol w:w="330"/>
        <w:gridCol w:w="53"/>
        <w:gridCol w:w="382"/>
        <w:gridCol w:w="405"/>
        <w:gridCol w:w="390"/>
        <w:gridCol w:w="8"/>
        <w:gridCol w:w="261"/>
        <w:gridCol w:w="146"/>
        <w:gridCol w:w="293"/>
        <w:gridCol w:w="238"/>
        <w:gridCol w:w="178"/>
        <w:gridCol w:w="353"/>
        <w:gridCol w:w="63"/>
        <w:gridCol w:w="416"/>
        <w:gridCol w:w="416"/>
        <w:gridCol w:w="416"/>
        <w:gridCol w:w="405"/>
        <w:gridCol w:w="23"/>
      </w:tblGrid>
      <w:tr>
        <w:tblPrEx>
          <w:tblCellMar>
            <w:top w:w="0" w:type="dxa"/>
            <w:left w:w="108" w:type="dxa"/>
            <w:bottom w:w="0" w:type="dxa"/>
            <w:right w:w="108" w:type="dxa"/>
          </w:tblCellMar>
        </w:tblPrEx>
        <w:trPr>
          <w:gridAfter w:val="1"/>
          <w:wAfter w:w="23"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185" w:type="dxa"/>
            <w:gridSpan w:val="4"/>
            <w:noWrap w:val="0"/>
            <w:vAlign w:val="center"/>
          </w:tcPr>
          <w:p>
            <w:pPr>
              <w:autoSpaceDN w:val="0"/>
              <w:jc w:val="left"/>
              <w:textAlignment w:val="center"/>
              <w:rPr>
                <w:rFonts w:eastAsia="华文细黑"/>
                <w:color w:val="000000"/>
                <w:sz w:val="20"/>
              </w:rPr>
            </w:pPr>
          </w:p>
        </w:tc>
        <w:tc>
          <w:tcPr>
            <w:tcW w:w="407"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23" w:type="dxa"/>
          <w:trHeight w:val="418" w:hRule="atLeast"/>
          <w:jc w:val="center"/>
        </w:trPr>
        <w:tc>
          <w:tcPr>
            <w:tcW w:w="99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6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349"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9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6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5"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995"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通榆县向海水库管理处</w:t>
            </w:r>
          </w:p>
        </w:tc>
        <w:tc>
          <w:tcPr>
            <w:tcW w:w="6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299.29</w:t>
            </w:r>
          </w:p>
        </w:tc>
        <w:tc>
          <w:tcPr>
            <w:tcW w:w="72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299.29</w:t>
            </w:r>
          </w:p>
        </w:tc>
        <w:tc>
          <w:tcPr>
            <w:tcW w:w="6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299.29</w:t>
            </w:r>
          </w:p>
        </w:tc>
        <w:tc>
          <w:tcPr>
            <w:tcW w:w="37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0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3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35"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7"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99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299.29</w:t>
            </w: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299.29</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299.29</w:t>
            </w: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3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autoSpaceDN w:val="0"/>
                    <w:textAlignment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二、农林水支出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rPr>
                      <w:rFonts w:ascii="Times New Roman" w:hAnsi="Times New Roman" w:eastAsia="宋体" w:cs="Times New Roman"/>
                      <w:color w:val="000000"/>
                      <w:kern w:val="0"/>
                      <w:sz w:val="20"/>
                      <w:lang w:val="en-US" w:eastAsia="zh-CN" w:bidi="ar-SA"/>
                    </w:rPr>
                  </w:pPr>
                  <w:r>
                    <w:rPr>
                      <w:rFonts w:hint="eastAsia" w:eastAsia="宋体"/>
                      <w:color w:val="000000"/>
                      <w:kern w:val="0"/>
                      <w:sz w:val="20"/>
                    </w:rPr>
                    <w:t>三、社会保障和就业支出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rPr>
                      <w:rFonts w:ascii="Times New Roman" w:hAnsi="Times New Roman" w:eastAsia="宋体" w:cs="Times New Roman"/>
                      <w:color w:val="000000"/>
                      <w:kern w:val="0"/>
                      <w:sz w:val="20"/>
                      <w:lang w:val="en-US" w:eastAsia="zh-CN" w:bidi="ar-SA"/>
                    </w:rPr>
                  </w:pPr>
                  <w:r>
                    <w:rPr>
                      <w:rFonts w:hint="eastAsia" w:eastAsia="宋体"/>
                      <w:color w:val="000000"/>
                      <w:kern w:val="0"/>
                      <w:sz w:val="20"/>
                    </w:rPr>
                    <w:t>四、医疗卫生健康支出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rPr>
                      <w:rFonts w:ascii="Times New Roman" w:hAnsi="Times New Roman" w:eastAsia="宋体" w:cs="Times New Roman"/>
                      <w:color w:val="000000"/>
                      <w:kern w:val="0"/>
                      <w:sz w:val="20"/>
                      <w:lang w:val="en-US" w:eastAsia="zh-CN" w:bidi="ar-SA"/>
                    </w:rPr>
                  </w:pPr>
                  <w:r>
                    <w:rPr>
                      <w:rFonts w:hint="eastAsia" w:eastAsia="宋体"/>
                      <w:color w:val="000000"/>
                      <w:kern w:val="0"/>
                      <w:sz w:val="20"/>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299.29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49"/>
              <w:gridCol w:w="527"/>
              <w:gridCol w:w="1721"/>
              <w:gridCol w:w="864"/>
              <w:gridCol w:w="833"/>
              <w:gridCol w:w="65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880" w:firstLineChars="8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4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2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2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299.29</w:t>
                  </w: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299.29</w:t>
                  </w:r>
                </w:p>
              </w:tc>
              <w:tc>
                <w:tcPr>
                  <w:tcW w:w="5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299.29</w:t>
                  </w: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299.29</w:t>
                  </w: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39.56</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39.56</w:t>
                  </w: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12.67</w:t>
                  </w: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12.67</w:t>
                  </w: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225.64</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225.64</w:t>
                  </w: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21.42</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hint="default" w:eastAsia="宋体"/>
                      <w:kern w:val="0"/>
                      <w:sz w:val="20"/>
                      <w:lang w:val="en-US" w:eastAsia="zh-CN"/>
                    </w:rPr>
                  </w:pPr>
                  <w:r>
                    <w:rPr>
                      <w:rFonts w:hint="eastAsia" w:eastAsia="宋体"/>
                      <w:kern w:val="0"/>
                      <w:sz w:val="20"/>
                      <w:lang w:val="en-US" w:eastAsia="zh-CN"/>
                    </w:rPr>
                    <w:t>21.42</w:t>
                  </w: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299.29</w:t>
                  </w: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299.29</w:t>
                  </w: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299.29</w:t>
                  </w: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299.29</w:t>
                  </w: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2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3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5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299.29</w:t>
                  </w:r>
                  <w:r>
                    <w:rPr>
                      <w:rFonts w:eastAsia="黑体"/>
                      <w:kern w:val="0"/>
                      <w:sz w:val="20"/>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299.29</w:t>
                  </w:r>
                </w:p>
              </w:tc>
              <w:tc>
                <w:tcPr>
                  <w:tcW w:w="5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299.29</w:t>
                  </w:r>
                  <w:r>
                    <w:rPr>
                      <w:rFonts w:eastAsia="宋体"/>
                      <w:kern w:val="0"/>
                      <w:sz w:val="20"/>
                    </w:rPr>
                    <w:t>　</w:t>
                  </w:r>
                </w:p>
              </w:tc>
              <w:tc>
                <w:tcPr>
                  <w:tcW w:w="83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299.29</w:t>
                  </w:r>
                </w:p>
              </w:tc>
              <w:tc>
                <w:tcPr>
                  <w:tcW w:w="6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autoSpaceDN w:val="0"/>
                    <w:textAlignment w:val="center"/>
                    <w:rPr>
                      <w:rFonts w:eastAsia="华文细黑"/>
                      <w:color w:val="000000"/>
                      <w:kern w:val="0"/>
                      <w:sz w:val="20"/>
                    </w:rPr>
                  </w:pPr>
                  <w:r>
                    <w:rPr>
                      <w:rFonts w:hint="eastAsia" w:eastAsia="宋体"/>
                      <w:color w:val="000000"/>
                      <w:kern w:val="0"/>
                      <w:sz w:val="20"/>
                    </w:rPr>
                    <w:t>二、农林水支出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196.60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三、社会保障和就业支出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四、医疗卫生健康支出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267.99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267.99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98.95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98.95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19.82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19.82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20.19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20.19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52.94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4"/>
                <w:szCs w:val="24"/>
                <w:lang w:val="en-US" w:eastAsia="zh-CN"/>
              </w:rPr>
            </w:pPr>
            <w:r>
              <w:rPr>
                <w:rFonts w:hint="eastAsia"/>
                <w:sz w:val="24"/>
                <w:szCs w:val="24"/>
                <w:lang w:val="en-US" w:eastAsia="zh-CN"/>
              </w:rPr>
              <w:t>52.94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rPr>
              <w:t>机关事业基本养老保险缴费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30.70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30.70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7.51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7.51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kern w:val="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12.28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12.28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100" w:firstLineChars="50"/>
              <w:jc w:val="left"/>
              <w:textAlignment w:val="center"/>
              <w:rPr>
                <w:rFonts w:ascii="Times New Roman" w:hAnsi="Times New Roman" w:eastAsia="宋体" w:cs="Times New Roman"/>
                <w:kern w:val="0"/>
                <w:sz w:val="20"/>
                <w:lang w:val="en-US" w:eastAsia="zh-CN" w:bidi="ar-SA"/>
              </w:rPr>
            </w:pPr>
            <w:r>
              <w:rPr>
                <w:rFonts w:eastAsia="宋体"/>
                <w:color w:val="000000"/>
                <w:sz w:val="20"/>
              </w:rPr>
              <w:t xml:space="preserve">   </w:t>
            </w: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24"/>
                <w:lang w:val="en-US" w:eastAsia="zh-CN"/>
              </w:rPr>
            </w:pPr>
            <w:r>
              <w:rPr>
                <w:rFonts w:hint="eastAsia"/>
                <w:sz w:val="24"/>
                <w:szCs w:val="24"/>
                <w:lang w:val="en-US" w:eastAsia="zh-CN"/>
              </w:rPr>
              <w:t>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kern w:val="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21.42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4"/>
                <w:szCs w:val="24"/>
                <w:lang w:val="en-US" w:eastAsia="zh-CN"/>
              </w:rPr>
            </w:pPr>
            <w:r>
              <w:rPr>
                <w:rFonts w:hint="eastAsia"/>
                <w:sz w:val="24"/>
                <w:szCs w:val="24"/>
                <w:lang w:val="en-US" w:eastAsia="zh-CN"/>
              </w:rPr>
              <w:t>21.42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其他工资福利支出</w:t>
            </w:r>
            <w:r>
              <w:rPr>
                <w:rFonts w:eastAsia="宋体"/>
                <w:color w:val="000000"/>
                <w:kern w:val="0"/>
                <w:sz w:val="20"/>
              </w:rPr>
              <w:t xml:space="preserve"> </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.2.44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4"/>
                <w:szCs w:val="24"/>
                <w:lang w:val="en-US" w:eastAsia="zh-CN"/>
              </w:rPr>
            </w:pPr>
            <w:r>
              <w:rPr>
                <w:rFonts w:hint="eastAsia"/>
                <w:sz w:val="24"/>
                <w:szCs w:val="24"/>
                <w:lang w:val="en-US" w:eastAsia="zh-CN"/>
              </w:rPr>
              <w:t>2.44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rPr>
                <w:rFonts w:ascii="Times New Roman" w:hAnsi="Times New Roman" w:eastAsia="宋体" w:cs="Times New Roman"/>
                <w:color w:val="000000"/>
                <w:kern w:val="0"/>
                <w:sz w:val="20"/>
                <w:lang w:val="en-US" w:eastAsia="zh-CN" w:bidi="ar-SA"/>
              </w:rPr>
            </w:pPr>
            <w:r>
              <w:rPr>
                <w:rFonts w:hint="eastAsia" w:eastAsia="宋体"/>
                <w:color w:val="000000"/>
                <w:kern w:val="0"/>
                <w:sz w:val="20"/>
              </w:rPr>
              <w:t>二、对个人和家庭补助</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2.26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r>
              <w:rPr>
                <w:rFonts w:hint="eastAsia"/>
                <w:sz w:val="24"/>
                <w:szCs w:val="24"/>
                <w:lang w:val="en-US" w:eastAsia="zh-CN"/>
              </w:rPr>
              <w:t>2.26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300" w:firstLineChars="150"/>
              <w:rPr>
                <w:rFonts w:ascii="Times New Roman" w:hAnsi="Times New Roman" w:eastAsia="宋体" w:cs="Times New Roman"/>
                <w:color w:val="000000"/>
                <w:kern w:val="0"/>
                <w:sz w:val="20"/>
                <w:lang w:val="en-US" w:eastAsia="zh-CN" w:bidi="ar-SA"/>
              </w:rPr>
            </w:pPr>
            <w:r>
              <w:rPr>
                <w:rFonts w:hint="eastAsia" w:eastAsia="宋体"/>
                <w:color w:val="000000"/>
                <w:kern w:val="0"/>
                <w:sz w:val="20"/>
              </w:rPr>
              <w:t>退休费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1.60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r>
              <w:rPr>
                <w:rFonts w:hint="eastAsia"/>
                <w:sz w:val="24"/>
                <w:szCs w:val="24"/>
                <w:lang w:val="en-US" w:eastAsia="zh-CN"/>
              </w:rPr>
              <w:t>1.60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300" w:firstLineChars="150"/>
              <w:rPr>
                <w:rFonts w:ascii="Times New Roman" w:hAnsi="Times New Roman" w:eastAsia="宋体" w:cs="Times New Roman"/>
                <w:color w:val="000000"/>
                <w:kern w:val="0"/>
                <w:sz w:val="20"/>
                <w:lang w:val="en-US" w:eastAsia="zh-CN" w:bidi="ar-SA"/>
              </w:rPr>
            </w:pPr>
            <w:r>
              <w:rPr>
                <w:rFonts w:hint="eastAsia" w:eastAsia="宋体"/>
                <w:color w:val="000000"/>
                <w:kern w:val="0"/>
                <w:sz w:val="20"/>
              </w:rPr>
              <w:t>生活补助</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0.66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r>
              <w:rPr>
                <w:rFonts w:hint="eastAsia"/>
                <w:sz w:val="24"/>
                <w:szCs w:val="24"/>
                <w:lang w:val="en-US" w:eastAsia="zh-CN"/>
              </w:rPr>
              <w:t>0.66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4"/>
                <w:szCs w:val="24"/>
              </w:rP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rPr>
                <w:rFonts w:ascii="Times New Roman" w:hAnsi="Times New Roman" w:eastAsia="宋体" w:cs="Times New Roman"/>
                <w:color w:val="000000"/>
                <w:kern w:val="0"/>
                <w:sz w:val="20"/>
                <w:lang w:val="en-US" w:eastAsia="zh-CN" w:bidi="ar-SA"/>
              </w:rPr>
            </w:pPr>
            <w:r>
              <w:rPr>
                <w:rFonts w:hint="eastAsia" w:eastAsia="宋体"/>
                <w:color w:val="000000"/>
                <w:sz w:val="20"/>
              </w:rPr>
              <w:t>二、商品和服务支出</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17.24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17.24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办公费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3.20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3.20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印刷费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0.20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0.20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手续费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0.20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0.20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水费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0.10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0.10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电费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1.54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1.54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邮电费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0.50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0.50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取暖费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2.60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2.60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差旅费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2.46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2.46</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olor w:val="000000"/>
                <w:kern w:val="0"/>
                <w:sz w:val="20"/>
              </w:rPr>
              <w:t>维修（护）费</w:t>
            </w:r>
            <w:r>
              <w:rPr>
                <w:rFonts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2.40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2.40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wordWrap w:val="0"/>
              <w:ind w:right="400" w:rightChars="0" w:firstLine="400" w:firstLineChars="200"/>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工会经费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1.00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ind w:right="400" w:rightChars="0" w:firstLine="400" w:firstLineChars="200"/>
              <w:rPr>
                <w:rFonts w:ascii="宋体" w:hAnsi="宋体" w:eastAsia="宋体" w:cs="Times New Roman"/>
                <w:color w:val="000000"/>
                <w:kern w:val="0"/>
                <w:sz w:val="20"/>
                <w:lang w:val="en-US" w:eastAsia="zh-CN" w:bidi="ar-SA"/>
              </w:rPr>
            </w:pPr>
            <w:r>
              <w:rPr>
                <w:rFonts w:hint="eastAsia" w:ascii="宋体" w:hAnsi="宋体" w:eastAsia="宋体"/>
                <w:color w:val="000000"/>
                <w:kern w:val="0"/>
                <w:sz w:val="20"/>
              </w:rPr>
              <w:t>公务用车运行维护费</w:t>
            </w:r>
            <w:r>
              <w:rPr>
                <w:rFonts w:ascii="宋体" w:hAnsi="宋体" w:eastAsia="宋体"/>
                <w:color w:val="000000"/>
                <w:kern w:val="0"/>
                <w:sz w:val="20"/>
              </w:rPr>
              <w:t xml:space="preserve"> </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1.00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ind w:firstLine="400" w:firstLineChars="200"/>
              <w:rPr>
                <w:rFonts w:ascii="宋体" w:hAnsi="宋体" w:eastAsia="宋体" w:cs="楷体"/>
                <w:kern w:val="2"/>
                <w:sz w:val="20"/>
                <w:lang w:val="en-US" w:eastAsia="zh-CN" w:bidi="ar-SA"/>
              </w:rPr>
            </w:pPr>
            <w:r>
              <w:rPr>
                <w:rFonts w:hint="eastAsia" w:ascii="宋体" w:hAnsi="宋体" w:eastAsia="宋体" w:cs="楷体"/>
                <w:sz w:val="20"/>
              </w:rPr>
              <w:t>其他商品和服务支出</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2.04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2.04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ind w:firstLine="400" w:firstLineChars="200"/>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资本性支出</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1.00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办公设备购置</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4"/>
                <w:szCs w:val="24"/>
                <w:lang w:val="en-US" w:eastAsia="zh-CN" w:bidi="ar-SA"/>
              </w:rPr>
            </w:pPr>
            <w:r>
              <w:rPr>
                <w:rFonts w:hint="eastAsia"/>
                <w:sz w:val="24"/>
                <w:szCs w:val="24"/>
                <w:lang w:val="en-US" w:eastAsia="zh-CN"/>
              </w:rPr>
              <w:t>1.00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288.49</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r>
              <w:rPr>
                <w:rFonts w:hint="eastAsia"/>
                <w:sz w:val="24"/>
                <w:szCs w:val="24"/>
                <w:lang w:val="en-US" w:eastAsia="zh-CN"/>
              </w:rPr>
              <w:t>270.25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4"/>
                <w:szCs w:val="24"/>
                <w:lang w:val="en-US" w:eastAsia="zh-CN"/>
              </w:rPr>
            </w:pPr>
            <w:r>
              <w:rPr>
                <w:rFonts w:hint="eastAsia"/>
                <w:sz w:val="24"/>
                <w:szCs w:val="24"/>
                <w:lang w:val="en-US" w:eastAsia="zh-CN"/>
              </w:rPr>
              <w:t>18.24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pPr w:leftFromText="180" w:rightFromText="180" w:vertAnchor="text" w:horzAnchor="page" w:tblpX="1908" w:tblpY="-2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96"/>
        <w:gridCol w:w="1140"/>
        <w:gridCol w:w="720"/>
        <w:gridCol w:w="585"/>
        <w:gridCol w:w="615"/>
        <w:gridCol w:w="420"/>
        <w:gridCol w:w="555"/>
        <w:gridCol w:w="555"/>
        <w:gridCol w:w="510"/>
        <w:gridCol w:w="45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9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4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2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8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9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91"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436"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72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8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9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2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29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4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720" w:type="dxa"/>
            <w:vMerge w:val="continue"/>
            <w:noWrap w:val="0"/>
            <w:vAlign w:val="center"/>
          </w:tcPr>
          <w:p>
            <w:pPr>
              <w:autoSpaceDN w:val="0"/>
              <w:jc w:val="center"/>
              <w:textAlignment w:val="center"/>
              <w:rPr>
                <w:rFonts w:ascii="Calibri" w:hAnsi="Calibri" w:eastAsia="华文细黑"/>
                <w:color w:val="000000"/>
                <w:sz w:val="20"/>
                <w:szCs w:val="22"/>
              </w:rPr>
            </w:pPr>
          </w:p>
        </w:tc>
        <w:tc>
          <w:tcPr>
            <w:tcW w:w="585" w:type="dxa"/>
            <w:vMerge w:val="continue"/>
            <w:noWrap w:val="0"/>
            <w:vAlign w:val="center"/>
          </w:tcPr>
          <w:p>
            <w:pPr>
              <w:autoSpaceDN w:val="0"/>
              <w:jc w:val="center"/>
              <w:textAlignment w:val="center"/>
              <w:rPr>
                <w:rFonts w:ascii="Calibri" w:hAnsi="Calibri" w:eastAsia="华文细黑"/>
                <w:color w:val="000000"/>
                <w:sz w:val="20"/>
                <w:szCs w:val="22"/>
              </w:rPr>
            </w:pPr>
          </w:p>
        </w:tc>
        <w:tc>
          <w:tcPr>
            <w:tcW w:w="6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5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1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5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7" w:hRule="exact"/>
        </w:trPr>
        <w:tc>
          <w:tcPr>
            <w:tcW w:w="759" w:type="dxa"/>
            <w:noWrap w:val="0"/>
            <w:vAlign w:val="center"/>
          </w:tcPr>
          <w:p>
            <w:pPr>
              <w:pStyle w:val="41"/>
              <w:bidi w:val="0"/>
              <w:rPr>
                <w:rFonts w:hint="eastAsia"/>
                <w:lang w:val="en-US" w:eastAsia="zh-CN"/>
              </w:rPr>
            </w:pPr>
            <w:r>
              <w:rPr>
                <w:rFonts w:hint="eastAsia"/>
                <w:lang w:val="en-US" w:eastAsia="zh-CN"/>
              </w:rPr>
              <w:t>专项业务支出</w:t>
            </w:r>
          </w:p>
        </w:tc>
        <w:tc>
          <w:tcPr>
            <w:tcW w:w="1296" w:type="dxa"/>
            <w:noWrap w:val="0"/>
            <w:vAlign w:val="center"/>
          </w:tcPr>
          <w:p>
            <w:pPr>
              <w:pStyle w:val="41"/>
              <w:bidi w:val="0"/>
              <w:rPr>
                <w:rFonts w:hint="default"/>
                <w:lang w:val="en-US" w:eastAsia="zh-CN"/>
              </w:rPr>
            </w:pPr>
            <w:r>
              <w:rPr>
                <w:rFonts w:hint="eastAsia"/>
                <w:lang w:eastAsia="zh-CN"/>
              </w:rPr>
              <w:t>向海水库驻村工作队生活补贴</w:t>
            </w:r>
            <w:r>
              <w:rPr>
                <w:rFonts w:hint="eastAsia"/>
                <w:lang w:val="en-US" w:eastAsia="zh-CN"/>
              </w:rPr>
              <w:t>1.3（10.8万）</w:t>
            </w:r>
          </w:p>
        </w:tc>
        <w:tc>
          <w:tcPr>
            <w:tcW w:w="1140" w:type="dxa"/>
            <w:noWrap w:val="0"/>
            <w:vAlign w:val="center"/>
          </w:tcPr>
          <w:p>
            <w:pPr>
              <w:pStyle w:val="41"/>
              <w:bidi w:val="0"/>
            </w:pPr>
            <w:r>
              <w:rPr>
                <w:rFonts w:hint="eastAsia"/>
                <w:lang w:eastAsia="zh-CN"/>
              </w:rPr>
              <w:t>向海水库驻村工作队生活补贴</w:t>
            </w:r>
            <w:r>
              <w:rPr>
                <w:rFonts w:hint="eastAsia"/>
                <w:lang w:val="en-US" w:eastAsia="zh-CN"/>
              </w:rPr>
              <w:t>1.3（10.8万）</w:t>
            </w:r>
          </w:p>
        </w:tc>
        <w:tc>
          <w:tcPr>
            <w:tcW w:w="720" w:type="dxa"/>
            <w:noWrap w:val="0"/>
            <w:vAlign w:val="center"/>
          </w:tcPr>
          <w:p>
            <w:pPr>
              <w:pStyle w:val="41"/>
              <w:bidi w:val="0"/>
              <w:rPr>
                <w:rFonts w:hint="eastAsia"/>
                <w:lang w:eastAsia="zh-CN"/>
              </w:rPr>
            </w:pPr>
            <w:r>
              <w:rPr>
                <w:rFonts w:hint="eastAsia"/>
                <w:lang w:eastAsia="zh-CN"/>
              </w:rPr>
              <w:t>通榆县向海水库管理处</w:t>
            </w:r>
          </w:p>
        </w:tc>
        <w:tc>
          <w:tcPr>
            <w:tcW w:w="585"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10.8</w:t>
            </w:r>
          </w:p>
        </w:tc>
        <w:tc>
          <w:tcPr>
            <w:tcW w:w="615"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10.8</w:t>
            </w:r>
          </w:p>
        </w:tc>
        <w:tc>
          <w:tcPr>
            <w:tcW w:w="420" w:type="dxa"/>
            <w:noWrap w:val="0"/>
            <w:vAlign w:val="center"/>
          </w:tcPr>
          <w:p>
            <w:pPr>
              <w:spacing w:line="700" w:lineRule="exact"/>
              <w:jc w:val="center"/>
              <w:rPr>
                <w:rFonts w:ascii="Calibri" w:hAnsi="Calibri" w:eastAsia="楷体"/>
                <w:kern w:val="0"/>
                <w:sz w:val="18"/>
                <w:szCs w:val="18"/>
              </w:rPr>
            </w:pPr>
          </w:p>
        </w:tc>
        <w:tc>
          <w:tcPr>
            <w:tcW w:w="555" w:type="dxa"/>
            <w:noWrap w:val="0"/>
            <w:vAlign w:val="center"/>
          </w:tcPr>
          <w:p>
            <w:pPr>
              <w:spacing w:line="700" w:lineRule="exact"/>
              <w:jc w:val="center"/>
              <w:rPr>
                <w:rFonts w:ascii="Calibri" w:hAnsi="Calibri" w:eastAsia="楷体"/>
                <w:kern w:val="0"/>
                <w:sz w:val="18"/>
                <w:szCs w:val="18"/>
              </w:rPr>
            </w:pPr>
          </w:p>
        </w:tc>
        <w:tc>
          <w:tcPr>
            <w:tcW w:w="555" w:type="dxa"/>
            <w:noWrap w:val="0"/>
            <w:vAlign w:val="center"/>
          </w:tcPr>
          <w:p>
            <w:pPr>
              <w:spacing w:line="700" w:lineRule="exact"/>
              <w:jc w:val="center"/>
              <w:rPr>
                <w:rFonts w:ascii="Calibri" w:hAnsi="Calibri" w:eastAsia="楷体"/>
                <w:kern w:val="0"/>
                <w:sz w:val="18"/>
                <w:szCs w:val="18"/>
              </w:rPr>
            </w:pPr>
          </w:p>
        </w:tc>
        <w:tc>
          <w:tcPr>
            <w:tcW w:w="510" w:type="dxa"/>
            <w:noWrap w:val="0"/>
            <w:vAlign w:val="center"/>
          </w:tcPr>
          <w:p>
            <w:pPr>
              <w:spacing w:line="700" w:lineRule="exact"/>
              <w:jc w:val="center"/>
              <w:rPr>
                <w:rFonts w:ascii="Calibri" w:hAnsi="Calibri" w:eastAsia="楷体"/>
                <w:kern w:val="0"/>
                <w:sz w:val="18"/>
                <w:szCs w:val="18"/>
              </w:rPr>
            </w:pPr>
          </w:p>
        </w:tc>
        <w:tc>
          <w:tcPr>
            <w:tcW w:w="458" w:type="dxa"/>
            <w:noWrap w:val="0"/>
            <w:vAlign w:val="center"/>
          </w:tcPr>
          <w:p>
            <w:pPr>
              <w:spacing w:line="700" w:lineRule="exact"/>
              <w:jc w:val="center"/>
              <w:rPr>
                <w:rFonts w:ascii="Calibri" w:hAnsi="Calibri" w:eastAsia="楷体"/>
                <w:kern w:val="0"/>
                <w:sz w:val="18"/>
                <w:szCs w:val="18"/>
              </w:rPr>
            </w:pPr>
          </w:p>
        </w:tc>
        <w:tc>
          <w:tcPr>
            <w:tcW w:w="443" w:type="dxa"/>
            <w:noWrap w:val="0"/>
            <w:vAlign w:val="center"/>
          </w:tcPr>
          <w:p>
            <w:pPr>
              <w:spacing w:line="700" w:lineRule="exact"/>
              <w:jc w:val="center"/>
              <w:rPr>
                <w:rFonts w:ascii="Calibri" w:hAnsi="Calibri" w:eastAsia="楷体"/>
                <w:kern w:val="0"/>
                <w:sz w:val="18"/>
                <w:szCs w:val="18"/>
              </w:rPr>
            </w:pPr>
          </w:p>
        </w:tc>
        <w:tc>
          <w:tcPr>
            <w:tcW w:w="425" w:type="dxa"/>
            <w:noWrap w:val="0"/>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59" w:type="dxa"/>
            <w:noWrap w:val="0"/>
            <w:vAlign w:val="center"/>
          </w:tcPr>
          <w:p>
            <w:pPr>
              <w:spacing w:line="700" w:lineRule="exact"/>
              <w:jc w:val="center"/>
              <w:rPr>
                <w:rFonts w:ascii="Calibri" w:hAnsi="Calibri" w:eastAsia="楷体"/>
                <w:kern w:val="0"/>
                <w:szCs w:val="32"/>
              </w:rPr>
            </w:pPr>
          </w:p>
        </w:tc>
        <w:tc>
          <w:tcPr>
            <w:tcW w:w="1296" w:type="dxa"/>
            <w:noWrap w:val="0"/>
            <w:vAlign w:val="center"/>
          </w:tcPr>
          <w:p>
            <w:pPr>
              <w:spacing w:line="700" w:lineRule="exact"/>
              <w:jc w:val="center"/>
              <w:rPr>
                <w:rFonts w:ascii="Calibri" w:hAnsi="Calibri" w:eastAsia="楷体"/>
                <w:kern w:val="0"/>
                <w:szCs w:val="32"/>
              </w:rPr>
            </w:pPr>
          </w:p>
        </w:tc>
        <w:tc>
          <w:tcPr>
            <w:tcW w:w="1140" w:type="dxa"/>
            <w:noWrap w:val="0"/>
            <w:vAlign w:val="center"/>
          </w:tcPr>
          <w:p>
            <w:pPr>
              <w:spacing w:line="700" w:lineRule="exact"/>
              <w:jc w:val="center"/>
              <w:rPr>
                <w:rFonts w:ascii="Calibri" w:hAnsi="Calibri" w:eastAsia="楷体"/>
                <w:kern w:val="0"/>
                <w:szCs w:val="32"/>
              </w:rPr>
            </w:pPr>
          </w:p>
        </w:tc>
        <w:tc>
          <w:tcPr>
            <w:tcW w:w="720"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ascii="Calibri" w:hAnsi="Calibri" w:eastAsia="楷体"/>
                <w:kern w:val="0"/>
                <w:szCs w:val="32"/>
              </w:rPr>
            </w:pPr>
          </w:p>
        </w:tc>
        <w:tc>
          <w:tcPr>
            <w:tcW w:w="615" w:type="dxa"/>
            <w:noWrap w:val="0"/>
            <w:vAlign w:val="center"/>
          </w:tcPr>
          <w:p>
            <w:pPr>
              <w:spacing w:line="700" w:lineRule="exact"/>
              <w:jc w:val="center"/>
              <w:rPr>
                <w:rFonts w:ascii="Calibri" w:hAnsi="Calibri" w:eastAsia="楷体"/>
                <w:kern w:val="0"/>
                <w:szCs w:val="32"/>
              </w:rPr>
            </w:pPr>
          </w:p>
        </w:tc>
        <w:tc>
          <w:tcPr>
            <w:tcW w:w="420"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10" w:type="dxa"/>
            <w:noWrap w:val="0"/>
            <w:vAlign w:val="center"/>
          </w:tcPr>
          <w:p>
            <w:pPr>
              <w:spacing w:line="700" w:lineRule="exact"/>
              <w:jc w:val="center"/>
              <w:rPr>
                <w:rFonts w:ascii="Calibri" w:hAnsi="Calibri" w:eastAsia="楷体"/>
                <w:kern w:val="0"/>
                <w:szCs w:val="32"/>
              </w:rPr>
            </w:pPr>
          </w:p>
        </w:tc>
        <w:tc>
          <w:tcPr>
            <w:tcW w:w="45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59" w:type="dxa"/>
            <w:noWrap w:val="0"/>
            <w:vAlign w:val="center"/>
          </w:tcPr>
          <w:p>
            <w:pPr>
              <w:spacing w:line="700" w:lineRule="exact"/>
              <w:jc w:val="center"/>
              <w:rPr>
                <w:rFonts w:ascii="Calibri" w:hAnsi="Calibri" w:eastAsia="楷体"/>
                <w:kern w:val="0"/>
                <w:szCs w:val="32"/>
              </w:rPr>
            </w:pPr>
          </w:p>
        </w:tc>
        <w:tc>
          <w:tcPr>
            <w:tcW w:w="1296" w:type="dxa"/>
            <w:noWrap w:val="0"/>
            <w:vAlign w:val="center"/>
          </w:tcPr>
          <w:p>
            <w:pPr>
              <w:spacing w:line="700" w:lineRule="exact"/>
              <w:jc w:val="center"/>
              <w:rPr>
                <w:rFonts w:ascii="Calibri" w:hAnsi="Calibri" w:eastAsia="楷体"/>
                <w:kern w:val="0"/>
                <w:szCs w:val="32"/>
              </w:rPr>
            </w:pPr>
          </w:p>
        </w:tc>
        <w:tc>
          <w:tcPr>
            <w:tcW w:w="1140" w:type="dxa"/>
            <w:noWrap w:val="0"/>
            <w:vAlign w:val="center"/>
          </w:tcPr>
          <w:p>
            <w:pPr>
              <w:spacing w:line="700" w:lineRule="exact"/>
              <w:jc w:val="center"/>
              <w:rPr>
                <w:rFonts w:ascii="Calibri" w:hAnsi="Calibri" w:eastAsia="楷体"/>
                <w:kern w:val="0"/>
                <w:szCs w:val="32"/>
              </w:rPr>
            </w:pPr>
          </w:p>
        </w:tc>
        <w:tc>
          <w:tcPr>
            <w:tcW w:w="720"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ascii="Calibri" w:hAnsi="Calibri" w:eastAsia="楷体"/>
                <w:kern w:val="0"/>
                <w:szCs w:val="32"/>
              </w:rPr>
            </w:pPr>
          </w:p>
        </w:tc>
        <w:tc>
          <w:tcPr>
            <w:tcW w:w="615" w:type="dxa"/>
            <w:noWrap w:val="0"/>
            <w:vAlign w:val="center"/>
          </w:tcPr>
          <w:p>
            <w:pPr>
              <w:spacing w:line="700" w:lineRule="exact"/>
              <w:jc w:val="center"/>
              <w:rPr>
                <w:rFonts w:ascii="Calibri" w:hAnsi="Calibri" w:eastAsia="楷体"/>
                <w:kern w:val="0"/>
                <w:szCs w:val="32"/>
              </w:rPr>
            </w:pPr>
          </w:p>
        </w:tc>
        <w:tc>
          <w:tcPr>
            <w:tcW w:w="420"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10" w:type="dxa"/>
            <w:noWrap w:val="0"/>
            <w:vAlign w:val="center"/>
          </w:tcPr>
          <w:p>
            <w:pPr>
              <w:spacing w:line="700" w:lineRule="exact"/>
              <w:jc w:val="center"/>
              <w:rPr>
                <w:rFonts w:ascii="Calibri" w:hAnsi="Calibri" w:eastAsia="楷体"/>
                <w:kern w:val="0"/>
                <w:szCs w:val="32"/>
              </w:rPr>
            </w:pPr>
          </w:p>
        </w:tc>
        <w:tc>
          <w:tcPr>
            <w:tcW w:w="45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59" w:type="dxa"/>
            <w:noWrap w:val="0"/>
            <w:vAlign w:val="center"/>
          </w:tcPr>
          <w:p>
            <w:pPr>
              <w:spacing w:line="700" w:lineRule="exact"/>
              <w:jc w:val="center"/>
              <w:rPr>
                <w:rFonts w:ascii="Calibri" w:hAnsi="Calibri" w:eastAsia="楷体"/>
                <w:kern w:val="0"/>
                <w:szCs w:val="32"/>
              </w:rPr>
            </w:pPr>
          </w:p>
        </w:tc>
        <w:tc>
          <w:tcPr>
            <w:tcW w:w="1296" w:type="dxa"/>
            <w:noWrap w:val="0"/>
            <w:vAlign w:val="center"/>
          </w:tcPr>
          <w:p>
            <w:pPr>
              <w:spacing w:line="700" w:lineRule="exact"/>
              <w:jc w:val="center"/>
              <w:rPr>
                <w:rFonts w:ascii="Calibri" w:hAnsi="Calibri" w:eastAsia="楷体"/>
                <w:kern w:val="0"/>
                <w:szCs w:val="32"/>
              </w:rPr>
            </w:pPr>
          </w:p>
        </w:tc>
        <w:tc>
          <w:tcPr>
            <w:tcW w:w="1140" w:type="dxa"/>
            <w:noWrap w:val="0"/>
            <w:vAlign w:val="center"/>
          </w:tcPr>
          <w:p>
            <w:pPr>
              <w:spacing w:line="700" w:lineRule="exact"/>
              <w:jc w:val="center"/>
              <w:rPr>
                <w:rFonts w:ascii="Calibri" w:hAnsi="Calibri" w:eastAsia="楷体"/>
                <w:kern w:val="0"/>
                <w:szCs w:val="32"/>
              </w:rPr>
            </w:pPr>
          </w:p>
        </w:tc>
        <w:tc>
          <w:tcPr>
            <w:tcW w:w="720"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ascii="Calibri" w:hAnsi="Calibri" w:eastAsia="楷体"/>
                <w:kern w:val="0"/>
                <w:szCs w:val="32"/>
              </w:rPr>
            </w:pPr>
          </w:p>
        </w:tc>
        <w:tc>
          <w:tcPr>
            <w:tcW w:w="615" w:type="dxa"/>
            <w:noWrap w:val="0"/>
            <w:vAlign w:val="center"/>
          </w:tcPr>
          <w:p>
            <w:pPr>
              <w:spacing w:line="700" w:lineRule="exact"/>
              <w:jc w:val="center"/>
              <w:rPr>
                <w:rFonts w:ascii="Calibri" w:hAnsi="Calibri" w:eastAsia="楷体"/>
                <w:kern w:val="0"/>
                <w:szCs w:val="32"/>
              </w:rPr>
            </w:pPr>
          </w:p>
        </w:tc>
        <w:tc>
          <w:tcPr>
            <w:tcW w:w="420"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10" w:type="dxa"/>
            <w:noWrap w:val="0"/>
            <w:vAlign w:val="center"/>
          </w:tcPr>
          <w:p>
            <w:pPr>
              <w:spacing w:line="700" w:lineRule="exact"/>
              <w:jc w:val="center"/>
              <w:rPr>
                <w:rFonts w:ascii="Calibri" w:hAnsi="Calibri" w:eastAsia="楷体"/>
                <w:kern w:val="0"/>
                <w:szCs w:val="32"/>
              </w:rPr>
            </w:pPr>
          </w:p>
        </w:tc>
        <w:tc>
          <w:tcPr>
            <w:tcW w:w="45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296" w:type="dxa"/>
            <w:noWrap w:val="0"/>
            <w:vAlign w:val="center"/>
          </w:tcPr>
          <w:p>
            <w:pPr>
              <w:autoSpaceDN w:val="0"/>
              <w:jc w:val="center"/>
              <w:textAlignment w:val="center"/>
              <w:rPr>
                <w:rFonts w:ascii="Calibri" w:hAnsi="Calibri" w:eastAsia="华文细黑"/>
                <w:color w:val="000000"/>
                <w:sz w:val="20"/>
                <w:szCs w:val="22"/>
              </w:rPr>
            </w:pPr>
          </w:p>
        </w:tc>
        <w:tc>
          <w:tcPr>
            <w:tcW w:w="1140" w:type="dxa"/>
            <w:noWrap w:val="0"/>
            <w:vAlign w:val="center"/>
          </w:tcPr>
          <w:p>
            <w:pPr>
              <w:spacing w:line="700" w:lineRule="exact"/>
              <w:jc w:val="center"/>
              <w:rPr>
                <w:rFonts w:ascii="Calibri" w:hAnsi="Calibri" w:eastAsia="楷体"/>
                <w:kern w:val="0"/>
                <w:szCs w:val="32"/>
              </w:rPr>
            </w:pPr>
          </w:p>
        </w:tc>
        <w:tc>
          <w:tcPr>
            <w:tcW w:w="720"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10.8</w:t>
            </w:r>
          </w:p>
        </w:tc>
        <w:tc>
          <w:tcPr>
            <w:tcW w:w="615"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10.8</w:t>
            </w:r>
          </w:p>
        </w:tc>
        <w:tc>
          <w:tcPr>
            <w:tcW w:w="420"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510" w:type="dxa"/>
            <w:noWrap w:val="0"/>
            <w:vAlign w:val="center"/>
          </w:tcPr>
          <w:p>
            <w:pPr>
              <w:spacing w:line="700" w:lineRule="exact"/>
              <w:jc w:val="center"/>
              <w:rPr>
                <w:rFonts w:ascii="Calibri" w:hAnsi="Calibri" w:eastAsia="楷体"/>
                <w:kern w:val="0"/>
                <w:szCs w:val="32"/>
              </w:rPr>
            </w:pPr>
          </w:p>
        </w:tc>
        <w:tc>
          <w:tcPr>
            <w:tcW w:w="45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bidi w:val="0"/>
        <w:jc w:val="left"/>
        <w:rPr>
          <w:rFonts w:ascii="Times New Roman" w:hAnsi="Times New Roman" w:eastAsia="仿宋_GB2312" w:cs="Times New Roman"/>
          <w:kern w:val="2"/>
          <w:sz w:val="32"/>
          <w:lang w:val="en-US" w:eastAsia="zh-CN" w:bidi="ar-SA"/>
        </w:rPr>
      </w:pPr>
    </w:p>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5" w:tblpY="-335"/>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2880" w:firstLineChars="8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向海水库驻村工作队生活补贴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按照《关于明确驻村干部工作有关问题的通知》【</w:t>
            </w:r>
            <w:r>
              <w:rPr>
                <w:rFonts w:hint="eastAsia" w:ascii="宋体" w:hAnsi="宋体" w:eastAsia="宋体" w:cs="宋体"/>
                <w:color w:val="000000"/>
                <w:sz w:val="20"/>
                <w:lang w:val="en-US" w:eastAsia="zh-CN"/>
              </w:rPr>
              <w:t>2018</w:t>
            </w: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73号文件规定，我单位派驻向海乡大房村3名工作人员长期驻在该村，负责乡村振兴具体工作，并按照预算申请补贴资金。在保证补贴及时发放的同时，促进乡村振兴工作顺利开展。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工作合格率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人均补助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299.29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9.29</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控制了人员经费支出</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288.49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96.39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3.61</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39.56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12.67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225.64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21.42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rPr>
          <w:rFonts w:hint="eastAsia" w:ascii="黑体" w:hAnsi="黑体" w:eastAsia="黑体" w:cs="黑体"/>
          <w:szCs w:val="30"/>
        </w:rPr>
      </w:pPr>
    </w:p>
    <w:p>
      <w:pPr>
        <w:rPr>
          <w:rFonts w:hint="eastAsia" w:ascii="黑体" w:hAnsi="黑体" w:eastAsia="黑体" w:cs="黑体"/>
          <w:szCs w:val="30"/>
        </w:rPr>
      </w:pPr>
    </w:p>
    <w:p>
      <w:pPr>
        <w:rPr>
          <w:rFonts w:hint="eastAsia" w:ascii="黑体" w:hAnsi="黑体" w:eastAsia="黑体" w:cs="黑体"/>
          <w:szCs w:val="30"/>
        </w:rPr>
      </w:pPr>
    </w:p>
    <w:p>
      <w:pPr>
        <w:rPr>
          <w:rFonts w:hint="eastAsia" w:ascii="黑体" w:hAnsi="黑体" w:eastAsia="黑体" w:cs="黑体"/>
          <w:szCs w:val="30"/>
        </w:rPr>
      </w:pP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299.29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288.49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96.39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3.61</w:t>
      </w:r>
      <w:r>
        <w:rPr>
          <w:rFonts w:hint="eastAsia" w:ascii="仿宋_GB2312" w:hAnsi="仿宋_GB2312" w:eastAsia="仿宋_GB2312" w:cs="仿宋_GB2312"/>
          <w:szCs w:val="32"/>
        </w:rPr>
        <w:t>%。基本支出中，人员经费万</w:t>
      </w:r>
      <w:r>
        <w:rPr>
          <w:rFonts w:hint="eastAsia" w:ascii="仿宋_GB2312" w:hAnsi="仿宋_GB2312" w:cs="仿宋_GB2312"/>
          <w:szCs w:val="32"/>
          <w:lang w:val="en-US" w:eastAsia="zh-CN"/>
        </w:rPr>
        <w:t>270.25</w:t>
      </w:r>
      <w:r>
        <w:rPr>
          <w:rFonts w:hint="eastAsia" w:ascii="仿宋_GB2312" w:hAnsi="仿宋_GB2312" w:eastAsia="仿宋_GB2312" w:cs="仿宋_GB2312"/>
          <w:szCs w:val="32"/>
        </w:rPr>
        <w:t>元，占</w:t>
      </w:r>
      <w:r>
        <w:rPr>
          <w:rFonts w:hint="eastAsia" w:ascii="仿宋_GB2312" w:hAnsi="仿宋_GB2312" w:cs="仿宋_GB2312"/>
          <w:szCs w:val="32"/>
          <w:lang w:val="en-US" w:eastAsia="zh-CN"/>
        </w:rPr>
        <w:t>93.68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18.24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6.32</w:t>
      </w:r>
      <w:r>
        <w:rPr>
          <w:rFonts w:hint="eastAsia" w:ascii="仿宋_GB2312" w:hAnsi="仿宋_GB2312" w:eastAsia="仿宋_GB2312" w:cs="仿宋_GB2312"/>
          <w:szCs w:val="32"/>
        </w:rPr>
        <w:t>%。</w:t>
      </w:r>
    </w:p>
    <w:p>
      <w:pPr>
        <w:spacing w:line="520" w:lineRule="exact"/>
        <w:ind w:firstLine="640" w:firstLineChars="200"/>
        <w:rPr>
          <w:rFonts w:hint="eastAsia"/>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w:t>
      </w: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12.67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职工医保缴费</w:t>
      </w: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39.56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13.22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职工基本养老金、职业年金、失业金缴费</w:t>
      </w: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225.64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75.39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职工工资</w:t>
      </w: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21.42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7.16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职工住房公积金缴费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288.49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270.25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18.24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0.20</w:t>
      </w:r>
      <w:r>
        <w:rPr>
          <w:rFonts w:hint="eastAsia" w:ascii="仿宋_GB2312" w:hAnsi="仿宋_GB2312" w:eastAsia="仿宋_GB2312" w:cs="仿宋_GB2312"/>
          <w:szCs w:val="32"/>
        </w:rPr>
        <w:t>万元。其中：</w:t>
      </w:r>
    </w:p>
    <w:p>
      <w:pPr>
        <w:spacing w:line="520" w:lineRule="exact"/>
        <w:ind w:firstLine="640" w:firstLineChars="2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0.20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0.20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该车辆为工程巡护车辆，本年巡护任务增加</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eastAsia="楷体"/>
          <w:szCs w:val="32"/>
          <w:lang w:val="en-US" w:eastAsia="zh-CN"/>
        </w:rPr>
        <w:t xml:space="preserve">   </w:t>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1280" w:firstLineChars="400"/>
        <w:rPr>
          <w:rFonts w:hint="eastAsia" w:ascii="仿宋_GB2312" w:hAnsi="仿宋_GB2312" w:cs="仿宋_GB2312"/>
          <w:szCs w:val="32"/>
          <w:lang w:eastAsia="zh-CN"/>
        </w:rPr>
      </w:pPr>
      <w:r>
        <w:rPr>
          <w:rFonts w:eastAsia="楷体"/>
          <w:szCs w:val="32"/>
        </w:rPr>
        <w:t>本部门无政府性基金预算拨款</w:t>
      </w:r>
    </w:p>
    <w:p>
      <w:pPr>
        <w:ind w:firstLine="640"/>
        <w:rPr>
          <w:szCs w:val="32"/>
        </w:rPr>
      </w:pPr>
      <w:r>
        <w:rPr>
          <w:rFonts w:hint="eastAsia" w:ascii="仿宋_GB2312" w:hAnsi="仿宋_GB2312" w:cs="仿宋_GB2312"/>
          <w:szCs w:val="32"/>
          <w:lang w:val="en-US" w:eastAsia="zh-CN"/>
        </w:rPr>
        <w:t xml:space="preserve"> </w:t>
      </w: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p>
    <w:p>
      <w:pPr>
        <w:ind w:firstLine="960" w:firstLineChars="3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960" w:firstLineChars="300"/>
        <w:rPr>
          <w:rFonts w:hint="eastAsia" w:ascii="仿宋_GB2312" w:hAnsi="仿宋_GB2312" w:cs="仿宋_GB2312"/>
          <w:szCs w:val="32"/>
          <w:highlight w:val="none"/>
          <w:lang w:eastAsia="zh-CN"/>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r>
        <w:rPr>
          <w:rFonts w:hint="eastAsia" w:ascii="仿宋_GB2312" w:hAnsi="仿宋_GB2312" w:cs="仿宋_GB2312"/>
          <w:szCs w:val="32"/>
          <w:highlight w:val="none"/>
          <w:lang w:val="en-US" w:eastAsia="zh-CN"/>
        </w:rPr>
        <w:t xml:space="preserve"> </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hint="eastAsia" w:eastAsia="黑体"/>
          <w:szCs w:val="32"/>
        </w:rPr>
      </w:pPr>
    </w:p>
    <w:p>
      <w:pPr>
        <w:ind w:firstLine="960" w:firstLineChars="3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20" w:lineRule="exact"/>
        <w:ind w:firstLine="835" w:firstLineChars="261"/>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家行政单位以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eastAsia="zh-CN"/>
        </w:rPr>
        <w:t>没有发生该业务支出</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300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1</w:t>
      </w:r>
      <w:bookmarkStart w:id="0" w:name="_GoBack"/>
      <w:bookmarkEnd w:id="0"/>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10.80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10.80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lang w:val="en-US" w:eastAsia="zh-CN"/>
        </w:rPr>
        <w:t>10.80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xOTVmZjYwNDQwM2UwZThjZTkxNjNkNGNhMTk0NDk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855C7"/>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0020D3"/>
    <w:rsid w:val="01620FE6"/>
    <w:rsid w:val="019B69D8"/>
    <w:rsid w:val="020E6D2C"/>
    <w:rsid w:val="02DA018C"/>
    <w:rsid w:val="031D7D4B"/>
    <w:rsid w:val="03F93073"/>
    <w:rsid w:val="04022755"/>
    <w:rsid w:val="0486486A"/>
    <w:rsid w:val="04954460"/>
    <w:rsid w:val="04F026C1"/>
    <w:rsid w:val="050D06DA"/>
    <w:rsid w:val="050F3BA7"/>
    <w:rsid w:val="05513E94"/>
    <w:rsid w:val="056744CD"/>
    <w:rsid w:val="056F5A6D"/>
    <w:rsid w:val="059B3770"/>
    <w:rsid w:val="05F640F9"/>
    <w:rsid w:val="063949A0"/>
    <w:rsid w:val="067960C1"/>
    <w:rsid w:val="06BD5BC7"/>
    <w:rsid w:val="07BF0E64"/>
    <w:rsid w:val="07D21289"/>
    <w:rsid w:val="07F544B0"/>
    <w:rsid w:val="091645F9"/>
    <w:rsid w:val="09A0082A"/>
    <w:rsid w:val="0A334D52"/>
    <w:rsid w:val="0ABA06FE"/>
    <w:rsid w:val="0AF16CC8"/>
    <w:rsid w:val="0B4F286B"/>
    <w:rsid w:val="0B5F5ADA"/>
    <w:rsid w:val="0B710869"/>
    <w:rsid w:val="0C2A5C84"/>
    <w:rsid w:val="0CAD6449"/>
    <w:rsid w:val="0DA001B0"/>
    <w:rsid w:val="0DB6446C"/>
    <w:rsid w:val="0DEB170B"/>
    <w:rsid w:val="0E4C7841"/>
    <w:rsid w:val="0EE26BA4"/>
    <w:rsid w:val="0F3E0406"/>
    <w:rsid w:val="0F8B592F"/>
    <w:rsid w:val="0FD62F63"/>
    <w:rsid w:val="107728C7"/>
    <w:rsid w:val="10AE7F82"/>
    <w:rsid w:val="10C93B35"/>
    <w:rsid w:val="11177619"/>
    <w:rsid w:val="112605C8"/>
    <w:rsid w:val="128070BC"/>
    <w:rsid w:val="12E711B7"/>
    <w:rsid w:val="1333712D"/>
    <w:rsid w:val="136D62BD"/>
    <w:rsid w:val="13732499"/>
    <w:rsid w:val="13F21722"/>
    <w:rsid w:val="1441443C"/>
    <w:rsid w:val="14C12787"/>
    <w:rsid w:val="14EE4C62"/>
    <w:rsid w:val="153D3BA4"/>
    <w:rsid w:val="15593E10"/>
    <w:rsid w:val="159F7E25"/>
    <w:rsid w:val="15D41ABB"/>
    <w:rsid w:val="15F848D0"/>
    <w:rsid w:val="160E1FA5"/>
    <w:rsid w:val="160F2600"/>
    <w:rsid w:val="16687477"/>
    <w:rsid w:val="17765BCA"/>
    <w:rsid w:val="17A027D8"/>
    <w:rsid w:val="19870443"/>
    <w:rsid w:val="1A0E7B8D"/>
    <w:rsid w:val="1A817DF8"/>
    <w:rsid w:val="1ADC594E"/>
    <w:rsid w:val="1ADE10E0"/>
    <w:rsid w:val="1AEB5252"/>
    <w:rsid w:val="1C852172"/>
    <w:rsid w:val="1CA40C0C"/>
    <w:rsid w:val="1CFF4A32"/>
    <w:rsid w:val="1D833200"/>
    <w:rsid w:val="1E2D59A2"/>
    <w:rsid w:val="1E3A3FD0"/>
    <w:rsid w:val="1EB55C07"/>
    <w:rsid w:val="1F351A10"/>
    <w:rsid w:val="1FED47E9"/>
    <w:rsid w:val="206816AC"/>
    <w:rsid w:val="21F67E94"/>
    <w:rsid w:val="22A4003E"/>
    <w:rsid w:val="23817A20"/>
    <w:rsid w:val="23984063"/>
    <w:rsid w:val="23A11F5C"/>
    <w:rsid w:val="23CE11F0"/>
    <w:rsid w:val="23EC61F6"/>
    <w:rsid w:val="240E1384"/>
    <w:rsid w:val="244C543C"/>
    <w:rsid w:val="24624768"/>
    <w:rsid w:val="24CE4469"/>
    <w:rsid w:val="251C075D"/>
    <w:rsid w:val="2539376C"/>
    <w:rsid w:val="254C6FAD"/>
    <w:rsid w:val="259B5BC5"/>
    <w:rsid w:val="25C7462E"/>
    <w:rsid w:val="25F62C4E"/>
    <w:rsid w:val="25FA498E"/>
    <w:rsid w:val="26643D6C"/>
    <w:rsid w:val="26915605"/>
    <w:rsid w:val="26FE109D"/>
    <w:rsid w:val="27073E1E"/>
    <w:rsid w:val="27B04AB3"/>
    <w:rsid w:val="28A63332"/>
    <w:rsid w:val="28C67DBD"/>
    <w:rsid w:val="299B1B74"/>
    <w:rsid w:val="29C45F24"/>
    <w:rsid w:val="29E11DBE"/>
    <w:rsid w:val="2AD624CA"/>
    <w:rsid w:val="2D221366"/>
    <w:rsid w:val="2DF8796C"/>
    <w:rsid w:val="2EB22F18"/>
    <w:rsid w:val="2EE12108"/>
    <w:rsid w:val="2EED35E3"/>
    <w:rsid w:val="2F250383"/>
    <w:rsid w:val="2F5729E1"/>
    <w:rsid w:val="2F63610B"/>
    <w:rsid w:val="300965A3"/>
    <w:rsid w:val="30730D6E"/>
    <w:rsid w:val="30B91A70"/>
    <w:rsid w:val="32CF2C5D"/>
    <w:rsid w:val="335402B5"/>
    <w:rsid w:val="339466B2"/>
    <w:rsid w:val="34555AF5"/>
    <w:rsid w:val="35205ECD"/>
    <w:rsid w:val="35616772"/>
    <w:rsid w:val="35A40002"/>
    <w:rsid w:val="35EA1663"/>
    <w:rsid w:val="364C598E"/>
    <w:rsid w:val="36527A5E"/>
    <w:rsid w:val="36CC2B0F"/>
    <w:rsid w:val="371A614D"/>
    <w:rsid w:val="3773367A"/>
    <w:rsid w:val="3838492F"/>
    <w:rsid w:val="387258D7"/>
    <w:rsid w:val="3887374F"/>
    <w:rsid w:val="3890447E"/>
    <w:rsid w:val="38AF6637"/>
    <w:rsid w:val="38D95D6F"/>
    <w:rsid w:val="39007F4F"/>
    <w:rsid w:val="39041A07"/>
    <w:rsid w:val="39043B77"/>
    <w:rsid w:val="393F0DCD"/>
    <w:rsid w:val="39670895"/>
    <w:rsid w:val="3A5C3FFC"/>
    <w:rsid w:val="3A657F9A"/>
    <w:rsid w:val="3A6855F4"/>
    <w:rsid w:val="3A9113D4"/>
    <w:rsid w:val="3AC54F32"/>
    <w:rsid w:val="3ADC221B"/>
    <w:rsid w:val="3B144A0A"/>
    <w:rsid w:val="3B1B2A0D"/>
    <w:rsid w:val="3B7C071F"/>
    <w:rsid w:val="3BC92948"/>
    <w:rsid w:val="3BE370D4"/>
    <w:rsid w:val="3C29381E"/>
    <w:rsid w:val="3C711E1D"/>
    <w:rsid w:val="3C7F463D"/>
    <w:rsid w:val="3CA011A6"/>
    <w:rsid w:val="3CAE3960"/>
    <w:rsid w:val="3D365BF6"/>
    <w:rsid w:val="3DF23324"/>
    <w:rsid w:val="3E476E2A"/>
    <w:rsid w:val="3EA14040"/>
    <w:rsid w:val="3EE8108D"/>
    <w:rsid w:val="405745EF"/>
    <w:rsid w:val="40B80EFF"/>
    <w:rsid w:val="4144531A"/>
    <w:rsid w:val="41A35364"/>
    <w:rsid w:val="41C31686"/>
    <w:rsid w:val="426C3C0E"/>
    <w:rsid w:val="42982B4E"/>
    <w:rsid w:val="436B1E42"/>
    <w:rsid w:val="43993170"/>
    <w:rsid w:val="44054362"/>
    <w:rsid w:val="447F78F3"/>
    <w:rsid w:val="449C5E6A"/>
    <w:rsid w:val="450661BB"/>
    <w:rsid w:val="456D114B"/>
    <w:rsid w:val="45EB670F"/>
    <w:rsid w:val="46AB7C0D"/>
    <w:rsid w:val="46D44808"/>
    <w:rsid w:val="46FC7489"/>
    <w:rsid w:val="47CF49E6"/>
    <w:rsid w:val="4843587B"/>
    <w:rsid w:val="48674ED2"/>
    <w:rsid w:val="487708E6"/>
    <w:rsid w:val="487C07FF"/>
    <w:rsid w:val="48D673DB"/>
    <w:rsid w:val="49645F71"/>
    <w:rsid w:val="499F5C68"/>
    <w:rsid w:val="4A176B9D"/>
    <w:rsid w:val="4A546207"/>
    <w:rsid w:val="4AF16062"/>
    <w:rsid w:val="4B646DDD"/>
    <w:rsid w:val="4B7F44F8"/>
    <w:rsid w:val="4BAC24C5"/>
    <w:rsid w:val="4BCA052C"/>
    <w:rsid w:val="4BFA0656"/>
    <w:rsid w:val="4C5567C9"/>
    <w:rsid w:val="4D730507"/>
    <w:rsid w:val="4D741DD3"/>
    <w:rsid w:val="4DC93207"/>
    <w:rsid w:val="4E2A22FD"/>
    <w:rsid w:val="4E8D5761"/>
    <w:rsid w:val="4EF54A85"/>
    <w:rsid w:val="4F6F75D9"/>
    <w:rsid w:val="4F7F52D0"/>
    <w:rsid w:val="500715BD"/>
    <w:rsid w:val="501B3C66"/>
    <w:rsid w:val="504B40C5"/>
    <w:rsid w:val="50683395"/>
    <w:rsid w:val="507606DD"/>
    <w:rsid w:val="50987DC2"/>
    <w:rsid w:val="50A4703E"/>
    <w:rsid w:val="50E0138A"/>
    <w:rsid w:val="50EB4363"/>
    <w:rsid w:val="50FA6609"/>
    <w:rsid w:val="5136104F"/>
    <w:rsid w:val="51E55C99"/>
    <w:rsid w:val="52071113"/>
    <w:rsid w:val="52447C09"/>
    <w:rsid w:val="525A440D"/>
    <w:rsid w:val="52695FBD"/>
    <w:rsid w:val="540C5659"/>
    <w:rsid w:val="545509EE"/>
    <w:rsid w:val="54741940"/>
    <w:rsid w:val="54810E66"/>
    <w:rsid w:val="54C2556E"/>
    <w:rsid w:val="55003B4B"/>
    <w:rsid w:val="553D5956"/>
    <w:rsid w:val="55480EEF"/>
    <w:rsid w:val="558366DE"/>
    <w:rsid w:val="55E218C8"/>
    <w:rsid w:val="56570E30"/>
    <w:rsid w:val="5705438C"/>
    <w:rsid w:val="57AE5C26"/>
    <w:rsid w:val="57DD75A9"/>
    <w:rsid w:val="58000999"/>
    <w:rsid w:val="58256ABD"/>
    <w:rsid w:val="59472AC7"/>
    <w:rsid w:val="59A76077"/>
    <w:rsid w:val="59BD150F"/>
    <w:rsid w:val="59C30CA4"/>
    <w:rsid w:val="59DD570D"/>
    <w:rsid w:val="59FF5EDC"/>
    <w:rsid w:val="5A084708"/>
    <w:rsid w:val="5A995C2E"/>
    <w:rsid w:val="5AB343F7"/>
    <w:rsid w:val="5ABF50F2"/>
    <w:rsid w:val="5AF76904"/>
    <w:rsid w:val="5B052E7A"/>
    <w:rsid w:val="5B3D7F7E"/>
    <w:rsid w:val="5B7C7777"/>
    <w:rsid w:val="5B9462A0"/>
    <w:rsid w:val="5BEC6771"/>
    <w:rsid w:val="5C55348B"/>
    <w:rsid w:val="5CA506B9"/>
    <w:rsid w:val="5CFD5FB2"/>
    <w:rsid w:val="5D2B52D8"/>
    <w:rsid w:val="5D5A7C63"/>
    <w:rsid w:val="5D857942"/>
    <w:rsid w:val="5E256F6F"/>
    <w:rsid w:val="5EE01E29"/>
    <w:rsid w:val="5F6235A9"/>
    <w:rsid w:val="614125C2"/>
    <w:rsid w:val="618475CA"/>
    <w:rsid w:val="61D20473"/>
    <w:rsid w:val="61FA4612"/>
    <w:rsid w:val="624C5C52"/>
    <w:rsid w:val="63952BB5"/>
    <w:rsid w:val="63DF08E4"/>
    <w:rsid w:val="64127E15"/>
    <w:rsid w:val="64C04AFD"/>
    <w:rsid w:val="64D722FF"/>
    <w:rsid w:val="64F90F01"/>
    <w:rsid w:val="661A7B69"/>
    <w:rsid w:val="664909C1"/>
    <w:rsid w:val="66871F4B"/>
    <w:rsid w:val="66C63EB5"/>
    <w:rsid w:val="67426D71"/>
    <w:rsid w:val="677772D0"/>
    <w:rsid w:val="679461D3"/>
    <w:rsid w:val="6858287E"/>
    <w:rsid w:val="69157114"/>
    <w:rsid w:val="691A443E"/>
    <w:rsid w:val="69C50D97"/>
    <w:rsid w:val="69FC39BB"/>
    <w:rsid w:val="6A80735F"/>
    <w:rsid w:val="6ACC5E47"/>
    <w:rsid w:val="6AD43ED1"/>
    <w:rsid w:val="6B11024D"/>
    <w:rsid w:val="6B5402C5"/>
    <w:rsid w:val="6B7D5B36"/>
    <w:rsid w:val="6CA33997"/>
    <w:rsid w:val="6CF120A8"/>
    <w:rsid w:val="6D3D4786"/>
    <w:rsid w:val="714213DD"/>
    <w:rsid w:val="717F272E"/>
    <w:rsid w:val="728027C6"/>
    <w:rsid w:val="72D54D7C"/>
    <w:rsid w:val="737664E0"/>
    <w:rsid w:val="73D56FFD"/>
    <w:rsid w:val="73FE7ACC"/>
    <w:rsid w:val="74053F35"/>
    <w:rsid w:val="74423546"/>
    <w:rsid w:val="744E1073"/>
    <w:rsid w:val="74556746"/>
    <w:rsid w:val="74AB7A24"/>
    <w:rsid w:val="74EF205B"/>
    <w:rsid w:val="75BD4C34"/>
    <w:rsid w:val="75CC36F5"/>
    <w:rsid w:val="76035BFF"/>
    <w:rsid w:val="76BB79B1"/>
    <w:rsid w:val="76C17E06"/>
    <w:rsid w:val="76CA67BD"/>
    <w:rsid w:val="774E6400"/>
    <w:rsid w:val="775B0046"/>
    <w:rsid w:val="78796248"/>
    <w:rsid w:val="78AA08F5"/>
    <w:rsid w:val="79700BEF"/>
    <w:rsid w:val="79F85634"/>
    <w:rsid w:val="7A090695"/>
    <w:rsid w:val="7AE175F4"/>
    <w:rsid w:val="7B417685"/>
    <w:rsid w:val="7B5220F0"/>
    <w:rsid w:val="7BA169C0"/>
    <w:rsid w:val="7BE95D3C"/>
    <w:rsid w:val="7CAD595B"/>
    <w:rsid w:val="7CF65D07"/>
    <w:rsid w:val="7D2975D1"/>
    <w:rsid w:val="7D9571C2"/>
    <w:rsid w:val="7DCC0CD6"/>
    <w:rsid w:val="7E194E3E"/>
    <w:rsid w:val="7E6221BE"/>
    <w:rsid w:val="7F2C1F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张秋宇</cp:lastModifiedBy>
  <cp:lastPrinted>2022-02-21T08:08:00Z</cp:lastPrinted>
  <dcterms:modified xsi:type="dcterms:W3CDTF">2024-01-26T01:01:27Z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