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u w:val="single"/>
        </w:rPr>
      </w:pPr>
      <w:r>
        <w:rPr>
          <w:rFonts w:eastAsia="方正小标宋简体"/>
          <w:sz w:val="44"/>
          <w:szCs w:val="44"/>
          <w:u w:val="single"/>
        </w:rPr>
        <w:t>（</w:t>
      </w:r>
      <w:r>
        <w:rPr>
          <w:rFonts w:hint="eastAsia" w:eastAsia="方正小标宋简体"/>
          <w:sz w:val="44"/>
          <w:szCs w:val="44"/>
          <w:u w:val="single"/>
          <w:lang w:eastAsia="zh-CN"/>
        </w:rPr>
        <w:t>通榆县医疗保障局</w:t>
      </w:r>
      <w:r>
        <w:rPr>
          <w:rFonts w:eastAsia="方正小标宋简体"/>
          <w:sz w:val="44"/>
          <w:szCs w:val="44"/>
          <w:u w:val="single"/>
        </w:rPr>
        <w:t>）</w:t>
      </w:r>
    </w:p>
    <w:p>
      <w:pPr>
        <w:jc w:val="center"/>
        <w:rPr>
          <w:rFonts w:eastAsia="方正小标宋简体"/>
          <w:sz w:val="44"/>
          <w:szCs w:val="44"/>
        </w:rPr>
      </w:pPr>
      <w:bookmarkStart w:id="0" w:name="_GoBack"/>
      <w:bookmarkEnd w:id="0"/>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pPr>
      <w:r>
        <w:rPr>
          <w:rFonts w:ascii="仿宋" w:hAnsi="仿宋" w:eastAsia="仿宋" w:cs="仿宋"/>
          <w:kern w:val="1"/>
          <w:szCs w:val="32"/>
        </w:rPr>
        <w:t>贯彻执行国家、省、市有关医疗保险、生育保险、医疗救助等医疗保障制度的法律法规和政策规定。研究拟定全县医疗保障制度的规章草案、政策、法规、标准、办法并组织实施。制定全县医疗保障基金监督管理办法并组织实施，建立健全医疗保障基金安全防控机制，推进医疗保障基金支付方式改革。</w:t>
      </w:r>
      <w:r>
        <w:rPr>
          <w:rFonts w:eastAsia="楷体_GB2312"/>
        </w:rPr>
        <w:t>二、机构设置</w:t>
      </w:r>
    </w:p>
    <w:p>
      <w:pPr>
        <w:pStyle w:val="51"/>
        <w:ind w:firstLine="640"/>
        <w:rPr>
          <w:rFonts w:eastAsia="仿宋_GB2312"/>
        </w:rPr>
      </w:pPr>
      <w:r>
        <w:rPr>
          <w:rFonts w:eastAsia="仿宋_GB2312"/>
        </w:rPr>
        <w:t>根据上述职责，</w:t>
      </w:r>
      <w:r>
        <w:rPr>
          <w:rFonts w:eastAsia="仿宋_GB2312"/>
          <w:u w:val="single"/>
        </w:rPr>
        <w:t>通榆县医疗保障部门</w:t>
      </w:r>
      <w:r>
        <w:rPr>
          <w:rFonts w:eastAsia="仿宋_GB2312"/>
        </w:rPr>
        <w:t>内设</w:t>
      </w:r>
      <w:r>
        <w:rPr>
          <w:rFonts w:eastAsia="仿宋_GB2312"/>
          <w:u w:val="single"/>
        </w:rPr>
        <w:t xml:space="preserve"> 2 </w:t>
      </w:r>
      <w:r>
        <w:rPr>
          <w:rFonts w:eastAsia="仿宋_GB2312"/>
        </w:rPr>
        <w:t>个机构，分别为（一）办公室，（二）服务管理科。</w:t>
      </w:r>
    </w:p>
    <w:p>
      <w:pPr>
        <w:pStyle w:val="51"/>
        <w:ind w:firstLine="640"/>
        <w:rPr>
          <w:rFonts w:eastAsia="仿宋_GB2312"/>
        </w:rPr>
      </w:pPr>
      <w:r>
        <w:rPr>
          <w:rFonts w:eastAsia="仿宋_GB2312"/>
        </w:rPr>
        <w:t>下设</w:t>
      </w:r>
      <w:r>
        <w:rPr>
          <w:rFonts w:eastAsia="仿宋_GB2312"/>
          <w:u w:val="single"/>
        </w:rPr>
        <w:t xml:space="preserve"> </w:t>
      </w:r>
      <w:r>
        <w:rPr>
          <w:rFonts w:hint="eastAsia" w:eastAsia="仿宋_GB2312"/>
          <w:u w:val="single"/>
        </w:rPr>
        <w:t>2</w:t>
      </w:r>
      <w:r>
        <w:rPr>
          <w:rFonts w:eastAsia="仿宋_GB2312"/>
          <w:u w:val="single"/>
        </w:rPr>
        <w:t xml:space="preserve"> </w:t>
      </w:r>
      <w:r>
        <w:rPr>
          <w:rFonts w:eastAsia="仿宋_GB2312"/>
        </w:rPr>
        <w:t>家预算单位，分别为</w:t>
      </w:r>
      <w:r>
        <w:rPr>
          <w:rFonts w:hint="eastAsia" w:eastAsia="仿宋_GB2312"/>
        </w:rPr>
        <w:t>（一）通榆县医疗保险经办中心，（二）通榆县医疗保障服务中心</w:t>
      </w:r>
      <w:r>
        <w:rPr>
          <w:rFonts w:eastAsia="仿宋_GB2312"/>
        </w:rPr>
        <w:t>。</w:t>
      </w:r>
    </w:p>
    <w:p>
      <w:pPr>
        <w:pStyle w:val="51"/>
        <w:ind w:firstLine="640" w:firstLineChars="200"/>
        <w:rPr>
          <w:rFonts w:hint="eastAsia" w:ascii="仿宋_GB2312" w:hAnsi="仿宋_GB2312" w:eastAsia="仿宋_GB2312" w:cs="仿宋_GB2312"/>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2880" w:firstLineChars="8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677.51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88.00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538.06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677.51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677.51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677.51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677.51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002" w:type="dxa"/>
        <w:jc w:val="center"/>
        <w:tblLayout w:type="fixed"/>
        <w:tblCellMar>
          <w:top w:w="0" w:type="dxa"/>
          <w:left w:w="108" w:type="dxa"/>
          <w:bottom w:w="0" w:type="dxa"/>
          <w:right w:w="108" w:type="dxa"/>
        </w:tblCellMar>
      </w:tblPr>
      <w:tblGrid>
        <w:gridCol w:w="428"/>
        <w:gridCol w:w="647"/>
        <w:gridCol w:w="769"/>
        <w:gridCol w:w="827"/>
        <w:gridCol w:w="780"/>
        <w:gridCol w:w="270"/>
        <w:gridCol w:w="255"/>
        <w:gridCol w:w="375"/>
        <w:gridCol w:w="300"/>
        <w:gridCol w:w="315"/>
        <w:gridCol w:w="345"/>
        <w:gridCol w:w="308"/>
        <w:gridCol w:w="142"/>
        <w:gridCol w:w="243"/>
        <w:gridCol w:w="74"/>
        <w:gridCol w:w="72"/>
        <w:gridCol w:w="344"/>
        <w:gridCol w:w="187"/>
        <w:gridCol w:w="229"/>
        <w:gridCol w:w="302"/>
        <w:gridCol w:w="114"/>
        <w:gridCol w:w="416"/>
        <w:gridCol w:w="416"/>
        <w:gridCol w:w="416"/>
        <w:gridCol w:w="354"/>
        <w:gridCol w:w="74"/>
      </w:tblGrid>
      <w:tr>
        <w:tblPrEx>
          <w:tblCellMar>
            <w:top w:w="0" w:type="dxa"/>
            <w:left w:w="108" w:type="dxa"/>
            <w:bottom w:w="0" w:type="dxa"/>
            <w:right w:w="108" w:type="dxa"/>
          </w:tblCellMar>
        </w:tblPrEx>
        <w:trPr>
          <w:gridAfter w:val="1"/>
          <w:wAfter w:w="74"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23"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968"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74" w:type="dxa"/>
          <w:trHeight w:val="418" w:hRule="atLeast"/>
          <w:jc w:val="center"/>
        </w:trPr>
        <w:tc>
          <w:tcPr>
            <w:tcW w:w="107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6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6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1323" w:hRule="atLeast"/>
          <w:jc w:val="center"/>
        </w:trPr>
        <w:tc>
          <w:tcPr>
            <w:tcW w:w="1075"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通榆县医疗保障局</w:t>
            </w:r>
          </w:p>
        </w:tc>
        <w:tc>
          <w:tcPr>
            <w:tcW w:w="76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677.51</w:t>
            </w:r>
          </w:p>
        </w:tc>
        <w:tc>
          <w:tcPr>
            <w:tcW w:w="82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677.51</w:t>
            </w:r>
          </w:p>
        </w:tc>
        <w:tc>
          <w:tcPr>
            <w:tcW w:w="7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677.51</w:t>
            </w:r>
          </w:p>
        </w:tc>
        <w:tc>
          <w:tcPr>
            <w:tcW w:w="27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75"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1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4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5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17"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1424" w:hRule="atLeast"/>
          <w:jc w:val="center"/>
        </w:trPr>
        <w:tc>
          <w:tcPr>
            <w:tcW w:w="107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677.51</w:t>
            </w: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677.51</w:t>
            </w: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677.51</w:t>
            </w:r>
          </w:p>
        </w:tc>
        <w:tc>
          <w:tcPr>
            <w:tcW w:w="27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677.51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659.10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68.61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538.06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519.65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18.41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28.51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医疗保障管理事务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491.13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18.41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441.96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423.55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18.41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677.51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677.51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88.00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538.06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51.45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677.51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677.51</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677.51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18.41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68.61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68.61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538.06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519.65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18.41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28.51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28.51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医疗保障管理事务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18.41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441.96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18.41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51.45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p>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4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659.09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608.45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50.64</w:t>
            </w:r>
          </w:p>
        </w:tc>
      </w:tr>
      <w:tr>
        <w:tblPrEx>
          <w:tblCellMar>
            <w:top w:w="0" w:type="dxa"/>
            <w:left w:w="108" w:type="dxa"/>
            <w:bottom w:w="0" w:type="dxa"/>
            <w:right w:w="108" w:type="dxa"/>
          </w:tblCellMar>
        </w:tblPrEx>
        <w:trPr>
          <w:trHeight w:val="5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auto"/>
                <w:kern w:val="0"/>
                <w:sz w:val="20"/>
                <w:szCs w:val="20"/>
                <w:lang w:val="en-US" w:eastAsia="zh-CN"/>
              </w:rPr>
            </w:pPr>
            <w:r>
              <w:rPr>
                <w:rFonts w:hint="eastAsia"/>
                <w:color w:val="auto"/>
                <w:sz w:val="20"/>
                <w:szCs w:val="20"/>
                <w:lang w:val="en-US" w:eastAsia="zh-CN"/>
              </w:rPr>
              <w:t>604.89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color w:val="auto"/>
                <w:sz w:val="20"/>
                <w:szCs w:val="20"/>
                <w:lang w:val="en-US"/>
              </w:rPr>
            </w:pPr>
            <w:r>
              <w:rPr>
                <w:rFonts w:hint="eastAsia"/>
                <w:color w:val="auto"/>
                <w:sz w:val="20"/>
                <w:szCs w:val="20"/>
                <w:lang w:val="en-US" w:eastAsia="zh-CN"/>
              </w:rPr>
              <w:t>604.89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6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231.59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231.59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6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31.53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31.53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2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52.73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52.73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7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115.16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115.16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68.61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68.61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16.76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16.76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0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27.70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27.70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3.44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3.44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51.45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51.45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5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5.92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5.92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52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50.64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50.64</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27.79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27.79</w:t>
            </w:r>
          </w:p>
        </w:tc>
      </w:tr>
      <w:tr>
        <w:tblPrEx>
          <w:tblCellMar>
            <w:top w:w="0" w:type="dxa"/>
            <w:left w:w="108" w:type="dxa"/>
            <w:bottom w:w="0" w:type="dxa"/>
            <w:right w:w="108" w:type="dxa"/>
          </w:tblCellMar>
        </w:tblPrEx>
        <w:trPr>
          <w:trHeight w:val="46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8.80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8.80</w:t>
            </w:r>
          </w:p>
        </w:tc>
      </w:tr>
      <w:tr>
        <w:tblPrEx>
          <w:tblCellMar>
            <w:top w:w="0" w:type="dxa"/>
            <w:left w:w="108" w:type="dxa"/>
            <w:bottom w:w="0" w:type="dxa"/>
            <w:right w:w="108" w:type="dxa"/>
          </w:tblCellMar>
        </w:tblPrEx>
        <w:trPr>
          <w:trHeight w:val="4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8.47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8.47</w:t>
            </w: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1.50</w:t>
            </w:r>
          </w:p>
        </w:tc>
      </w:tr>
      <w:tr>
        <w:tblPrEx>
          <w:tblCellMar>
            <w:top w:w="0" w:type="dxa"/>
            <w:left w:w="108" w:type="dxa"/>
            <w:bottom w:w="0" w:type="dxa"/>
            <w:right w:w="108" w:type="dxa"/>
          </w:tblCellMar>
        </w:tblPrEx>
        <w:trPr>
          <w:trHeight w:val="44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4.08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4.08</w:t>
            </w:r>
          </w:p>
        </w:tc>
      </w:tr>
      <w:tr>
        <w:tblPrEx>
          <w:tblCellMar>
            <w:top w:w="0" w:type="dxa"/>
            <w:left w:w="108" w:type="dxa"/>
            <w:bottom w:w="0" w:type="dxa"/>
            <w:right w:w="108" w:type="dxa"/>
          </w:tblCellMar>
        </w:tblPrEx>
        <w:trPr>
          <w:trHeight w:val="45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3.56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3.56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36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2.90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2.90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bl>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13"/>
        <w:gridCol w:w="1256"/>
        <w:gridCol w:w="806"/>
        <w:gridCol w:w="725"/>
        <w:gridCol w:w="698"/>
        <w:gridCol w:w="352"/>
        <w:gridCol w:w="388"/>
        <w:gridCol w:w="312"/>
        <w:gridCol w:w="325"/>
        <w:gridCol w:w="454"/>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8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5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0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3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959"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8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46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0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3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091"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1084" w:type="dxa"/>
            <w:vMerge w:val="continue"/>
            <w:noWrap w:val="0"/>
            <w:vAlign w:val="center"/>
          </w:tcPr>
          <w:p>
            <w:pPr>
              <w:autoSpaceDN w:val="0"/>
              <w:jc w:val="center"/>
              <w:textAlignment w:val="center"/>
              <w:rPr>
                <w:rFonts w:ascii="Calibri" w:hAnsi="Calibri" w:eastAsia="华文细黑"/>
                <w:color w:val="000000"/>
                <w:sz w:val="20"/>
                <w:szCs w:val="22"/>
              </w:rPr>
            </w:pPr>
          </w:p>
        </w:tc>
        <w:tc>
          <w:tcPr>
            <w:tcW w:w="121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5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06" w:type="dxa"/>
            <w:vMerge w:val="continue"/>
            <w:noWrap w:val="0"/>
            <w:vAlign w:val="center"/>
          </w:tcPr>
          <w:p>
            <w:pPr>
              <w:autoSpaceDN w:val="0"/>
              <w:jc w:val="center"/>
              <w:textAlignment w:val="center"/>
              <w:rPr>
                <w:rFonts w:ascii="Calibri" w:hAnsi="Calibri" w:eastAsia="华文细黑"/>
                <w:color w:val="000000"/>
                <w:sz w:val="20"/>
                <w:szCs w:val="22"/>
              </w:rPr>
            </w:pPr>
          </w:p>
        </w:tc>
        <w:tc>
          <w:tcPr>
            <w:tcW w:w="725" w:type="dxa"/>
            <w:vMerge w:val="continue"/>
            <w:noWrap w:val="0"/>
            <w:vAlign w:val="center"/>
          </w:tcPr>
          <w:p>
            <w:pPr>
              <w:autoSpaceDN w:val="0"/>
              <w:jc w:val="center"/>
              <w:textAlignment w:val="center"/>
              <w:rPr>
                <w:rFonts w:ascii="Calibri" w:hAnsi="Calibri" w:eastAsia="华文细黑"/>
                <w:color w:val="000000"/>
                <w:sz w:val="20"/>
                <w:szCs w:val="22"/>
              </w:rPr>
            </w:pPr>
          </w:p>
        </w:tc>
        <w:tc>
          <w:tcPr>
            <w:tcW w:w="69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5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8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1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2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1084" w:type="dxa"/>
            <w:noWrap w:val="0"/>
            <w:vAlign w:val="center"/>
          </w:tcPr>
          <w:p>
            <w:pPr>
              <w:spacing w:line="700" w:lineRule="exact"/>
              <w:jc w:val="both"/>
              <w:rPr>
                <w:rFonts w:hint="default"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专项支出</w:t>
            </w:r>
          </w:p>
        </w:tc>
        <w:tc>
          <w:tcPr>
            <w:tcW w:w="1213" w:type="dxa"/>
            <w:noWrap w:val="0"/>
            <w:vAlign w:val="center"/>
          </w:tcPr>
          <w:p>
            <w:pPr>
              <w:autoSpaceDN w:val="0"/>
              <w:jc w:val="left"/>
              <w:textAlignment w:val="center"/>
              <w:rPr>
                <w:rFonts w:hint="eastAsia" w:ascii="宋体" w:hAnsi="宋体" w:eastAsia="宋体" w:cs="宋体"/>
                <w:b w:val="0"/>
                <w:bCs w:val="0"/>
                <w:kern w:val="0"/>
                <w:sz w:val="18"/>
                <w:szCs w:val="18"/>
                <w:lang w:val="en-US" w:eastAsia="zh-CN" w:bidi="ar-SA"/>
              </w:rPr>
            </w:pPr>
            <w:r>
              <w:rPr>
                <w:rFonts w:hint="eastAsia" w:ascii="宋体" w:hAnsi="宋体" w:eastAsia="宋体" w:cs="宋体"/>
                <w:b w:val="0"/>
                <w:bCs w:val="0"/>
                <w:color w:val="000000"/>
                <w:sz w:val="18"/>
                <w:szCs w:val="18"/>
                <w:lang w:val="en-US" w:eastAsia="zh-CN"/>
              </w:rPr>
              <w:t>通榆县医疗保障局2024年部门预算</w:t>
            </w:r>
          </w:p>
        </w:tc>
        <w:tc>
          <w:tcPr>
            <w:tcW w:w="1256" w:type="dxa"/>
            <w:noWrap w:val="0"/>
            <w:vAlign w:val="center"/>
          </w:tcPr>
          <w:p>
            <w:pPr>
              <w:numPr>
                <w:ilvl w:val="0"/>
                <w:numId w:val="0"/>
              </w:numPr>
              <w:spacing w:line="240" w:lineRule="auto"/>
              <w:ind w:left="0" w:leftChars="0" w:firstLine="0" w:firstLineChars="0"/>
              <w:jc w:val="center"/>
              <w:rPr>
                <w:rFonts w:hint="default"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通榆县医疗保险经办中心驻村工作队生活补贴36000元</w:t>
            </w:r>
          </w:p>
        </w:tc>
        <w:tc>
          <w:tcPr>
            <w:tcW w:w="806" w:type="dxa"/>
            <w:noWrap w:val="0"/>
            <w:vAlign w:val="center"/>
          </w:tcPr>
          <w:p>
            <w:pPr>
              <w:numPr>
                <w:ilvl w:val="0"/>
                <w:numId w:val="0"/>
              </w:numPr>
              <w:spacing w:line="240" w:lineRule="auto"/>
              <w:ind w:left="0" w:leftChars="0" w:firstLine="0" w:firstLineChars="0"/>
              <w:jc w:val="center"/>
              <w:rPr>
                <w:rFonts w:ascii="Calibri" w:hAnsi="Calibri" w:eastAsia="楷体" w:cs="Times New Roman"/>
                <w:kern w:val="0"/>
                <w:sz w:val="32"/>
                <w:szCs w:val="32"/>
                <w:lang w:val="en-US" w:eastAsia="zh-CN" w:bidi="ar-SA"/>
              </w:rPr>
            </w:pPr>
            <w:r>
              <w:rPr>
                <w:rFonts w:hint="eastAsia" w:ascii="宋体" w:hAnsi="宋体" w:eastAsia="宋体" w:cs="宋体"/>
                <w:b w:val="0"/>
                <w:bCs w:val="0"/>
                <w:kern w:val="0"/>
                <w:sz w:val="18"/>
                <w:szCs w:val="18"/>
                <w:lang w:val="en-US" w:eastAsia="zh-CN"/>
              </w:rPr>
              <w:t>通榆县医疗保险经办中心</w:t>
            </w:r>
          </w:p>
        </w:tc>
        <w:tc>
          <w:tcPr>
            <w:tcW w:w="725"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7.61</w:t>
            </w:r>
          </w:p>
        </w:tc>
        <w:tc>
          <w:tcPr>
            <w:tcW w:w="698"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7.61</w:t>
            </w:r>
          </w:p>
        </w:tc>
        <w:tc>
          <w:tcPr>
            <w:tcW w:w="352" w:type="dxa"/>
            <w:noWrap w:val="0"/>
            <w:vAlign w:val="center"/>
          </w:tcPr>
          <w:p>
            <w:pPr>
              <w:spacing w:line="700" w:lineRule="exact"/>
              <w:jc w:val="center"/>
              <w:rPr>
                <w:rFonts w:ascii="Calibri" w:hAnsi="Calibri" w:eastAsia="楷体"/>
                <w:kern w:val="0"/>
                <w:szCs w:val="32"/>
              </w:rPr>
            </w:pPr>
          </w:p>
        </w:tc>
        <w:tc>
          <w:tcPr>
            <w:tcW w:w="388" w:type="dxa"/>
            <w:noWrap w:val="0"/>
            <w:vAlign w:val="center"/>
          </w:tcPr>
          <w:p>
            <w:pPr>
              <w:spacing w:line="700" w:lineRule="exact"/>
              <w:jc w:val="center"/>
              <w:rPr>
                <w:rFonts w:ascii="Calibri" w:hAnsi="Calibri" w:eastAsia="楷体"/>
                <w:kern w:val="0"/>
                <w:szCs w:val="32"/>
              </w:rPr>
            </w:pPr>
          </w:p>
        </w:tc>
        <w:tc>
          <w:tcPr>
            <w:tcW w:w="312"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exact"/>
          <w:jc w:val="center"/>
        </w:trPr>
        <w:tc>
          <w:tcPr>
            <w:tcW w:w="1084" w:type="dxa"/>
            <w:noWrap w:val="0"/>
            <w:vAlign w:val="center"/>
          </w:tcPr>
          <w:p>
            <w:pPr>
              <w:autoSpaceDN w:val="0"/>
              <w:jc w:val="left"/>
              <w:textAlignment w:val="center"/>
              <w:rPr>
                <w:rFonts w:hint="eastAsia" w:ascii="宋体" w:hAnsi="宋体" w:eastAsia="宋体" w:cs="宋体"/>
                <w:b w:val="0"/>
                <w:bCs w:val="0"/>
                <w:color w:val="000000"/>
                <w:kern w:val="2"/>
                <w:sz w:val="18"/>
                <w:szCs w:val="18"/>
                <w:lang w:val="en-US" w:eastAsia="zh-CN" w:bidi="ar-SA"/>
              </w:rPr>
            </w:pPr>
            <w:r>
              <w:rPr>
                <w:rFonts w:hint="eastAsia" w:ascii="宋体" w:hAnsi="宋体" w:eastAsia="宋体" w:cs="宋体"/>
                <w:b w:val="0"/>
                <w:bCs w:val="0"/>
                <w:kern w:val="0"/>
                <w:sz w:val="18"/>
                <w:szCs w:val="18"/>
                <w:lang w:val="en-US" w:eastAsia="zh-CN"/>
              </w:rPr>
              <w:t>专项支出</w:t>
            </w:r>
          </w:p>
        </w:tc>
        <w:tc>
          <w:tcPr>
            <w:tcW w:w="1213" w:type="dxa"/>
            <w:noWrap w:val="0"/>
            <w:vAlign w:val="center"/>
          </w:tcPr>
          <w:p>
            <w:pPr>
              <w:autoSpaceDN w:val="0"/>
              <w:jc w:val="left"/>
              <w:textAlignment w:val="center"/>
              <w:rPr>
                <w:rFonts w:hint="eastAsia" w:ascii="宋体" w:hAnsi="宋体" w:eastAsia="宋体" w:cs="宋体"/>
                <w:b w:val="0"/>
                <w:bCs w:val="0"/>
                <w:color w:val="000000"/>
                <w:kern w:val="2"/>
                <w:sz w:val="18"/>
                <w:szCs w:val="18"/>
                <w:lang w:val="en-US" w:eastAsia="zh-CN" w:bidi="ar-SA"/>
              </w:rPr>
            </w:pPr>
            <w:r>
              <w:rPr>
                <w:rFonts w:hint="eastAsia" w:ascii="宋体" w:hAnsi="宋体" w:eastAsia="宋体" w:cs="宋体"/>
                <w:b w:val="0"/>
                <w:bCs w:val="0"/>
                <w:color w:val="000000"/>
                <w:sz w:val="18"/>
                <w:szCs w:val="18"/>
                <w:lang w:val="en-US" w:eastAsia="zh-CN"/>
              </w:rPr>
              <w:t>通榆县医疗保障局2024年部门预算</w:t>
            </w:r>
          </w:p>
        </w:tc>
        <w:tc>
          <w:tcPr>
            <w:tcW w:w="1256" w:type="dxa"/>
            <w:noWrap w:val="0"/>
            <w:vAlign w:val="center"/>
          </w:tcPr>
          <w:p>
            <w:pPr>
              <w:numPr>
                <w:ilvl w:val="0"/>
                <w:numId w:val="0"/>
              </w:numPr>
              <w:spacing w:line="240" w:lineRule="auto"/>
              <w:ind w:left="0" w:leftChars="0" w:firstLine="0" w:firstLineChars="0"/>
              <w:jc w:val="center"/>
              <w:rPr>
                <w:rFonts w:hint="eastAsia"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通榆县医疗保险经办中心辅助岗人员2024年工资预算</w:t>
            </w:r>
          </w:p>
        </w:tc>
        <w:tc>
          <w:tcPr>
            <w:tcW w:w="806" w:type="dxa"/>
            <w:noWrap w:val="0"/>
            <w:vAlign w:val="center"/>
          </w:tcPr>
          <w:p>
            <w:pPr>
              <w:numPr>
                <w:ilvl w:val="0"/>
                <w:numId w:val="0"/>
              </w:numPr>
              <w:spacing w:line="240" w:lineRule="auto"/>
              <w:ind w:left="0" w:leftChars="0" w:firstLine="0" w:firstLineChars="0"/>
              <w:jc w:val="center"/>
              <w:rPr>
                <w:rFonts w:ascii="Calibri" w:hAnsi="Calibri" w:eastAsia="楷体" w:cs="Times New Roman"/>
                <w:kern w:val="0"/>
                <w:sz w:val="32"/>
                <w:szCs w:val="32"/>
                <w:lang w:val="en-US" w:eastAsia="zh-CN" w:bidi="ar-SA"/>
              </w:rPr>
            </w:pPr>
            <w:r>
              <w:rPr>
                <w:rFonts w:hint="eastAsia" w:ascii="宋体" w:hAnsi="宋体" w:eastAsia="宋体" w:cs="宋体"/>
                <w:b w:val="0"/>
                <w:bCs w:val="0"/>
                <w:kern w:val="0"/>
                <w:sz w:val="18"/>
                <w:szCs w:val="18"/>
                <w:lang w:val="en-US" w:eastAsia="zh-CN"/>
              </w:rPr>
              <w:t>通榆县医疗保险经办中心</w:t>
            </w:r>
          </w:p>
        </w:tc>
        <w:tc>
          <w:tcPr>
            <w:tcW w:w="725"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32"/>
                <w:szCs w:val="32"/>
                <w:lang w:val="en-US" w:eastAsia="zh-CN" w:bidi="ar-SA"/>
              </w:rPr>
            </w:pPr>
            <w:r>
              <w:rPr>
                <w:rFonts w:hint="eastAsia" w:ascii="Calibri" w:hAnsi="Calibri" w:eastAsia="楷体"/>
                <w:kern w:val="0"/>
                <w:sz w:val="18"/>
                <w:szCs w:val="18"/>
                <w:lang w:val="en-US" w:eastAsia="zh-CN"/>
              </w:rPr>
              <w:t>3.60</w:t>
            </w:r>
          </w:p>
        </w:tc>
        <w:tc>
          <w:tcPr>
            <w:tcW w:w="698"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3.60</w:t>
            </w:r>
          </w:p>
        </w:tc>
        <w:tc>
          <w:tcPr>
            <w:tcW w:w="352" w:type="dxa"/>
            <w:noWrap w:val="0"/>
            <w:vAlign w:val="center"/>
          </w:tcPr>
          <w:p>
            <w:pPr>
              <w:spacing w:line="700" w:lineRule="exact"/>
              <w:jc w:val="center"/>
              <w:rPr>
                <w:rFonts w:ascii="Calibri" w:hAnsi="Calibri" w:eastAsia="楷体"/>
                <w:kern w:val="0"/>
                <w:szCs w:val="32"/>
              </w:rPr>
            </w:pPr>
          </w:p>
        </w:tc>
        <w:tc>
          <w:tcPr>
            <w:tcW w:w="388" w:type="dxa"/>
            <w:noWrap w:val="0"/>
            <w:vAlign w:val="center"/>
          </w:tcPr>
          <w:p>
            <w:pPr>
              <w:spacing w:line="700" w:lineRule="exact"/>
              <w:jc w:val="center"/>
              <w:rPr>
                <w:rFonts w:ascii="Calibri" w:hAnsi="Calibri" w:eastAsia="楷体"/>
                <w:kern w:val="0"/>
                <w:szCs w:val="32"/>
              </w:rPr>
            </w:pPr>
          </w:p>
        </w:tc>
        <w:tc>
          <w:tcPr>
            <w:tcW w:w="312"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exact"/>
          <w:jc w:val="center"/>
        </w:trPr>
        <w:tc>
          <w:tcPr>
            <w:tcW w:w="1084" w:type="dxa"/>
            <w:noWrap w:val="0"/>
            <w:vAlign w:val="center"/>
          </w:tcPr>
          <w:p>
            <w:pPr>
              <w:autoSpaceDN w:val="0"/>
              <w:jc w:val="left"/>
              <w:textAlignment w:val="center"/>
              <w:rPr>
                <w:rFonts w:hint="eastAsia" w:ascii="宋体" w:hAnsi="宋体" w:eastAsia="宋体" w:cs="宋体"/>
                <w:b w:val="0"/>
                <w:bCs w:val="0"/>
                <w:color w:val="000000"/>
                <w:kern w:val="2"/>
                <w:sz w:val="18"/>
                <w:szCs w:val="18"/>
                <w:lang w:val="en-US" w:eastAsia="zh-CN" w:bidi="ar-SA"/>
              </w:rPr>
            </w:pPr>
            <w:r>
              <w:rPr>
                <w:rFonts w:hint="eastAsia" w:ascii="宋体" w:hAnsi="宋体" w:eastAsia="宋体" w:cs="宋体"/>
                <w:b w:val="0"/>
                <w:bCs w:val="0"/>
                <w:kern w:val="0"/>
                <w:sz w:val="18"/>
                <w:szCs w:val="18"/>
                <w:lang w:val="en-US" w:eastAsia="zh-CN"/>
              </w:rPr>
              <w:t>专项支出</w:t>
            </w:r>
          </w:p>
        </w:tc>
        <w:tc>
          <w:tcPr>
            <w:tcW w:w="1213" w:type="dxa"/>
            <w:noWrap w:val="0"/>
            <w:vAlign w:val="center"/>
          </w:tcPr>
          <w:p>
            <w:pPr>
              <w:autoSpaceDN w:val="0"/>
              <w:jc w:val="left"/>
              <w:textAlignment w:val="center"/>
              <w:rPr>
                <w:rFonts w:hint="eastAsia" w:ascii="宋体" w:hAnsi="宋体" w:eastAsia="宋体" w:cs="宋体"/>
                <w:b w:val="0"/>
                <w:bCs w:val="0"/>
                <w:color w:val="000000"/>
                <w:kern w:val="2"/>
                <w:sz w:val="18"/>
                <w:szCs w:val="18"/>
                <w:lang w:val="en-US" w:eastAsia="zh-CN" w:bidi="ar-SA"/>
              </w:rPr>
            </w:pPr>
            <w:r>
              <w:rPr>
                <w:rFonts w:hint="eastAsia" w:ascii="宋体" w:hAnsi="宋体" w:eastAsia="宋体" w:cs="宋体"/>
                <w:b w:val="0"/>
                <w:bCs w:val="0"/>
                <w:color w:val="000000"/>
                <w:sz w:val="18"/>
                <w:szCs w:val="18"/>
                <w:lang w:val="en-US" w:eastAsia="zh-CN"/>
              </w:rPr>
              <w:t>通榆县医疗保障局2024年部门预算</w:t>
            </w:r>
          </w:p>
        </w:tc>
        <w:tc>
          <w:tcPr>
            <w:tcW w:w="1256" w:type="dxa"/>
            <w:noWrap w:val="0"/>
            <w:vAlign w:val="center"/>
          </w:tcPr>
          <w:p>
            <w:pPr>
              <w:numPr>
                <w:ilvl w:val="0"/>
                <w:numId w:val="0"/>
              </w:numPr>
              <w:spacing w:line="240" w:lineRule="auto"/>
              <w:ind w:left="0" w:leftChars="0" w:firstLine="0" w:firstLineChars="0"/>
              <w:jc w:val="center"/>
              <w:rPr>
                <w:rFonts w:hint="default"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通榆县医疗服务中心辅2024年驻村补助</w:t>
            </w:r>
          </w:p>
        </w:tc>
        <w:tc>
          <w:tcPr>
            <w:tcW w:w="806" w:type="dxa"/>
            <w:noWrap w:val="0"/>
            <w:vAlign w:val="center"/>
          </w:tcPr>
          <w:p>
            <w:pPr>
              <w:numPr>
                <w:ilvl w:val="0"/>
                <w:numId w:val="0"/>
              </w:numPr>
              <w:spacing w:line="240" w:lineRule="auto"/>
              <w:ind w:left="0" w:leftChars="0" w:firstLine="0" w:firstLineChars="0"/>
              <w:jc w:val="center"/>
              <w:rPr>
                <w:rFonts w:ascii="Calibri" w:hAnsi="Calibri" w:eastAsia="楷体" w:cs="Times New Roman"/>
                <w:kern w:val="0"/>
                <w:sz w:val="32"/>
                <w:szCs w:val="32"/>
                <w:lang w:val="en-US" w:eastAsia="zh-CN" w:bidi="ar-SA"/>
              </w:rPr>
            </w:pPr>
            <w:r>
              <w:rPr>
                <w:rFonts w:hint="eastAsia" w:ascii="宋体" w:hAnsi="宋体" w:eastAsia="宋体" w:cs="宋体"/>
                <w:b w:val="0"/>
                <w:bCs w:val="0"/>
                <w:kern w:val="0"/>
                <w:sz w:val="18"/>
                <w:szCs w:val="18"/>
                <w:lang w:val="en-US" w:eastAsia="zh-CN"/>
              </w:rPr>
              <w:t>通榆县医疗保障服务中心</w:t>
            </w:r>
          </w:p>
        </w:tc>
        <w:tc>
          <w:tcPr>
            <w:tcW w:w="725"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32"/>
                <w:szCs w:val="32"/>
                <w:lang w:val="en-US" w:eastAsia="zh-CN" w:bidi="ar-SA"/>
              </w:rPr>
            </w:pPr>
            <w:r>
              <w:rPr>
                <w:rFonts w:hint="eastAsia" w:ascii="Calibri" w:hAnsi="Calibri" w:eastAsia="楷体"/>
                <w:kern w:val="0"/>
                <w:sz w:val="18"/>
                <w:szCs w:val="18"/>
                <w:lang w:val="en-US" w:eastAsia="zh-CN"/>
              </w:rPr>
              <w:t>7.20</w:t>
            </w:r>
          </w:p>
        </w:tc>
        <w:tc>
          <w:tcPr>
            <w:tcW w:w="698"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7.20</w:t>
            </w:r>
          </w:p>
        </w:tc>
        <w:tc>
          <w:tcPr>
            <w:tcW w:w="352"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388"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312"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325"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54"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43"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25" w:type="dxa"/>
            <w:noWrap w:val="0"/>
            <w:vAlign w:val="center"/>
          </w:tcPr>
          <w:p>
            <w:pPr>
              <w:spacing w:line="700" w:lineRule="exact"/>
              <w:jc w:val="center"/>
              <w:rPr>
                <w:rFonts w:ascii="Calibri" w:hAnsi="Calibri" w:eastAsia="楷体" w:cs="Times New Roman"/>
                <w:kern w:val="0"/>
                <w:sz w:val="32"/>
                <w:szCs w:val="3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jc w:val="center"/>
        </w:trPr>
        <w:tc>
          <w:tcPr>
            <w:tcW w:w="1084"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213" w:type="dxa"/>
            <w:noWrap w:val="0"/>
            <w:vAlign w:val="center"/>
          </w:tcPr>
          <w:p>
            <w:pPr>
              <w:autoSpaceDN w:val="0"/>
              <w:jc w:val="center"/>
              <w:textAlignment w:val="center"/>
              <w:rPr>
                <w:rFonts w:ascii="Calibri" w:hAnsi="Calibri" w:eastAsia="华文细黑"/>
                <w:color w:val="000000"/>
                <w:sz w:val="20"/>
                <w:szCs w:val="22"/>
              </w:rPr>
            </w:pPr>
          </w:p>
        </w:tc>
        <w:tc>
          <w:tcPr>
            <w:tcW w:w="1256" w:type="dxa"/>
            <w:noWrap w:val="0"/>
            <w:vAlign w:val="center"/>
          </w:tcPr>
          <w:p>
            <w:pPr>
              <w:spacing w:line="700" w:lineRule="exact"/>
              <w:jc w:val="center"/>
              <w:rPr>
                <w:rFonts w:ascii="Calibri" w:hAnsi="Calibri" w:eastAsia="楷体"/>
                <w:kern w:val="0"/>
                <w:szCs w:val="32"/>
              </w:rPr>
            </w:pPr>
          </w:p>
        </w:tc>
        <w:tc>
          <w:tcPr>
            <w:tcW w:w="806" w:type="dxa"/>
            <w:noWrap w:val="0"/>
            <w:vAlign w:val="center"/>
          </w:tcPr>
          <w:p>
            <w:pPr>
              <w:spacing w:line="700" w:lineRule="exact"/>
              <w:jc w:val="center"/>
              <w:rPr>
                <w:rFonts w:ascii="Calibri" w:hAnsi="Calibri" w:eastAsia="楷体"/>
                <w:kern w:val="0"/>
                <w:szCs w:val="32"/>
              </w:rPr>
            </w:pPr>
          </w:p>
        </w:tc>
        <w:tc>
          <w:tcPr>
            <w:tcW w:w="725" w:type="dxa"/>
            <w:noWrap w:val="0"/>
            <w:vAlign w:val="center"/>
          </w:tcPr>
          <w:p>
            <w:pPr>
              <w:spacing w:line="700" w:lineRule="exact"/>
              <w:jc w:val="center"/>
              <w:rPr>
                <w:rFonts w:hint="default" w:ascii="Calibri" w:hAnsi="Calibri" w:eastAsia="楷体"/>
                <w:kern w:val="0"/>
                <w:szCs w:val="32"/>
                <w:lang w:val="en-US" w:eastAsia="zh-CN"/>
              </w:rPr>
            </w:pPr>
            <w:r>
              <w:rPr>
                <w:rFonts w:hint="eastAsia" w:ascii="Calibri" w:hAnsi="Calibri" w:eastAsia="楷体"/>
                <w:kern w:val="0"/>
                <w:sz w:val="18"/>
                <w:szCs w:val="18"/>
                <w:lang w:val="en-US" w:eastAsia="zh-CN"/>
              </w:rPr>
              <w:t>18.41</w:t>
            </w:r>
          </w:p>
        </w:tc>
        <w:tc>
          <w:tcPr>
            <w:tcW w:w="698" w:type="dxa"/>
            <w:noWrap w:val="0"/>
            <w:vAlign w:val="center"/>
          </w:tcPr>
          <w:p>
            <w:pPr>
              <w:spacing w:line="700" w:lineRule="exact"/>
              <w:jc w:val="center"/>
              <w:rPr>
                <w:rFonts w:ascii="Calibri" w:hAnsi="Calibri" w:eastAsia="楷体"/>
                <w:kern w:val="0"/>
                <w:szCs w:val="32"/>
              </w:rPr>
            </w:pPr>
            <w:r>
              <w:rPr>
                <w:rFonts w:hint="eastAsia" w:ascii="Calibri" w:hAnsi="Calibri" w:eastAsia="楷体"/>
                <w:kern w:val="0"/>
                <w:sz w:val="18"/>
                <w:szCs w:val="18"/>
                <w:lang w:val="en-US" w:eastAsia="zh-CN"/>
              </w:rPr>
              <w:t>18.41</w:t>
            </w:r>
          </w:p>
        </w:tc>
        <w:tc>
          <w:tcPr>
            <w:tcW w:w="352" w:type="dxa"/>
            <w:noWrap w:val="0"/>
            <w:vAlign w:val="center"/>
          </w:tcPr>
          <w:p>
            <w:pPr>
              <w:spacing w:line="700" w:lineRule="exact"/>
              <w:jc w:val="center"/>
              <w:rPr>
                <w:rFonts w:ascii="Calibri" w:hAnsi="Calibri" w:eastAsia="楷体"/>
                <w:kern w:val="0"/>
                <w:szCs w:val="32"/>
              </w:rPr>
            </w:pPr>
          </w:p>
        </w:tc>
        <w:tc>
          <w:tcPr>
            <w:tcW w:w="388" w:type="dxa"/>
            <w:noWrap w:val="0"/>
            <w:vAlign w:val="center"/>
          </w:tcPr>
          <w:p>
            <w:pPr>
              <w:spacing w:line="700" w:lineRule="exact"/>
              <w:jc w:val="center"/>
              <w:rPr>
                <w:rFonts w:ascii="Calibri" w:hAnsi="Calibri" w:eastAsia="楷体"/>
                <w:kern w:val="0"/>
                <w:szCs w:val="32"/>
              </w:rPr>
            </w:pPr>
          </w:p>
        </w:tc>
        <w:tc>
          <w:tcPr>
            <w:tcW w:w="312"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90" w:hRule="atLeast"/>
        </w:trPr>
        <w:tc>
          <w:tcPr>
            <w:tcW w:w="9582" w:type="dxa"/>
            <w:gridSpan w:val="5"/>
            <w:noWrap w:val="0"/>
            <w:vAlign w:val="center"/>
          </w:tcPr>
          <w:p>
            <w:pPr>
              <w:widowControl/>
              <w:jc w:val="both"/>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通榆县医疗保险经办中心辅助岗人员2024年工资预算</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通榆县医疗保险经办中心，2024年辅助岗人员工资预算</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辅助岗人员人均工资成本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通榆县医疗保险经办中心驻村工作队生活补贴3.6万元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根据通组联通{2021}2号文件要求，驻村工作队2024年生活补贴3.6万元。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驻村干部补助人均标准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rPr>
            </w:pPr>
            <w:r>
              <w:rPr>
                <w:rFonts w:hint="eastAsia" w:eastAsia="方正小标宋简体"/>
                <w:color w:val="auto"/>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Calibri" w:hAnsi="Calibri" w:eastAsia="楷体"/>
                <w:color w:val="auto"/>
                <w:kern w:val="0"/>
                <w:sz w:val="20"/>
                <w:szCs w:val="20"/>
              </w:rPr>
              <w:t>2024年驻村补助</w:t>
            </w:r>
          </w:p>
        </w:tc>
      </w:tr>
      <w:tr>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eastAsia="zh-CN"/>
              </w:rPr>
              <w:t>二</w:t>
            </w:r>
            <w:r>
              <w:rPr>
                <w:rFonts w:hint="eastAsia" w:ascii="宋体" w:hAnsi="宋体" w:eastAsia="宋体" w:cs="宋体"/>
                <w:color w:val="auto"/>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lang w:eastAsia="zh-CN"/>
              </w:rPr>
            </w:pPr>
            <w:r>
              <w:rPr>
                <w:rFonts w:hint="eastAsia" w:ascii="宋体" w:hAnsi="宋体" w:eastAsia="宋体" w:cs="宋体"/>
                <w:color w:val="auto"/>
                <w:sz w:val="20"/>
              </w:rPr>
              <w:t>项目资金</w:t>
            </w: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lang w:eastAsia="zh-CN"/>
              </w:rPr>
            </w:pPr>
            <w:r>
              <w:rPr>
                <w:rFonts w:hint="eastAsia" w:ascii="宋体" w:hAnsi="宋体" w:eastAsia="宋体" w:cs="宋体"/>
                <w:color w:val="auto"/>
                <w:sz w:val="20"/>
              </w:rPr>
              <w:t>年度绩效</w:t>
            </w: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lang w:val="en-US" w:eastAsia="zh-CN"/>
              </w:rPr>
            </w:pPr>
          </w:p>
          <w:p>
            <w:pPr>
              <w:autoSpaceDN w:val="0"/>
              <w:jc w:val="center"/>
              <w:textAlignment w:val="center"/>
              <w:rPr>
                <w:rFonts w:hint="eastAsia" w:ascii="宋体" w:hAnsi="宋体" w:eastAsia="宋体" w:cs="宋体"/>
                <w:color w:val="auto"/>
                <w:sz w:val="20"/>
                <w:lang w:val="en-US" w:eastAsia="zh-CN"/>
              </w:rPr>
            </w:pP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val="en-US" w:eastAsia="zh-CN"/>
              </w:rPr>
              <w:t>根据通组联通{2021}2号文件要求，驻村工作队2024年生活补贴7.2万元。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驻村补贴发放准确率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驻村干部补助人均标准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bl>
    <w:p>
      <w:pPr>
        <w:spacing w:line="700" w:lineRule="exact"/>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677.51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74.87万元</w:t>
      </w:r>
      <w:r>
        <w:rPr>
          <w:rFonts w:hint="eastAsia" w:ascii="仿宋_GB2312" w:hAnsi="仿宋_GB2312" w:eastAsia="仿宋_GB2312" w:cs="仿宋_GB2312"/>
          <w:szCs w:val="32"/>
        </w:rPr>
        <w:t>，主要原因</w:t>
      </w:r>
      <w:r>
        <w:rPr>
          <w:rFonts w:hint="eastAsia" w:ascii="仿宋_GB2312" w:hAnsi="仿宋_GB2312" w:cs="仿宋_GB2312"/>
          <w:szCs w:val="32"/>
          <w:lang w:eastAsia="zh-CN"/>
        </w:rPr>
        <w:t>是社会保障等相关费用减少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659.10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97.28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2.72</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88.00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538.06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51.45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677.51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659.10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97.28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2.72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608.46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89.81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50.64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住房公积金</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51.45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88.00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12.99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职工养老失业保障及职业年金缴费</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szCs w:val="32"/>
          <w:lang w:val="en-US" w:eastAsia="zh-CN"/>
        </w:rPr>
        <w:t>医疗卫生</w:t>
      </w:r>
      <w:r>
        <w:rPr>
          <w:szCs w:val="32"/>
        </w:rPr>
        <w:t>（类）支出</w:t>
      </w:r>
      <w:r>
        <w:rPr>
          <w:rFonts w:hint="eastAsia"/>
          <w:szCs w:val="32"/>
          <w:lang w:val="en-US" w:eastAsia="zh-CN"/>
        </w:rPr>
        <w:t>538.06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79.42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卫生健康支出行政事业医疗及事业运行</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p>
    <w:p>
      <w:pPr>
        <w:spacing w:line="520" w:lineRule="exact"/>
        <w:ind w:firstLine="640" w:firstLineChars="200"/>
        <w:rPr>
          <w:rFonts w:hint="eastAsia" w:ascii="仿宋_GB2312" w:hAnsi="仿宋_GB2312" w:eastAsia="仿宋_GB2312" w:cs="仿宋_GB2312"/>
          <w:szCs w:val="32"/>
        </w:rPr>
      </w:pPr>
    </w:p>
    <w:p>
      <w:pPr>
        <w:spacing w:line="520" w:lineRule="exact"/>
        <w:ind w:firstLine="640" w:firstLineChars="200"/>
        <w:rPr>
          <w:rFonts w:hint="eastAsia" w:ascii="仿宋_GB2312" w:hAnsi="仿宋_GB2312" w:eastAsia="仿宋_GB2312" w:cs="仿宋_GB2312"/>
          <w:szCs w:val="32"/>
        </w:rPr>
      </w:pP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659.10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608.46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50.64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2024年预计无</w:t>
      </w:r>
      <w:r>
        <w:rPr>
          <w:rFonts w:hint="eastAsia" w:ascii="仿宋_GB2312" w:hAnsi="仿宋_GB2312" w:cs="仿宋_GB2312"/>
          <w:szCs w:val="32"/>
          <w:lang w:eastAsia="zh-CN"/>
        </w:rPr>
        <w:t>公务接待</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1.50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车辆费用减少，需要运行维护</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r>
        <w:rPr>
          <w:rFonts w:eastAsia="楷体"/>
          <w:szCs w:val="32"/>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88.01</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增加</w:t>
      </w:r>
      <w:r>
        <w:rPr>
          <w:rFonts w:hint="eastAsia" w:ascii="仿宋_GB2312" w:hAnsi="仿宋_GB2312" w:cs="仿宋_GB2312"/>
          <w:szCs w:val="32"/>
          <w:lang w:val="en-US" w:eastAsia="zh-CN"/>
        </w:rPr>
        <w:t>10.19</w:t>
      </w:r>
      <w:r>
        <w:rPr>
          <w:rFonts w:hint="eastAsia" w:ascii="仿宋_GB2312" w:hAnsi="仿宋_GB2312" w:eastAsia="仿宋_GB2312" w:cs="仿宋_GB2312"/>
          <w:szCs w:val="32"/>
        </w:rPr>
        <w:t>万元，</w:t>
      </w:r>
      <w:r>
        <w:rPr>
          <w:rFonts w:hint="eastAsia" w:ascii="仿宋_GB2312" w:hAnsi="仿宋_GB2312" w:cs="仿宋_GB2312"/>
          <w:szCs w:val="32"/>
          <w:lang w:eastAsia="zh-CN"/>
        </w:rPr>
        <w:t>增长</w:t>
      </w:r>
      <w:r>
        <w:rPr>
          <w:rFonts w:hint="eastAsia" w:ascii="仿宋_GB2312" w:hAnsi="仿宋_GB2312" w:cs="仿宋_GB2312"/>
          <w:szCs w:val="32"/>
          <w:lang w:val="en-US" w:eastAsia="zh-CN"/>
        </w:rPr>
        <w:t>11.57</w:t>
      </w:r>
      <w:r>
        <w:rPr>
          <w:rFonts w:hint="eastAsia" w:ascii="仿宋_GB2312" w:hAnsi="仿宋_GB2312" w:eastAsia="仿宋_GB2312" w:cs="仿宋_GB2312"/>
          <w:szCs w:val="32"/>
        </w:rPr>
        <w:t>%，主要原因是</w:t>
      </w:r>
      <w:r>
        <w:rPr>
          <w:rFonts w:hint="eastAsia"/>
          <w:kern w:val="1"/>
          <w:szCs w:val="32"/>
          <w:lang w:eastAsia="zh-CN"/>
        </w:rPr>
        <w:t>费用增加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政府采购支出</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18.41</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18.41</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3</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18.41</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ODA3ZDdkZmFjMWMwM2Y3NTU1MzQzMTI4OWE0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331BC8"/>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707F08"/>
    <w:rsid w:val="17765BCA"/>
    <w:rsid w:val="17A027D8"/>
    <w:rsid w:val="1A817DF8"/>
    <w:rsid w:val="1ADC594E"/>
    <w:rsid w:val="1AEB5252"/>
    <w:rsid w:val="1C852172"/>
    <w:rsid w:val="1CA40C0C"/>
    <w:rsid w:val="1CD0780E"/>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8E779C5"/>
    <w:rsid w:val="29C45F24"/>
    <w:rsid w:val="2A233BAC"/>
    <w:rsid w:val="2B6C620F"/>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A704E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000728"/>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3B664B"/>
    <w:rsid w:val="52447C09"/>
    <w:rsid w:val="525A440D"/>
    <w:rsid w:val="54741940"/>
    <w:rsid w:val="54810E66"/>
    <w:rsid w:val="54C2556E"/>
    <w:rsid w:val="55480EEF"/>
    <w:rsid w:val="56570E30"/>
    <w:rsid w:val="56BC2327"/>
    <w:rsid w:val="57AE5C26"/>
    <w:rsid w:val="57DD75A9"/>
    <w:rsid w:val="58256ABD"/>
    <w:rsid w:val="59472AC7"/>
    <w:rsid w:val="59BD150F"/>
    <w:rsid w:val="59DD570D"/>
    <w:rsid w:val="59FF5EDC"/>
    <w:rsid w:val="5A084708"/>
    <w:rsid w:val="5A1236ED"/>
    <w:rsid w:val="5AB343F7"/>
    <w:rsid w:val="5ABF50F2"/>
    <w:rsid w:val="5AF76904"/>
    <w:rsid w:val="5B052E7A"/>
    <w:rsid w:val="5B3D7F7E"/>
    <w:rsid w:val="5B7C7777"/>
    <w:rsid w:val="5B9462A0"/>
    <w:rsid w:val="5BEC6771"/>
    <w:rsid w:val="5CA506B9"/>
    <w:rsid w:val="5CFD5FB2"/>
    <w:rsid w:val="5D2B52D8"/>
    <w:rsid w:val="5D5A7C63"/>
    <w:rsid w:val="5E256F6F"/>
    <w:rsid w:val="5E4534E0"/>
    <w:rsid w:val="5F6235A9"/>
    <w:rsid w:val="60A13AAE"/>
    <w:rsid w:val="614125C2"/>
    <w:rsid w:val="624C5C52"/>
    <w:rsid w:val="63952BB5"/>
    <w:rsid w:val="63DF08E4"/>
    <w:rsid w:val="64127E15"/>
    <w:rsid w:val="64C04AFD"/>
    <w:rsid w:val="65D83ED3"/>
    <w:rsid w:val="661A7B69"/>
    <w:rsid w:val="664909C1"/>
    <w:rsid w:val="66C63EB5"/>
    <w:rsid w:val="677772D0"/>
    <w:rsid w:val="679461D3"/>
    <w:rsid w:val="683733A2"/>
    <w:rsid w:val="6858287E"/>
    <w:rsid w:val="69157114"/>
    <w:rsid w:val="691A443E"/>
    <w:rsid w:val="69B53757"/>
    <w:rsid w:val="69C3076A"/>
    <w:rsid w:val="6A80735F"/>
    <w:rsid w:val="6ACC5E47"/>
    <w:rsid w:val="6AD43ED1"/>
    <w:rsid w:val="6ADF6B67"/>
    <w:rsid w:val="6B11024D"/>
    <w:rsid w:val="6B7D5B36"/>
    <w:rsid w:val="6CF120A8"/>
    <w:rsid w:val="6CF26C6A"/>
    <w:rsid w:val="71354DFF"/>
    <w:rsid w:val="714213DD"/>
    <w:rsid w:val="717F272E"/>
    <w:rsid w:val="728027C6"/>
    <w:rsid w:val="72D54D7C"/>
    <w:rsid w:val="737664E0"/>
    <w:rsid w:val="73FE7ACC"/>
    <w:rsid w:val="74053F35"/>
    <w:rsid w:val="74556746"/>
    <w:rsid w:val="74AB7A24"/>
    <w:rsid w:val="74C86791"/>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6563</Words>
  <Characters>7734</Characters>
  <Lines>71</Lines>
  <Paragraphs>20</Paragraphs>
  <TotalTime>9</TotalTime>
  <ScaleCrop>false</ScaleCrop>
  <LinksUpToDate>false</LinksUpToDate>
  <CharactersWithSpaces>8318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204</cp:lastModifiedBy>
  <cp:lastPrinted>2022-02-21T08:08:00Z</cp:lastPrinted>
  <dcterms:modified xsi:type="dcterms:W3CDTF">2024-03-06T01:53:18Z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