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bookmarkStart w:id="0" w:name="_GoBack"/>
      <w:bookmarkEnd w:id="0"/>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eastAsia="zh-CN"/>
        </w:rPr>
      </w:pPr>
      <w:r>
        <w:rPr>
          <w:rFonts w:hint="eastAsia" w:eastAsia="方正小标宋简体"/>
          <w:sz w:val="44"/>
          <w:szCs w:val="44"/>
          <w:u w:val="single"/>
          <w:lang w:eastAsia="zh-CN"/>
        </w:rPr>
        <w:t>通榆县住房和城乡建设局（</w:t>
      </w:r>
      <w:r>
        <w:rPr>
          <w:rFonts w:hint="eastAsia" w:eastAsia="方正小标宋简体"/>
          <w:sz w:val="44"/>
          <w:szCs w:val="44"/>
          <w:u w:val="single"/>
          <w:lang w:val="en-US" w:eastAsia="zh-CN"/>
        </w:rPr>
        <w:t>汇总</w:t>
      </w:r>
      <w:r>
        <w:rPr>
          <w:rFonts w:hint="eastAsia" w:eastAsia="方正小标宋简体"/>
          <w:sz w:val="44"/>
          <w:szCs w:val="44"/>
          <w:u w:val="single"/>
          <w:lang w:eastAsia="zh-CN"/>
        </w:rPr>
        <w:t>）</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eastAsia="楷体_GB2312"/>
        </w:rPr>
      </w:pPr>
      <w:r>
        <w:rPr>
          <w:rFonts w:eastAsia="楷体_GB2312"/>
        </w:rPr>
        <w:t>一、主要职能</w:t>
      </w:r>
    </w:p>
    <w:p>
      <w:pPr>
        <w:ind w:firstLine="600" w:firstLineChars="200"/>
        <w:rPr>
          <w:rFonts w:hint="eastAsia" w:ascii="仿宋_GB2312" w:hAnsi="宋体" w:eastAsia="仿宋_GB2312" w:cs="宋体"/>
          <w:sz w:val="30"/>
          <w:szCs w:val="30"/>
        </w:rPr>
      </w:pPr>
      <w:r>
        <w:rPr>
          <w:rFonts w:hint="eastAsia" w:ascii="仿宋_GB2312" w:eastAsia="仿宋_GB2312"/>
          <w:sz w:val="30"/>
          <w:szCs w:val="30"/>
        </w:rPr>
        <w:t>（一）</w:t>
      </w:r>
      <w:r>
        <w:rPr>
          <w:rFonts w:hint="eastAsia" w:ascii="仿宋_GB2312" w:hAnsi="宋体" w:eastAsia="仿宋_GB2312" w:cs="宋体"/>
          <w:sz w:val="30"/>
          <w:szCs w:val="30"/>
        </w:rPr>
        <w:t>贯彻执行国家、省、市、县关于住房和城乡建设的方针、政策和法律、法规；承担保障全县城镇低收入家庭住房的责任。拟订住房保障相关规章措施并指导实施；拟订廉租住房规划，会同有关部门做好中央、省、市和县政府有关廉租住房资金安排的组织实施工作；编制全县住房保障发展规划和年度计划并监督实施。</w:t>
      </w:r>
    </w:p>
    <w:p>
      <w:pPr>
        <w:ind w:firstLine="600" w:firstLineChars="200"/>
        <w:rPr>
          <w:rFonts w:hint="eastAsia" w:ascii="仿宋_GB2312" w:hAnsi="宋体" w:eastAsia="仿宋_GB2312" w:cs="宋体"/>
          <w:sz w:val="30"/>
          <w:szCs w:val="30"/>
        </w:rPr>
      </w:pPr>
      <w:r>
        <w:rPr>
          <w:rFonts w:hint="eastAsia" w:ascii="仿宋_GB2312" w:eastAsia="仿宋_GB2312"/>
          <w:sz w:val="30"/>
          <w:szCs w:val="30"/>
        </w:rPr>
        <w:t>（二）贯彻执行国家、省、市工程建设、城市建设、村镇建设、建筑业、房地产和市政公用事业的方针、政策、法规以及相关的发展战略，产业政策，中长期规划和年度计划，并组织实施。</w:t>
      </w:r>
    </w:p>
    <w:p>
      <w:pPr>
        <w:ind w:firstLine="600" w:firstLineChars="200"/>
        <w:rPr>
          <w:rFonts w:hint="eastAsia" w:ascii="仿宋_GB2312" w:eastAsia="仿宋_GB2312"/>
          <w:sz w:val="30"/>
          <w:szCs w:val="30"/>
        </w:rPr>
      </w:pPr>
      <w:r>
        <w:rPr>
          <w:rFonts w:hint="eastAsia" w:ascii="仿宋_GB2312" w:eastAsia="仿宋_GB2312"/>
          <w:sz w:val="30"/>
          <w:szCs w:val="30"/>
        </w:rPr>
        <w:t>（三）贯彻执行国家、省、市有关城市住宅建设和住房制度改革，建立住房保障体系，完善廉租住房制度，解决城市低收入家庭住房困难问题，指导住房建设和住房制度改革的职责。</w:t>
      </w:r>
    </w:p>
    <w:p>
      <w:pPr>
        <w:ind w:firstLine="600" w:firstLineChars="200"/>
        <w:rPr>
          <w:rFonts w:hint="eastAsia" w:ascii="仿宋_GB2312" w:eastAsia="仿宋_GB2312"/>
          <w:sz w:val="30"/>
          <w:szCs w:val="30"/>
        </w:rPr>
      </w:pPr>
      <w:r>
        <w:rPr>
          <w:rFonts w:hint="eastAsia" w:ascii="仿宋_GB2312" w:eastAsia="仿宋_GB2312"/>
          <w:sz w:val="30"/>
          <w:szCs w:val="30"/>
        </w:rPr>
        <w:t>（四）贯彻执行国家、省、市工程建设定额和工程造价方面的方针、政策，为省、市提供建筑材料价格的市场信息。</w:t>
      </w:r>
    </w:p>
    <w:p>
      <w:pPr>
        <w:ind w:firstLine="600" w:firstLineChars="200"/>
        <w:rPr>
          <w:rFonts w:hint="eastAsia" w:ascii="仿宋_GB2312" w:eastAsia="仿宋_GB2312"/>
          <w:sz w:val="30"/>
          <w:szCs w:val="30"/>
        </w:rPr>
      </w:pPr>
      <w:r>
        <w:rPr>
          <w:rFonts w:hint="eastAsia" w:ascii="仿宋_GB2312" w:eastAsia="仿宋_GB2312"/>
          <w:sz w:val="30"/>
          <w:szCs w:val="30"/>
        </w:rPr>
        <w:t>贯彻执行建筑业发展规划，产品政策及有关法规。负责各类建筑业资质管理，对建筑业实行行业管理；培育和发展建筑市场；负责建筑工程招标和建筑工程施工合同管理。</w:t>
      </w:r>
    </w:p>
    <w:p>
      <w:pPr>
        <w:ind w:firstLine="600" w:firstLineChars="200"/>
        <w:rPr>
          <w:rFonts w:hint="eastAsia" w:ascii="仿宋_GB2312" w:eastAsia="仿宋_GB2312"/>
          <w:sz w:val="30"/>
          <w:szCs w:val="30"/>
        </w:rPr>
      </w:pPr>
      <w:r>
        <w:rPr>
          <w:rFonts w:hint="eastAsia" w:ascii="仿宋_GB2312" w:eastAsia="仿宋_GB2312"/>
          <w:sz w:val="30"/>
          <w:szCs w:val="30"/>
        </w:rPr>
        <w:t>（五）执行工程建设管理法规制度；管理全县城乡建设监理、工程（产品）质量监督、检测认证和生产安全工作、会同有关部门调查处理重大质量和安全事故。</w:t>
      </w:r>
    </w:p>
    <w:p>
      <w:pPr>
        <w:ind w:firstLine="600" w:firstLineChars="200"/>
        <w:rPr>
          <w:rFonts w:hint="eastAsia" w:ascii="仿宋_GB2312" w:eastAsia="仿宋_GB2312"/>
          <w:sz w:val="30"/>
          <w:szCs w:val="30"/>
        </w:rPr>
      </w:pPr>
      <w:r>
        <w:rPr>
          <w:rFonts w:hint="eastAsia" w:ascii="仿宋_GB2312" w:eastAsia="仿宋_GB2312"/>
          <w:sz w:val="30"/>
          <w:szCs w:val="30"/>
        </w:rPr>
        <w:t>（六）综合管理全县工程建设和城乡建设勘察设计工作。执行工程勘察设计招标的法规制度。彻底实现增总量、出效益整体推进新格局。</w:t>
      </w:r>
    </w:p>
    <w:p>
      <w:pPr>
        <w:ind w:firstLine="600" w:firstLineChars="200"/>
        <w:rPr>
          <w:rFonts w:hint="eastAsia" w:ascii="仿宋_GB2312" w:eastAsia="仿宋_GB2312"/>
          <w:sz w:val="30"/>
          <w:szCs w:val="30"/>
        </w:rPr>
      </w:pPr>
      <w:r>
        <w:rPr>
          <w:rFonts w:hint="eastAsia" w:ascii="仿宋_GB2312" w:eastAsia="仿宋_GB2312"/>
          <w:sz w:val="30"/>
          <w:szCs w:val="30"/>
        </w:rPr>
        <w:t>（七）管理城镇供水、燃气、热力、市政设施、设施公用事业、园林绿化和市容环境卫生工作；管理城镇计划用水；做好审批和保护工作；管理城市综合开发、城市环境综合治理、城建监察和城镇排水工作；负责编制城镇建设投资计划。</w:t>
      </w:r>
    </w:p>
    <w:p>
      <w:pPr>
        <w:ind w:firstLine="600" w:firstLineChars="200"/>
        <w:rPr>
          <w:rFonts w:hint="eastAsia" w:ascii="仿宋_GB2312" w:eastAsia="仿宋_GB2312"/>
          <w:sz w:val="30"/>
          <w:szCs w:val="30"/>
        </w:rPr>
      </w:pPr>
      <w:r>
        <w:rPr>
          <w:rFonts w:hint="eastAsia" w:ascii="仿宋_GB2312" w:eastAsia="仿宋_GB2312"/>
          <w:sz w:val="30"/>
          <w:szCs w:val="30"/>
        </w:rPr>
        <w:t>（八）负责房地产行业管理；按规定管理城镇土地使用权、有偿转让、出租抵押，房地产开发经营、房屋物业管理工作、规范房地产市场；推进城镇住宅建设，具体负责全县房屋拆迁、买卖房屋评估工作。</w:t>
      </w:r>
    </w:p>
    <w:p>
      <w:pPr>
        <w:ind w:firstLine="600" w:firstLineChars="200"/>
        <w:rPr>
          <w:rFonts w:hint="eastAsia" w:ascii="仿宋_GB2312" w:eastAsia="仿宋_GB2312"/>
          <w:sz w:val="30"/>
          <w:szCs w:val="30"/>
        </w:rPr>
      </w:pPr>
      <w:r>
        <w:rPr>
          <w:rFonts w:hint="eastAsia" w:ascii="仿宋_GB2312" w:eastAsia="仿宋_GB2312"/>
          <w:sz w:val="30"/>
          <w:szCs w:val="30"/>
        </w:rPr>
        <w:t>（九）管理全县城市规划、城市勘察和测量工作，负责县政府交办的城市总体规划制订审查报批，会同有关部门对城市雕塑进行审查报批，参与制订国土规划和环境生态城的规划。</w:t>
      </w:r>
    </w:p>
    <w:p>
      <w:pPr>
        <w:ind w:firstLine="600" w:firstLineChars="200"/>
        <w:rPr>
          <w:rFonts w:hint="eastAsia" w:ascii="仿宋_GB2312" w:eastAsia="仿宋_GB2312"/>
          <w:sz w:val="30"/>
          <w:szCs w:val="30"/>
        </w:rPr>
      </w:pPr>
      <w:r>
        <w:rPr>
          <w:rFonts w:hint="eastAsia" w:ascii="仿宋_GB2312" w:eastAsia="仿宋_GB2312"/>
          <w:sz w:val="30"/>
          <w:szCs w:val="30"/>
        </w:rPr>
        <w:t>（十）贯彻执行全县集镇和村屯建设的政策、法规和技术标准；指导村镇规划的编制和实施，指导村镇建设的管理工作。</w:t>
      </w:r>
    </w:p>
    <w:p>
      <w:pPr>
        <w:ind w:firstLine="600" w:firstLineChars="200"/>
        <w:rPr>
          <w:rFonts w:hint="eastAsia" w:ascii="仿宋_GB2312" w:eastAsia="仿宋_GB2312"/>
          <w:sz w:val="30"/>
          <w:szCs w:val="30"/>
        </w:rPr>
      </w:pPr>
      <w:r>
        <w:rPr>
          <w:rFonts w:hint="eastAsia" w:ascii="仿宋_GB2312" w:eastAsia="仿宋_GB2312"/>
          <w:sz w:val="30"/>
          <w:szCs w:val="30"/>
        </w:rPr>
        <w:t>（十一）</w:t>
      </w:r>
      <w:r>
        <w:rPr>
          <w:rFonts w:hint="eastAsia" w:ascii="仿宋_GB2312" w:hAnsi="宋体" w:eastAsia="仿宋_GB2312" w:cs="宋体"/>
          <w:sz w:val="30"/>
          <w:szCs w:val="30"/>
        </w:rPr>
        <w:t>监督实施各类房屋建筑及附属设施和市政设施工程的抗震设防工作；</w:t>
      </w:r>
      <w:r>
        <w:rPr>
          <w:rFonts w:hint="eastAsia" w:ascii="仿宋_GB2312" w:eastAsia="仿宋_GB2312"/>
          <w:sz w:val="30"/>
          <w:szCs w:val="30"/>
        </w:rPr>
        <w:t>做好全县城镇建设及工业与民用建筑的抗震设防和城市建设档案管理工作。</w:t>
      </w:r>
    </w:p>
    <w:p>
      <w:pPr>
        <w:ind w:firstLine="600" w:firstLineChars="200"/>
        <w:rPr>
          <w:rFonts w:hint="eastAsia" w:ascii="仿宋_GB2312" w:eastAsia="仿宋_GB2312"/>
          <w:sz w:val="30"/>
          <w:szCs w:val="30"/>
        </w:rPr>
      </w:pPr>
      <w:r>
        <w:rPr>
          <w:rFonts w:hint="eastAsia" w:ascii="仿宋_GB2312" w:eastAsia="仿宋_GB2312"/>
          <w:sz w:val="30"/>
          <w:szCs w:val="30"/>
        </w:rPr>
        <w:t>（十二）管理局所属企、事业单位的干部、人事、劳资工作、社会保险、劳动标准及专业技术职能工作，负责职工队伍的培养和继续教育工作。</w:t>
      </w:r>
    </w:p>
    <w:p>
      <w:pPr>
        <w:ind w:firstLine="600" w:firstLineChars="200"/>
        <w:rPr>
          <w:rFonts w:hint="eastAsia" w:ascii="仿宋_GB2312" w:eastAsia="仿宋_GB2312"/>
          <w:sz w:val="30"/>
          <w:szCs w:val="30"/>
        </w:rPr>
      </w:pPr>
      <w:r>
        <w:rPr>
          <w:rFonts w:hint="eastAsia" w:ascii="仿宋_GB2312" w:eastAsia="仿宋_GB2312"/>
          <w:sz w:val="30"/>
          <w:szCs w:val="30"/>
        </w:rPr>
        <w:t>（十三）承办县政府交办的其它工作。</w:t>
      </w:r>
    </w:p>
    <w:p>
      <w:pPr>
        <w:ind w:firstLine="64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Cs w:val="32"/>
        </w:rPr>
        <w:t>（按照部门“三定”方案表述）</w:t>
      </w: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通榆县住房和城乡建设局</w:t>
      </w:r>
      <w:r>
        <w:rPr>
          <w:rFonts w:hint="eastAsia" w:ascii="仿宋_GB2312" w:hAnsi="仿宋_GB2312" w:eastAsia="仿宋_GB2312" w:cs="仿宋_GB2312"/>
        </w:rPr>
        <w:t>内设</w:t>
      </w:r>
      <w:r>
        <w:rPr>
          <w:rFonts w:hint="eastAsia" w:ascii="仿宋_GB2312" w:hAnsi="仿宋_GB2312" w:eastAsia="仿宋_GB2312" w:cs="仿宋_GB2312"/>
          <w:u w:val="single"/>
          <w:lang w:val="en-US" w:eastAsia="zh-CN"/>
        </w:rPr>
        <w:t>6</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人秘科、财务管理和人防综合科、住房和城市建设科、工程建设管理和法制科、村镇建设科、建设工程消防科</w:t>
      </w:r>
      <w:r>
        <w:rPr>
          <w:rFonts w:hint="eastAsia" w:ascii="仿宋_GB2312" w:hAnsi="仿宋_GB2312" w:eastAsia="仿宋_GB2312" w:cs="仿宋_GB2312"/>
        </w:rPr>
        <w:t>。</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lang w:val="en-US" w:eastAsia="zh-CN"/>
        </w:rPr>
        <w:t>3</w:t>
      </w:r>
      <w:r>
        <w:rPr>
          <w:rFonts w:hint="eastAsia" w:ascii="仿宋_GB2312" w:hAnsi="仿宋_GB2312" w:eastAsia="仿宋_GB2312" w:cs="仿宋_GB2312"/>
        </w:rPr>
        <w:t>家预算单位，分别为</w:t>
      </w:r>
      <w:r>
        <w:rPr>
          <w:rFonts w:hint="eastAsia" w:ascii="仿宋_GB2312" w:hAnsi="仿宋_GB2312" w:eastAsia="仿宋_GB2312" w:cs="仿宋_GB2312"/>
          <w:lang w:eastAsia="zh-CN"/>
        </w:rPr>
        <w:t>通榆县房屋征收经办中心、通榆县房屋产权交易管理中心、通榆县建筑工程质量监督站</w:t>
      </w:r>
      <w:r>
        <w:rPr>
          <w:rFonts w:hint="eastAsia" w:ascii="仿宋_GB2312" w:hAnsi="仿宋_GB2312" w:eastAsia="仿宋_GB2312" w:cs="仿宋_GB2312"/>
        </w:rPr>
        <w:t>。</w:t>
      </w:r>
    </w:p>
    <w:p>
      <w:pPr>
        <w:pStyle w:val="51"/>
        <w:ind w:firstLine="640" w:firstLineChars="200"/>
        <w:rPr>
          <w:rFonts w:hint="eastAsia" w:ascii="仿宋_GB2312" w:hAnsi="仿宋_GB2312" w:eastAsia="仿宋_GB2312" w:cs="仿宋_GB2312"/>
        </w:rPr>
      </w:pP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2216.07</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2216.07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2216.07</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2216.07</w:t>
            </w:r>
          </w:p>
        </w:tc>
        <w:tc>
          <w:tcPr>
            <w:tcW w:w="1200" w:type="dxa"/>
            <w:tcBorders>
              <w:top w:val="nil"/>
              <w:left w:val="single" w:color="auto" w:sz="4" w:space="0"/>
              <w:bottom w:val="single" w:color="auto" w:sz="4" w:space="0"/>
              <w:right w:val="nil"/>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19.06</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1241.08</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19.06</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185.33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108.37</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60.06</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仿宋_GB2312"/>
                <w:b w:val="0"/>
                <w:bCs/>
                <w:sz w:val="20"/>
                <w:lang w:eastAsia="zh-CN"/>
              </w:rPr>
            </w:pPr>
            <w:r>
              <w:rPr>
                <w:rFonts w:hint="eastAsia" w:ascii="仿宋_GB2312"/>
                <w:b w:val="0"/>
                <w:bCs/>
                <w:color w:val="000000"/>
                <w:kern w:val="0"/>
                <w:sz w:val="20"/>
              </w:rPr>
              <w:t>十一、</w:t>
            </w:r>
            <w:r>
              <w:rPr>
                <w:rFonts w:hint="eastAsia" w:ascii="仿宋_GB2312"/>
                <w:b w:val="0"/>
                <w:bCs/>
                <w:color w:val="000000"/>
                <w:kern w:val="0"/>
                <w:sz w:val="20"/>
                <w:lang w:eastAsia="zh-CN"/>
              </w:rPr>
              <w:t>节能环保支出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default" w:eastAsia="宋体"/>
                <w:sz w:val="20"/>
                <w:lang w:val="en-US" w:eastAsia="zh-CN"/>
              </w:rPr>
            </w:pPr>
            <w:r>
              <w:rPr>
                <w:rFonts w:hint="eastAsia" w:eastAsia="宋体"/>
                <w:sz w:val="20"/>
                <w:lang w:val="en-US" w:eastAsia="zh-CN"/>
              </w:rPr>
              <w:t>621.23</w:t>
            </w: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2216.07</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2216.07</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19.06</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kern w:val="0"/>
                <w:sz w:val="20"/>
                <w:lang w:val="en-US" w:eastAsia="zh-CN"/>
              </w:rPr>
              <w:t>2216.07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2216.07</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19.06</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2216.07</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2216.07</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19.06</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2216.07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2216.07</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19.06</w:t>
            </w:r>
          </w:p>
        </w:tc>
      </w:tr>
    </w:tbl>
    <w:p>
      <w:pPr>
        <w:ind w:firstLine="640" w:firstLineChars="200"/>
        <w:rPr>
          <w:rFonts w:eastAsia="楷体_GB2312"/>
          <w:strike/>
        </w:rPr>
      </w:pPr>
    </w:p>
    <w:p>
      <w:pPr>
        <w:ind w:firstLine="645"/>
        <w:rPr>
          <w:rFonts w:hAnsi="楷体" w:eastAsia="楷体"/>
        </w:rPr>
      </w:pP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通榆县住房和城乡建设局</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2235.13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2216.07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2216.07</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19.06</w:t>
            </w: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2235.13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2216.07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2216.07</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19.06</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195"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lang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2235.13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1510.6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724.53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185.33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185.33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185.33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185.33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144.49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144.49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机关事业单位职业年金缴费住处</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35.25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32.25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18"/>
                      <w:szCs w:val="18"/>
                      <w:lang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华文细黑" w:cs="Times New Roman"/>
                      <w:color w:val="000000"/>
                      <w:kern w:val="0"/>
                      <w:sz w:val="20"/>
                      <w:lang w:val="en-US" w:eastAsia="zh-CN" w:bidi="ar-SA"/>
                    </w:rPr>
                  </w:pPr>
                  <w:r>
                    <w:rPr>
                      <w:rFonts w:hint="eastAsia" w:eastAsia="宋体"/>
                      <w:color w:val="000000"/>
                      <w:kern w:val="0"/>
                      <w:sz w:val="20"/>
                      <w:lang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51.27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51.27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s="Times New Roman"/>
                      <w:color w:val="000000"/>
                      <w:kern w:val="0"/>
                      <w:sz w:val="20"/>
                      <w:lang w:val="en-US" w:eastAsia="zh-CN" w:bidi="ar-SA"/>
                    </w:rPr>
                    <w:t>其他</w:t>
                  </w:r>
                  <w:r>
                    <w:rPr>
                      <w:rFonts w:hint="eastAsia" w:eastAsia="宋体"/>
                      <w:color w:val="000000"/>
                      <w:kern w:val="0"/>
                      <w:sz w:val="20"/>
                      <w:lang w:eastAsia="zh-CN"/>
                    </w:rPr>
                    <w:t>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华文细黑" w:cs="Times New Roman"/>
                      <w:color w:val="000000"/>
                      <w:kern w:val="0"/>
                      <w:sz w:val="20"/>
                      <w:lang w:val="en-US" w:eastAsia="zh-CN" w:bidi="ar-SA"/>
                    </w:rPr>
                  </w:pPr>
                  <w:r>
                    <w:rPr>
                      <w:rFonts w:hint="eastAsia" w:eastAsia="宋体"/>
                      <w:color w:val="000000"/>
                      <w:kern w:val="0"/>
                      <w:sz w:val="20"/>
                      <w:lang w:eastAsia="zh-CN"/>
                    </w:rPr>
                    <w:t>节能环保支出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621.23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621.23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华文细黑" w:cs="Times New Roman"/>
                      <w:color w:val="000000"/>
                      <w:kern w:val="0"/>
                      <w:sz w:val="20"/>
                      <w:lang w:val="en-US" w:eastAsia="zh-CN" w:bidi="ar-SA"/>
                    </w:rPr>
                  </w:pPr>
                  <w:r>
                    <w:rPr>
                      <w:rFonts w:hint="eastAsia" w:eastAsia="宋体"/>
                      <w:color w:val="000000"/>
                      <w:kern w:val="0"/>
                      <w:sz w:val="20"/>
                      <w:lang w:eastAsia="zh-CN"/>
                    </w:rPr>
                    <w:t>污染防治</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621.23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621.23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华文细黑" w:cs="Times New Roman"/>
                      <w:color w:val="000000"/>
                      <w:kern w:val="0"/>
                      <w:sz w:val="20"/>
                      <w:lang w:val="en-US" w:eastAsia="zh-CN" w:bidi="ar-SA"/>
                    </w:rPr>
                  </w:pPr>
                  <w:r>
                    <w:rPr>
                      <w:rFonts w:hint="eastAsia" w:eastAsia="宋体"/>
                      <w:color w:val="000000"/>
                      <w:kern w:val="0"/>
                      <w:sz w:val="20"/>
                      <w:lang w:eastAsia="zh-CN"/>
                    </w:rPr>
                    <w:t>水体</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621.23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621.23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华文细黑" w:cs="Times New Roman"/>
                      <w:color w:val="000000"/>
                      <w:kern w:val="0"/>
                      <w:sz w:val="20"/>
                      <w:lang w:val="en-US" w:eastAsia="zh-CN" w:bidi="ar-SA"/>
                    </w:rPr>
                  </w:pPr>
                  <w:r>
                    <w:rPr>
                      <w:rFonts w:hint="eastAsia" w:eastAsia="宋体"/>
                      <w:color w:val="000000"/>
                      <w:kern w:val="0"/>
                      <w:sz w:val="20"/>
                      <w:lang w:eastAsia="zh-CN"/>
                    </w:rPr>
                    <w:t>城乡社区支出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1260.14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1156.84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103.3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华文细黑" w:cs="Times New Roman"/>
                      <w:color w:val="000000"/>
                      <w:kern w:val="0"/>
                      <w:sz w:val="20"/>
                      <w:lang w:val="en-US" w:eastAsia="zh-CN" w:bidi="ar-SA"/>
                    </w:rPr>
                  </w:pPr>
                  <w:r>
                    <w:rPr>
                      <w:rFonts w:hint="eastAsia" w:eastAsia="宋体"/>
                      <w:color w:val="000000"/>
                      <w:kern w:val="0"/>
                      <w:sz w:val="20"/>
                      <w:lang w:eastAsia="zh-CN"/>
                    </w:rPr>
                    <w:t>城乡社区管理事务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1241.08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1156.84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84.24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华文细黑" w:cs="Times New Roman"/>
                      <w:color w:val="000000"/>
                      <w:kern w:val="0"/>
                      <w:sz w:val="20"/>
                      <w:lang w:val="en-US" w:eastAsia="zh-CN" w:bidi="ar-SA"/>
                    </w:rPr>
                  </w:pPr>
                  <w:r>
                    <w:rPr>
                      <w:rFonts w:hint="eastAsia" w:eastAsia="宋体"/>
                      <w:color w:val="000000"/>
                      <w:kern w:val="0"/>
                      <w:sz w:val="20"/>
                      <w:lang w:eastAsia="zh-CN"/>
                    </w:rPr>
                    <w:t>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264.53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264.53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其他城乡社区管理事务支出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870.66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786.42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84.24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城乡社区公共设施</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其他城乡社区公共设施支出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19.06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华文细黑" w:cs="Times New Roman"/>
                      <w:color w:val="000000"/>
                      <w:kern w:val="0"/>
                      <w:sz w:val="20"/>
                      <w:lang w:val="en-US" w:eastAsia="zh-CN" w:bidi="ar-SA"/>
                    </w:rPr>
                  </w:pPr>
                  <w:r>
                    <w:rPr>
                      <w:rFonts w:hint="eastAsia" w:eastAsia="宋体"/>
                      <w:color w:val="000000"/>
                      <w:kern w:val="0"/>
                      <w:sz w:val="20"/>
                      <w:lang w:eastAsia="zh-CN"/>
                    </w:rPr>
                    <w:t>建设市场管理与监督</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105.89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105.89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华文细黑" w:cs="Times New Roman"/>
                      <w:color w:val="000000"/>
                      <w:kern w:val="0"/>
                      <w:sz w:val="20"/>
                      <w:lang w:val="en-US" w:eastAsia="zh-CN" w:bidi="ar-SA"/>
                    </w:rPr>
                  </w:pPr>
                  <w:r>
                    <w:rPr>
                      <w:rFonts w:hint="eastAsia" w:eastAsia="宋体"/>
                      <w:color w:val="000000"/>
                      <w:kern w:val="0"/>
                      <w:sz w:val="20"/>
                      <w:lang w:eastAsia="zh-CN"/>
                    </w:rPr>
                    <w:t>建设市场管理与监督</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105.89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105.89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eastAsia="华文细黑"/>
                      <w:color w:val="000000"/>
                      <w:kern w:val="0"/>
                      <w:sz w:val="20"/>
                      <w:lang w:eastAsia="zh-CN"/>
                    </w:rPr>
                  </w:pPr>
                  <w:r>
                    <w:rPr>
                      <w:rFonts w:hint="eastAsia" w:ascii="Arial" w:hAnsi="Arial" w:eastAsia="宋体" w:cs="Arial"/>
                      <w:i w:val="0"/>
                      <w:iCs w:val="0"/>
                      <w:color w:val="000000"/>
                      <w:kern w:val="0"/>
                      <w:sz w:val="20"/>
                      <w:szCs w:val="20"/>
                      <w:u w:val="none"/>
                      <w:lang w:val="en-US" w:eastAsia="zh-CN" w:bidi="ar"/>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p>
      <w:pPr>
        <w:rPr>
          <w:rFonts w:hAnsi="楷体" w:eastAsia="楷体"/>
          <w:sz w:val="24"/>
          <w:szCs w:val="24"/>
        </w:rPr>
      </w:pPr>
    </w:p>
    <w:p>
      <w:pPr>
        <w:rPr>
          <w:rFonts w:hAnsi="楷体" w:eastAsia="楷体"/>
          <w:sz w:val="24"/>
          <w:szCs w:val="24"/>
        </w:rPr>
      </w:pPr>
    </w:p>
    <w:p>
      <w:pPr>
        <w:rPr>
          <w:rFonts w:hAnsi="楷体" w:eastAsia="楷体"/>
          <w:sz w:val="24"/>
          <w:szCs w:val="24"/>
        </w:rPr>
      </w:pPr>
    </w:p>
    <w:p>
      <w:pPr>
        <w:rPr>
          <w:rFonts w:hAnsi="楷体" w:eastAsia="楷体"/>
          <w:sz w:val="24"/>
          <w:szCs w:val="24"/>
        </w:rPr>
      </w:pPr>
    </w:p>
    <w:p>
      <w:pPr>
        <w:rPr>
          <w:rFonts w:hAnsi="楷体" w:eastAsia="楷体"/>
          <w:sz w:val="24"/>
          <w:szCs w:val="24"/>
        </w:rPr>
      </w:pPr>
    </w:p>
    <w:p>
      <w:pPr>
        <w:rPr>
          <w:rFonts w:hAnsi="楷体" w:eastAsia="楷体"/>
          <w:sz w:val="24"/>
          <w:szCs w:val="24"/>
        </w:rPr>
      </w:pPr>
    </w:p>
    <w:p>
      <w:pPr>
        <w:rPr>
          <w:rFonts w:hAnsi="楷体" w:eastAsia="楷体"/>
          <w:sz w:val="24"/>
          <w:szCs w:val="24"/>
        </w:rPr>
      </w:pPr>
    </w:p>
    <w:p>
      <w:pPr>
        <w:rPr>
          <w:rFonts w:hAnsi="楷体" w:eastAsia="楷体"/>
          <w:sz w:val="24"/>
          <w:szCs w:val="24"/>
        </w:rPr>
      </w:pPr>
    </w:p>
    <w:p>
      <w:pPr>
        <w:rPr>
          <w:rFonts w:hAnsi="楷体" w:eastAsia="楷体"/>
          <w:sz w:val="24"/>
          <w:szCs w:val="24"/>
        </w:rPr>
      </w:pPr>
    </w:p>
    <w:p>
      <w:pPr>
        <w:rPr>
          <w:rFonts w:hAnsi="楷体" w:eastAsia="楷体"/>
          <w:sz w:val="24"/>
          <w:szCs w:val="24"/>
        </w:rPr>
      </w:pPr>
    </w:p>
    <w:p>
      <w:pPr>
        <w:rPr>
          <w:rFonts w:hAnsi="楷体" w:eastAsia="楷体"/>
          <w:sz w:val="24"/>
          <w:szCs w:val="24"/>
        </w:rPr>
      </w:pPr>
    </w:p>
    <w:p>
      <w:pPr>
        <w:rPr>
          <w:rFonts w:hAnsi="楷体" w:eastAsia="楷体"/>
          <w:sz w:val="24"/>
          <w:szCs w:val="24"/>
        </w:rPr>
      </w:pPr>
    </w:p>
    <w:p>
      <w:pPr>
        <w:rPr>
          <w:rFonts w:hAnsi="楷体" w:eastAsia="楷体"/>
          <w:sz w:val="24"/>
          <w:szCs w:val="24"/>
        </w:rPr>
      </w:pPr>
    </w:p>
    <w:p>
      <w:pPr>
        <w:rPr>
          <w:rFonts w:hAnsi="楷体" w:eastAsia="楷体"/>
          <w:sz w:val="24"/>
          <w:szCs w:val="24"/>
        </w:rPr>
      </w:pPr>
    </w:p>
    <w:p>
      <w:pPr>
        <w:rPr>
          <w:rFonts w:hAnsi="楷体" w:eastAsia="楷体"/>
          <w:sz w:val="24"/>
          <w:szCs w:val="24"/>
        </w:rPr>
      </w:pPr>
    </w:p>
    <w:p>
      <w:pPr>
        <w:rPr>
          <w:rFonts w:hAnsi="楷体" w:eastAsia="楷体"/>
          <w:sz w:val="24"/>
          <w:szCs w:val="24"/>
        </w:rPr>
      </w:pPr>
    </w:p>
    <w:p>
      <w:pPr>
        <w:rPr>
          <w:rFonts w:hAnsi="楷体" w:eastAsia="楷体"/>
          <w:sz w:val="24"/>
          <w:szCs w:val="24"/>
        </w:rPr>
      </w:pPr>
    </w:p>
    <w:p>
      <w:pPr>
        <w:rPr>
          <w:rFonts w:hAnsi="楷体" w:eastAsia="楷体"/>
          <w:sz w:val="24"/>
          <w:szCs w:val="24"/>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2216.07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2216.07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19.06</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192.33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192.23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60.06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60.06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621.23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621.23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1260.14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1241.08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19.06</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108.37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108.37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2216.07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2216.07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19.6</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2235.13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2216.07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19.06</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2216.07</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2216.07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19.06</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2235.13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2216.07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19.06</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tbl>
            <w:tblPr>
              <w:tblStyle w:val="9"/>
              <w:tblpPr w:leftFromText="180" w:rightFromText="180" w:vertAnchor="text" w:horzAnchor="page" w:tblpX="798" w:tblpY="226"/>
              <w:tblOverlap w:val="never"/>
              <w:tblW w:w="0" w:type="auto"/>
              <w:tblInd w:w="0"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ascii="宋体" w:hAnsi="宋体" w:eastAsia="宋体" w:cs="宋体"/>
                      <w:i w:val="0"/>
                      <w:iCs w:val="0"/>
                      <w:color w:val="000000"/>
                      <w:kern w:val="0"/>
                      <w:sz w:val="22"/>
                      <w:szCs w:val="22"/>
                      <w:u w:val="none"/>
                      <w:lang w:val="en-US" w:eastAsia="zh-CN" w:bidi="ar"/>
                    </w:rPr>
                    <w:t>185.33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185.33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185.33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ascii="宋体" w:hAnsi="宋体" w:eastAsia="宋体" w:cs="宋体"/>
                      <w:i w:val="0"/>
                      <w:iCs w:val="0"/>
                      <w:color w:val="000000"/>
                      <w:kern w:val="0"/>
                      <w:sz w:val="22"/>
                      <w:szCs w:val="22"/>
                      <w:u w:val="none"/>
                      <w:lang w:val="en-US" w:eastAsia="zh-CN" w:bidi="ar"/>
                    </w:rPr>
                    <w:t>185.33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185.33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185.33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宋体" w:hAnsi="宋体" w:eastAsia="宋体" w:cs="宋体"/>
                      <w:i w:val="0"/>
                      <w:iCs w:val="0"/>
                      <w:color w:val="000000"/>
                      <w:kern w:val="0"/>
                      <w:sz w:val="22"/>
                      <w:szCs w:val="22"/>
                      <w:u w:val="none"/>
                      <w:lang w:val="en-US" w:eastAsia="zh-CN" w:bidi="ar"/>
                    </w:rPr>
                    <w:t>144.5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宋体" w:hAnsi="宋体" w:eastAsia="宋体" w:cs="宋体"/>
                      <w:i w:val="0"/>
                      <w:iCs w:val="0"/>
                      <w:color w:val="000000"/>
                      <w:kern w:val="0"/>
                      <w:sz w:val="22"/>
                      <w:szCs w:val="22"/>
                      <w:u w:val="none"/>
                      <w:lang w:val="en-US" w:eastAsia="zh-CN" w:bidi="ar"/>
                    </w:rPr>
                    <w:t>35.25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35.25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35.25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both"/>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宋体" w:hAnsi="宋体" w:eastAsia="宋体" w:cs="宋体"/>
                      <w:i w:val="0"/>
                      <w:iCs w:val="0"/>
                      <w:color w:val="000000"/>
                      <w:kern w:val="0"/>
                      <w:sz w:val="22"/>
                      <w:szCs w:val="22"/>
                      <w:u w:val="none"/>
                      <w:lang w:val="en-US" w:eastAsia="zh-CN" w:bidi="ar"/>
                    </w:rPr>
                    <w:t>5.59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宋体" w:hAnsi="宋体" w:eastAsia="宋体" w:cs="宋体"/>
                      <w:i w:val="0"/>
                      <w:iCs w:val="0"/>
                      <w:color w:val="000000"/>
                      <w:kern w:val="0"/>
                      <w:sz w:val="22"/>
                      <w:szCs w:val="22"/>
                      <w:u w:val="none"/>
                      <w:lang w:val="en-US" w:eastAsia="zh-CN" w:bidi="ar"/>
                    </w:rPr>
                    <w:t>60.06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宋体" w:hAnsi="宋体" w:eastAsia="宋体" w:cs="宋体"/>
                      <w:i w:val="0"/>
                      <w:iCs w:val="0"/>
                      <w:color w:val="000000"/>
                      <w:kern w:val="0"/>
                      <w:sz w:val="22"/>
                      <w:szCs w:val="22"/>
                      <w:u w:val="none"/>
                      <w:lang w:val="en-US" w:eastAsia="zh-CN" w:bidi="ar"/>
                    </w:rPr>
                    <w:t>60.06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宋体" w:hAnsi="宋体" w:eastAsia="宋体" w:cs="宋体"/>
                      <w:i w:val="0"/>
                      <w:iCs w:val="0"/>
                      <w:color w:val="000000"/>
                      <w:kern w:val="0"/>
                      <w:sz w:val="22"/>
                      <w:szCs w:val="22"/>
                      <w:u w:val="none"/>
                      <w:lang w:val="en-US" w:eastAsia="zh-CN" w:bidi="ar"/>
                    </w:rPr>
                    <w:t>7.38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宋体" w:hAnsi="宋体" w:eastAsia="宋体" w:cs="宋体"/>
                      <w:i w:val="0"/>
                      <w:iCs w:val="0"/>
                      <w:color w:val="000000"/>
                      <w:kern w:val="0"/>
                      <w:sz w:val="22"/>
                      <w:szCs w:val="22"/>
                      <w:u w:val="none"/>
                      <w:lang w:val="en-US" w:eastAsia="zh-CN" w:bidi="ar"/>
                    </w:rPr>
                    <w:t>51.08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51.08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51.08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宋体" w:hAnsi="宋体" w:eastAsia="宋体" w:cs="宋体"/>
                      <w:i w:val="0"/>
                      <w:iCs w:val="0"/>
                      <w:color w:val="000000"/>
                      <w:kern w:val="0"/>
                      <w:sz w:val="22"/>
                      <w:szCs w:val="22"/>
                      <w:u w:val="none"/>
                      <w:lang w:val="en-US" w:eastAsia="zh-CN" w:bidi="ar"/>
                    </w:rPr>
                    <w:t>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华文细黑"/>
                      <w:color w:val="000000"/>
                      <w:kern w:val="0"/>
                      <w:sz w:val="20"/>
                    </w:rPr>
                  </w:pPr>
                  <w:r>
                    <w:rPr>
                      <w:rFonts w:hint="default" w:ascii="华文细黑" w:hAnsi="华文细黑" w:eastAsia="华文细黑" w:cs="华文细黑"/>
                      <w:i w:val="0"/>
                      <w:iCs w:val="0"/>
                      <w:color w:val="000000"/>
                      <w:kern w:val="0"/>
                      <w:sz w:val="20"/>
                      <w:szCs w:val="20"/>
                      <w:u w:val="none"/>
                      <w:lang w:val="en-US" w:eastAsia="zh-CN" w:bidi="ar"/>
                    </w:rPr>
                    <w:t>节能环保支出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宋体" w:hAnsi="宋体" w:eastAsia="宋体" w:cs="宋体"/>
                      <w:i w:val="0"/>
                      <w:iCs w:val="0"/>
                      <w:color w:val="000000"/>
                      <w:kern w:val="0"/>
                      <w:sz w:val="22"/>
                      <w:szCs w:val="22"/>
                      <w:u w:val="none"/>
                      <w:lang w:val="en-US" w:eastAsia="zh-CN" w:bidi="ar"/>
                    </w:rPr>
                    <w:t>621.23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621.23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华文细黑"/>
                      <w:color w:val="000000"/>
                      <w:kern w:val="0"/>
                      <w:sz w:val="20"/>
                    </w:rPr>
                  </w:pPr>
                  <w:r>
                    <w:rPr>
                      <w:rFonts w:hint="default" w:ascii="华文细黑" w:hAnsi="华文细黑" w:eastAsia="华文细黑" w:cs="华文细黑"/>
                      <w:i w:val="0"/>
                      <w:iCs w:val="0"/>
                      <w:color w:val="000000"/>
                      <w:kern w:val="0"/>
                      <w:sz w:val="20"/>
                      <w:szCs w:val="20"/>
                      <w:u w:val="none"/>
                      <w:lang w:val="en-US" w:eastAsia="zh-CN" w:bidi="ar"/>
                    </w:rPr>
                    <w:t>污染防治</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宋体" w:hAnsi="宋体" w:eastAsia="宋体" w:cs="宋体"/>
                      <w:i w:val="0"/>
                      <w:iCs w:val="0"/>
                      <w:color w:val="000000"/>
                      <w:kern w:val="0"/>
                      <w:sz w:val="22"/>
                      <w:szCs w:val="22"/>
                      <w:u w:val="none"/>
                      <w:lang w:val="en-US" w:eastAsia="zh-CN" w:bidi="ar"/>
                    </w:rPr>
                    <w:t>621.23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621.23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华文细黑"/>
                      <w:color w:val="000000"/>
                      <w:kern w:val="0"/>
                      <w:sz w:val="20"/>
                    </w:rPr>
                  </w:pPr>
                  <w:r>
                    <w:rPr>
                      <w:rFonts w:hint="default" w:ascii="华文细黑" w:hAnsi="华文细黑" w:eastAsia="华文细黑" w:cs="华文细黑"/>
                      <w:i w:val="0"/>
                      <w:iCs w:val="0"/>
                      <w:color w:val="000000"/>
                      <w:kern w:val="0"/>
                      <w:sz w:val="20"/>
                      <w:szCs w:val="20"/>
                      <w:u w:val="none"/>
                      <w:lang w:val="en-US" w:eastAsia="zh-CN" w:bidi="ar"/>
                    </w:rPr>
                    <w:t>水体</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宋体" w:hAnsi="宋体" w:eastAsia="宋体" w:cs="宋体"/>
                      <w:i w:val="0"/>
                      <w:iCs w:val="0"/>
                      <w:color w:val="000000"/>
                      <w:kern w:val="0"/>
                      <w:sz w:val="22"/>
                      <w:szCs w:val="22"/>
                      <w:u w:val="none"/>
                      <w:lang w:val="en-US" w:eastAsia="zh-CN" w:bidi="ar"/>
                    </w:rPr>
                    <w:t>621.23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621.23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华文细黑"/>
                      <w:color w:val="000000"/>
                      <w:kern w:val="0"/>
                      <w:sz w:val="20"/>
                    </w:rPr>
                  </w:pPr>
                  <w:r>
                    <w:rPr>
                      <w:rFonts w:hint="default" w:ascii="华文细黑" w:hAnsi="华文细黑" w:eastAsia="华文细黑" w:cs="华文细黑"/>
                      <w:i w:val="0"/>
                      <w:iCs w:val="0"/>
                      <w:color w:val="000000"/>
                      <w:kern w:val="0"/>
                      <w:sz w:val="20"/>
                      <w:szCs w:val="20"/>
                      <w:u w:val="none"/>
                      <w:lang w:val="en-US" w:eastAsia="zh-CN" w:bidi="ar"/>
                    </w:rPr>
                    <w:t>城乡社区支出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宋体" w:hAnsi="宋体" w:eastAsia="宋体" w:cs="宋体"/>
                      <w:i w:val="0"/>
                      <w:iCs w:val="0"/>
                      <w:color w:val="000000"/>
                      <w:kern w:val="0"/>
                      <w:sz w:val="22"/>
                      <w:szCs w:val="22"/>
                      <w:u w:val="none"/>
                      <w:lang w:val="en-US" w:eastAsia="zh-CN" w:bidi="ar"/>
                    </w:rPr>
                    <w:t>1260.14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1156.84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1085.56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71.28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103.3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华文细黑"/>
                      <w:color w:val="000000"/>
                      <w:kern w:val="0"/>
                      <w:sz w:val="20"/>
                    </w:rPr>
                  </w:pPr>
                  <w:r>
                    <w:rPr>
                      <w:rFonts w:hint="default" w:ascii="华文细黑" w:hAnsi="华文细黑" w:eastAsia="华文细黑" w:cs="华文细黑"/>
                      <w:i w:val="0"/>
                      <w:iCs w:val="0"/>
                      <w:color w:val="000000"/>
                      <w:kern w:val="0"/>
                      <w:sz w:val="20"/>
                      <w:szCs w:val="20"/>
                      <w:u w:val="none"/>
                      <w:lang w:val="en-US" w:eastAsia="zh-CN" w:bidi="ar"/>
                    </w:rPr>
                    <w:t>城乡社区管理事务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宋体" w:hAnsi="宋体" w:eastAsia="宋体" w:cs="宋体"/>
                      <w:i w:val="0"/>
                      <w:iCs w:val="0"/>
                      <w:color w:val="000000"/>
                      <w:kern w:val="0"/>
                      <w:sz w:val="22"/>
                      <w:szCs w:val="22"/>
                      <w:u w:val="none"/>
                      <w:lang w:val="en-US" w:eastAsia="zh-CN" w:bidi="ar"/>
                    </w:rPr>
                    <w:t>1135.19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1050.95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986.39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64.56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84.24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华文细黑"/>
                      <w:color w:val="000000"/>
                      <w:kern w:val="0"/>
                      <w:sz w:val="20"/>
                    </w:rPr>
                  </w:pPr>
                  <w:r>
                    <w:rPr>
                      <w:rFonts w:hint="default" w:ascii="华文细黑" w:hAnsi="华文细黑" w:eastAsia="华文细黑" w:cs="华文细黑"/>
                      <w:i w:val="0"/>
                      <w:iCs w:val="0"/>
                      <w:color w:val="000000"/>
                      <w:kern w:val="0"/>
                      <w:sz w:val="20"/>
                      <w:szCs w:val="20"/>
                      <w:u w:val="none"/>
                      <w:lang w:val="en-US" w:eastAsia="zh-CN" w:bidi="ar"/>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宋体" w:hAnsi="宋体" w:eastAsia="宋体" w:cs="宋体"/>
                      <w:i w:val="0"/>
                      <w:iCs w:val="0"/>
                      <w:color w:val="000000"/>
                      <w:kern w:val="0"/>
                      <w:sz w:val="22"/>
                      <w:szCs w:val="22"/>
                      <w:u w:val="none"/>
                      <w:lang w:val="en-US" w:eastAsia="zh-CN" w:bidi="ar"/>
                    </w:rPr>
                    <w:t>264.53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264.53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248.93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15.6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both"/>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其他城乡社区管理事务支出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宋体" w:hAnsi="宋体" w:eastAsia="宋体" w:cs="宋体"/>
                      <w:i w:val="0"/>
                      <w:iCs w:val="0"/>
                      <w:color w:val="000000"/>
                      <w:kern w:val="0"/>
                      <w:sz w:val="22"/>
                      <w:szCs w:val="22"/>
                      <w:u w:val="none"/>
                      <w:lang w:val="en-US" w:eastAsia="zh-CN" w:bidi="ar"/>
                    </w:rPr>
                    <w:t>870.66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786.42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737.46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48.96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84.24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华文细黑"/>
                      <w:color w:val="000000"/>
                      <w:kern w:val="0"/>
                      <w:sz w:val="20"/>
                    </w:rPr>
                  </w:pPr>
                  <w:r>
                    <w:rPr>
                      <w:rFonts w:hint="default" w:ascii="华文细黑" w:hAnsi="华文细黑" w:eastAsia="华文细黑" w:cs="华文细黑"/>
                      <w:i w:val="0"/>
                      <w:iCs w:val="0"/>
                      <w:color w:val="000000"/>
                      <w:kern w:val="0"/>
                      <w:sz w:val="20"/>
                      <w:szCs w:val="20"/>
                      <w:u w:val="none"/>
                      <w:lang w:val="en-US" w:eastAsia="zh-CN" w:bidi="ar"/>
                    </w:rPr>
                    <w:t>城乡社区公共设施</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ascii="宋体" w:hAnsi="宋体" w:eastAsia="宋体" w:cs="宋体"/>
                      <w:i w:val="0"/>
                      <w:iCs w:val="0"/>
                      <w:color w:val="000000"/>
                      <w:kern w:val="0"/>
                      <w:sz w:val="22"/>
                      <w:szCs w:val="22"/>
                      <w:u w:val="none"/>
                      <w:lang w:val="en-US" w:eastAsia="zh-CN" w:bidi="ar"/>
                    </w:rPr>
                    <w:t>19.06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19.06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kern w:val="0"/>
                      <w:sz w:val="20"/>
                      <w:szCs w:val="20"/>
                      <w:u w:val="none"/>
                      <w:lang w:val="en-US" w:eastAsia="zh-CN" w:bidi="ar"/>
                    </w:rPr>
                  </w:pPr>
                  <w:r>
                    <w:rPr>
                      <w:rFonts w:hint="default" w:ascii="华文细黑" w:hAnsi="华文细黑" w:eastAsia="华文细黑" w:cs="华文细黑"/>
                      <w:i w:val="0"/>
                      <w:iCs w:val="0"/>
                      <w:color w:val="000000"/>
                      <w:kern w:val="0"/>
                      <w:sz w:val="20"/>
                      <w:szCs w:val="20"/>
                      <w:u w:val="none"/>
                      <w:lang w:val="en-US" w:eastAsia="zh-CN" w:bidi="ar"/>
                    </w:rPr>
                    <w:t>其他城乡社区公共设施支出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olor w:val="000000"/>
                      <w:kern w:val="0"/>
                      <w:sz w:val="20"/>
                      <w:lang w:val="en-US" w:eastAsia="zh-CN"/>
                    </w:rPr>
                  </w:pPr>
                  <w:r>
                    <w:rPr>
                      <w:rFonts w:hint="eastAsia" w:ascii="宋体" w:hAnsi="宋体" w:eastAsia="宋体" w:cs="宋体"/>
                      <w:i w:val="0"/>
                      <w:iCs w:val="0"/>
                      <w:color w:val="000000"/>
                      <w:kern w:val="0"/>
                      <w:sz w:val="22"/>
                      <w:szCs w:val="22"/>
                      <w:u w:val="none"/>
                      <w:lang w:val="en-US" w:eastAsia="zh-CN" w:bidi="ar"/>
                    </w:rPr>
                    <w:t>19.06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19.06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建设市场管理与监督</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olor w:val="000000"/>
                      <w:kern w:val="0"/>
                      <w:sz w:val="20"/>
                      <w:lang w:val="en-US" w:eastAsia="zh-CN"/>
                    </w:rPr>
                  </w:pPr>
                  <w:r>
                    <w:rPr>
                      <w:rFonts w:hint="eastAsia" w:ascii="宋体" w:hAnsi="宋体" w:eastAsia="宋体" w:cs="宋体"/>
                      <w:i w:val="0"/>
                      <w:iCs w:val="0"/>
                      <w:color w:val="000000"/>
                      <w:kern w:val="0"/>
                      <w:sz w:val="22"/>
                      <w:szCs w:val="22"/>
                      <w:u w:val="none"/>
                      <w:lang w:val="en-US" w:eastAsia="zh-CN" w:bidi="ar"/>
                    </w:rPr>
                    <w:t>105.89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99.17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华文细黑" w:hAnsi="华文细黑" w:eastAsia="华文细黑" w:cs="华文细黑"/>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建设市场管理与监督</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olor w:val="000000"/>
                      <w:kern w:val="0"/>
                      <w:sz w:val="20"/>
                      <w:lang w:val="en-US" w:eastAsia="zh-CN"/>
                    </w:rPr>
                  </w:pPr>
                  <w:r>
                    <w:rPr>
                      <w:rFonts w:hint="eastAsia" w:ascii="宋体" w:hAnsi="宋体" w:eastAsia="宋体" w:cs="宋体"/>
                      <w:i w:val="0"/>
                      <w:iCs w:val="0"/>
                      <w:color w:val="000000"/>
                      <w:kern w:val="0"/>
                      <w:sz w:val="22"/>
                      <w:szCs w:val="22"/>
                      <w:u w:val="none"/>
                      <w:lang w:val="en-US" w:eastAsia="zh-CN" w:bidi="ar"/>
                    </w:rPr>
                    <w:t>105.89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99.17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kern w:val="0"/>
                      <w:sz w:val="20"/>
                      <w:szCs w:val="20"/>
                      <w:u w:val="none"/>
                      <w:lang w:val="en-US" w:eastAsia="zh-CN" w:bidi="ar"/>
                    </w:rPr>
                  </w:pPr>
                  <w:r>
                    <w:rPr>
                      <w:rFonts w:hint="default" w:ascii="华文细黑" w:hAnsi="华文细黑" w:eastAsia="华文细黑" w:cs="华文细黑"/>
                      <w:i w:val="0"/>
                      <w:iCs w:val="0"/>
                      <w:color w:val="000000"/>
                      <w:kern w:val="0"/>
                      <w:sz w:val="20"/>
                      <w:szCs w:val="20"/>
                      <w:u w:val="none"/>
                      <w:lang w:val="en-US" w:eastAsia="zh-CN" w:bidi="ar"/>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olor w:val="000000"/>
                      <w:kern w:val="0"/>
                      <w:sz w:val="20"/>
                      <w:lang w:val="en-US" w:eastAsia="zh-CN"/>
                    </w:rPr>
                  </w:pPr>
                  <w:r>
                    <w:rPr>
                      <w:rFonts w:hint="eastAsia" w:ascii="宋体" w:hAnsi="宋体" w:eastAsia="宋体" w:cs="宋体"/>
                      <w:i w:val="0"/>
                      <w:iCs w:val="0"/>
                      <w:color w:val="000000"/>
                      <w:kern w:val="0"/>
                      <w:sz w:val="22"/>
                      <w:szCs w:val="22"/>
                      <w:u w:val="none"/>
                      <w:lang w:val="en-US" w:eastAsia="zh-CN" w:bidi="ar"/>
                    </w:rPr>
                    <w:t>108.37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kern w:val="0"/>
                      <w:sz w:val="20"/>
                      <w:szCs w:val="20"/>
                      <w:u w:val="none"/>
                      <w:lang w:val="en-US" w:eastAsia="zh-CN" w:bidi="ar"/>
                    </w:rPr>
                  </w:pPr>
                  <w:r>
                    <w:rPr>
                      <w:rFonts w:hint="default" w:ascii="华文细黑" w:hAnsi="华文细黑" w:eastAsia="华文细黑" w:cs="华文细黑"/>
                      <w:i w:val="0"/>
                      <w:iCs w:val="0"/>
                      <w:color w:val="000000"/>
                      <w:kern w:val="0"/>
                      <w:sz w:val="20"/>
                      <w:szCs w:val="20"/>
                      <w:u w:val="none"/>
                      <w:lang w:val="en-US" w:eastAsia="zh-CN" w:bidi="ar"/>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olor w:val="000000"/>
                      <w:kern w:val="0"/>
                      <w:sz w:val="20"/>
                      <w:lang w:val="en-US" w:eastAsia="zh-CN"/>
                    </w:rPr>
                  </w:pPr>
                  <w:r>
                    <w:rPr>
                      <w:rFonts w:hint="eastAsia" w:ascii="宋体" w:hAnsi="宋体" w:eastAsia="宋体" w:cs="宋体"/>
                      <w:i w:val="0"/>
                      <w:iCs w:val="0"/>
                      <w:color w:val="000000"/>
                      <w:kern w:val="0"/>
                      <w:sz w:val="22"/>
                      <w:szCs w:val="22"/>
                      <w:u w:val="none"/>
                      <w:lang w:val="en-US" w:eastAsia="zh-CN" w:bidi="ar"/>
                    </w:rPr>
                    <w:t>108.37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kern w:val="0"/>
                      <w:sz w:val="20"/>
                      <w:szCs w:val="20"/>
                      <w:u w:val="none"/>
                      <w:lang w:val="en-US" w:eastAsia="zh-CN" w:bidi="ar"/>
                    </w:rPr>
                  </w:pPr>
                  <w:r>
                    <w:rPr>
                      <w:rFonts w:hint="default" w:ascii="华文细黑" w:hAnsi="华文细黑" w:eastAsia="华文细黑" w:cs="华文细黑"/>
                      <w:i w:val="0"/>
                      <w:iCs w:val="0"/>
                      <w:color w:val="000000"/>
                      <w:kern w:val="0"/>
                      <w:sz w:val="20"/>
                      <w:szCs w:val="20"/>
                      <w:u w:val="none"/>
                      <w:lang w:val="en-US" w:eastAsia="zh-CN" w:bidi="ar"/>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olor w:val="000000"/>
                      <w:kern w:val="0"/>
                      <w:sz w:val="20"/>
                      <w:lang w:val="en-US" w:eastAsia="zh-CN"/>
                    </w:rPr>
                  </w:pPr>
                  <w:r>
                    <w:rPr>
                      <w:rFonts w:hint="eastAsia" w:ascii="宋体" w:hAnsi="宋体" w:eastAsia="宋体" w:cs="宋体"/>
                      <w:i w:val="0"/>
                      <w:iCs w:val="0"/>
                      <w:color w:val="000000"/>
                      <w:kern w:val="0"/>
                      <w:sz w:val="22"/>
                      <w:szCs w:val="22"/>
                      <w:u w:val="none"/>
                      <w:lang w:val="en-US" w:eastAsia="zh-CN" w:bidi="ar"/>
                    </w:rPr>
                    <w:t>108.37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华文细黑" w:hAnsi="华文细黑" w:eastAsia="华文细黑" w:cs="华文细黑"/>
                      <w:i w:val="0"/>
                      <w:iCs w:val="0"/>
                      <w:color w:val="000000"/>
                      <w:kern w:val="0"/>
                      <w:sz w:val="20"/>
                      <w:szCs w:val="20"/>
                      <w:u w:val="none"/>
                      <w:lang w:val="en-US" w:eastAsia="zh-CN" w:bidi="ar"/>
                    </w:rPr>
                  </w:pPr>
                  <w:r>
                    <w:rPr>
                      <w:rFonts w:hint="default" w:ascii="华文细黑" w:hAnsi="华文细黑" w:eastAsia="华文细黑" w:cs="华文细黑"/>
                      <w:i w:val="0"/>
                      <w:iCs w:val="0"/>
                      <w:color w:val="000000"/>
                      <w:kern w:val="0"/>
                      <w:sz w:val="20"/>
                      <w:szCs w:val="20"/>
                      <w:u w:val="none"/>
                      <w:lang w:val="en-US" w:eastAsia="zh-CN" w:bidi="ar"/>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olor w:val="000000"/>
                      <w:kern w:val="0"/>
                      <w:sz w:val="20"/>
                      <w:lang w:val="en-US" w:eastAsia="zh-CN"/>
                    </w:rPr>
                  </w:pPr>
                  <w:r>
                    <w:rPr>
                      <w:rFonts w:hint="eastAsia" w:ascii="宋体" w:hAnsi="宋体" w:eastAsia="宋体" w:cs="宋体"/>
                      <w:i w:val="0"/>
                      <w:iCs w:val="0"/>
                      <w:color w:val="000000"/>
                      <w:kern w:val="0"/>
                      <w:sz w:val="22"/>
                      <w:szCs w:val="22"/>
                      <w:u w:val="none"/>
                      <w:lang w:val="en-US" w:eastAsia="zh-CN" w:bidi="ar"/>
                    </w:rPr>
                    <w:t>2235.13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1510.6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1439.32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71.28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724.53</w:t>
                  </w:r>
                </w:p>
              </w:tc>
            </w:tr>
          </w:tbl>
          <w:p>
            <w:pPr>
              <w:widowControl/>
              <w:rPr>
                <w:rFonts w:eastAsia="方正小标宋简体"/>
                <w:kern w:val="0"/>
                <w:sz w:val="44"/>
                <w:szCs w:val="44"/>
              </w:rPr>
            </w:pPr>
          </w:p>
          <w:p>
            <w:pPr>
              <w:widowControl/>
              <w:jc w:val="center"/>
              <w:rPr>
                <w:rFonts w:eastAsia="方正小标宋简体"/>
                <w:kern w:val="0"/>
                <w:sz w:val="44"/>
                <w:szCs w:val="44"/>
              </w:rPr>
            </w:pPr>
          </w:p>
        </w:tc>
      </w:tr>
    </w:tbl>
    <w:p>
      <w:pPr>
        <w:ind w:firstLine="480" w:firstLineChars="200"/>
        <w:rPr>
          <w:rFonts w:eastAsia="楷体"/>
        </w:rPr>
      </w:pPr>
      <w:r>
        <w:rPr>
          <w:rFonts w:hAnsi="楷体" w:eastAsia="楷体"/>
          <w:sz w:val="24"/>
          <w:szCs w:val="24"/>
        </w:rPr>
        <w:t>注：功能科目填列至项级。没有一般公共预算拨款的，公开空表，不得删除。</w:t>
      </w: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2"/>
                <w:szCs w:val="22"/>
                <w:u w:val="none"/>
                <w:lang w:val="en-US" w:eastAsia="zh-CN" w:bidi="ar"/>
              </w:rPr>
              <w:t>1273.24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2"/>
                <w:szCs w:val="22"/>
                <w:u w:val="none"/>
                <w:lang w:val="en-US" w:eastAsia="zh-CN" w:bidi="ar"/>
              </w:rPr>
              <w:t>1273.24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2"/>
                <w:szCs w:val="22"/>
                <w:u w:val="none"/>
                <w:lang w:val="en-US" w:eastAsia="zh-CN" w:bidi="ar"/>
              </w:rPr>
              <w:t>490.09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2"/>
                <w:szCs w:val="22"/>
                <w:u w:val="none"/>
                <w:lang w:val="en-US" w:eastAsia="zh-CN" w:bidi="ar"/>
              </w:rPr>
              <w:t>490.09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2"/>
                <w:szCs w:val="22"/>
                <w:u w:val="none"/>
                <w:lang w:val="en-US" w:eastAsia="zh-CN" w:bidi="ar"/>
              </w:rPr>
              <w:t>65.43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2"/>
                <w:szCs w:val="22"/>
                <w:u w:val="none"/>
                <w:lang w:val="en-US" w:eastAsia="zh-CN" w:bidi="ar"/>
              </w:rPr>
              <w:t>65.43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2"/>
                <w:szCs w:val="22"/>
                <w:u w:val="none"/>
                <w:lang w:val="en-US" w:eastAsia="zh-CN" w:bidi="ar"/>
              </w:rPr>
              <w:t>109.97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2"/>
                <w:szCs w:val="22"/>
                <w:u w:val="none"/>
                <w:lang w:val="en-US" w:eastAsia="zh-CN" w:bidi="ar"/>
              </w:rPr>
              <w:t>109.97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2"/>
                <w:szCs w:val="22"/>
                <w:u w:val="none"/>
                <w:lang w:val="en-US" w:eastAsia="zh-CN" w:bidi="ar"/>
              </w:rPr>
              <w:t>241.86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2"/>
                <w:szCs w:val="22"/>
                <w:u w:val="none"/>
                <w:lang w:val="en-US" w:eastAsia="zh-CN" w:bidi="ar"/>
              </w:rPr>
              <w:t>241.86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default" w:eastAsia="宋体"/>
                <w:kern w:val="0"/>
                <w:sz w:val="20"/>
                <w:lang w:val="en-US"/>
              </w:rPr>
            </w:pPr>
            <w:r>
              <w:rPr>
                <w:rFonts w:hint="eastAsia" w:ascii="宋体" w:hAnsi="宋体" w:eastAsia="宋体" w:cs="宋体"/>
                <w:i w:val="0"/>
                <w:iCs w:val="0"/>
                <w:color w:val="000000"/>
                <w:kern w:val="0"/>
                <w:sz w:val="22"/>
                <w:szCs w:val="22"/>
                <w:u w:val="none"/>
                <w:lang w:val="en-US" w:eastAsia="zh-CN" w:bidi="ar"/>
              </w:rPr>
              <w:t>144.49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2"/>
                <w:szCs w:val="22"/>
                <w:u w:val="none"/>
                <w:lang w:val="en-US" w:eastAsia="zh-CN" w:bidi="ar"/>
              </w:rPr>
              <w:t>144.49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2"/>
                <w:szCs w:val="22"/>
                <w:u w:val="none"/>
                <w:lang w:val="en-US" w:eastAsia="zh-CN" w:bidi="ar"/>
              </w:rPr>
              <w:t>35.27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2"/>
                <w:szCs w:val="22"/>
                <w:u w:val="none"/>
                <w:lang w:val="en-US" w:eastAsia="zh-CN" w:bidi="ar"/>
              </w:rPr>
              <w:t>35.27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2"/>
                <w:szCs w:val="22"/>
                <w:u w:val="none"/>
                <w:lang w:val="en-US" w:eastAsia="zh-CN" w:bidi="ar"/>
              </w:rPr>
              <w:t>58.36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2"/>
                <w:szCs w:val="22"/>
                <w:u w:val="none"/>
                <w:lang w:val="en-US" w:eastAsia="zh-CN" w:bidi="ar"/>
              </w:rPr>
              <w:t>58.36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2"/>
                <w:szCs w:val="22"/>
                <w:u w:val="none"/>
                <w:lang w:val="en-US" w:eastAsia="zh-CN" w:bidi="ar"/>
              </w:rPr>
              <w:t>7.28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2"/>
                <w:szCs w:val="22"/>
                <w:u w:val="none"/>
                <w:lang w:val="en-US" w:eastAsia="zh-CN" w:bidi="ar"/>
              </w:rPr>
              <w:t>7.28</w:t>
            </w:r>
          </w:p>
        </w:tc>
        <w:tc>
          <w:tcPr>
            <w:tcW w:w="1831" w:type="dxa"/>
            <w:tcBorders>
              <w:top w:val="single" w:color="auto" w:sz="4" w:space="0"/>
              <w:left w:val="single" w:color="auto" w:sz="4" w:space="0"/>
              <w:bottom w:val="single" w:color="auto" w:sz="4" w:space="0"/>
              <w:right w:val="single" w:color="auto" w:sz="4" w:space="0"/>
            </w:tcBorders>
            <w:noWrap w:val="0"/>
            <w:vAlign w:val="center"/>
          </w:tc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2"/>
                <w:szCs w:val="22"/>
                <w:u w:val="none"/>
                <w:lang w:val="en-US" w:eastAsia="zh-CN" w:bidi="ar"/>
              </w:rPr>
              <w:t>108.37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2"/>
                <w:szCs w:val="22"/>
                <w:u w:val="none"/>
                <w:lang w:val="en-US" w:eastAsia="zh-CN" w:bidi="ar"/>
              </w:rPr>
              <w:t>108.37</w:t>
            </w:r>
          </w:p>
        </w:tc>
        <w:tc>
          <w:tcPr>
            <w:tcW w:w="1831" w:type="dxa"/>
            <w:tcBorders>
              <w:top w:val="single" w:color="auto" w:sz="4" w:space="0"/>
              <w:left w:val="single" w:color="auto" w:sz="4" w:space="0"/>
              <w:bottom w:val="single" w:color="auto" w:sz="4" w:space="0"/>
              <w:right w:val="single" w:color="auto" w:sz="4" w:space="0"/>
            </w:tcBorders>
            <w:noWrap w:val="0"/>
            <w:vAlign w:val="center"/>
          </w:tc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2"/>
                <w:szCs w:val="22"/>
                <w:u w:val="none"/>
                <w:lang w:val="en-US" w:eastAsia="zh-CN" w:bidi="ar"/>
              </w:rPr>
              <w:t>12.12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2"/>
                <w:szCs w:val="22"/>
                <w:u w:val="none"/>
                <w:lang w:val="en-US" w:eastAsia="zh-CN" w:bidi="ar"/>
              </w:rPr>
              <w:t>12.12</w:t>
            </w:r>
          </w:p>
        </w:tc>
        <w:tc>
          <w:tcPr>
            <w:tcW w:w="1831" w:type="dxa"/>
            <w:tcBorders>
              <w:top w:val="single" w:color="auto" w:sz="4" w:space="0"/>
              <w:left w:val="single" w:color="auto" w:sz="4" w:space="0"/>
              <w:bottom w:val="single" w:color="auto" w:sz="4" w:space="0"/>
              <w:right w:val="single" w:color="auto" w:sz="4" w:space="0"/>
            </w:tcBorders>
            <w:noWrap w:val="0"/>
            <w:vAlign w:val="center"/>
          </w:tc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2"/>
                <w:szCs w:val="22"/>
                <w:u w:val="none"/>
                <w:lang w:val="en-US" w:eastAsia="zh-CN" w:bidi="ar"/>
              </w:rPr>
              <w:t>79.52</w:t>
            </w:r>
          </w:p>
        </w:tc>
        <w:tc>
          <w:tcPr>
            <w:tcW w:w="1704" w:type="dxa"/>
            <w:tcBorders>
              <w:top w:val="single" w:color="auto" w:sz="4" w:space="0"/>
              <w:left w:val="single" w:color="auto" w:sz="4" w:space="0"/>
              <w:bottom w:val="single" w:color="auto" w:sz="4" w:space="0"/>
              <w:right w:val="single" w:color="auto" w:sz="4" w:space="0"/>
            </w:tcBorders>
            <w:noWrap w:val="0"/>
            <w:vAlign w:val="center"/>
          </w:tc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2"/>
                <w:szCs w:val="22"/>
                <w:u w:val="none"/>
                <w:lang w:val="en-US" w:eastAsia="zh-CN" w:bidi="ar"/>
              </w:rPr>
              <w:t>79.52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2"/>
                <w:szCs w:val="22"/>
                <w:u w:val="none"/>
                <w:lang w:val="en-US" w:eastAsia="zh-CN" w:bidi="ar"/>
              </w:rPr>
              <w:t>19.08</w:t>
            </w:r>
          </w:p>
        </w:tc>
        <w:tc>
          <w:tcPr>
            <w:tcW w:w="1704" w:type="dxa"/>
            <w:tcBorders>
              <w:top w:val="single" w:color="auto" w:sz="4" w:space="0"/>
              <w:left w:val="single" w:color="auto" w:sz="4" w:space="0"/>
              <w:bottom w:val="single" w:color="auto" w:sz="4" w:space="0"/>
              <w:right w:val="single" w:color="auto" w:sz="4" w:space="0"/>
            </w:tcBorders>
            <w:noWrap w:val="0"/>
            <w:vAlign w:val="center"/>
          </w:tc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2"/>
                <w:szCs w:val="22"/>
                <w:u w:val="none"/>
                <w:lang w:val="en-US" w:eastAsia="zh-CN" w:bidi="ar"/>
              </w:rPr>
              <w:t>19.08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印刷费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2"/>
                <w:szCs w:val="22"/>
                <w:u w:val="none"/>
                <w:lang w:val="en-US" w:eastAsia="zh-CN" w:bidi="ar"/>
              </w:rPr>
              <w:t>0.5</w:t>
            </w:r>
          </w:p>
        </w:tc>
        <w:tc>
          <w:tcPr>
            <w:tcW w:w="1704" w:type="dxa"/>
            <w:tcBorders>
              <w:top w:val="single" w:color="auto" w:sz="4" w:space="0"/>
              <w:left w:val="single" w:color="auto" w:sz="4" w:space="0"/>
              <w:bottom w:val="single" w:color="auto" w:sz="4" w:space="0"/>
              <w:right w:val="single" w:color="auto" w:sz="4" w:space="0"/>
            </w:tcBorders>
            <w:noWrap w:val="0"/>
            <w:vAlign w:val="center"/>
          </w:tc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2"/>
                <w:szCs w:val="22"/>
                <w:u w:val="none"/>
                <w:lang w:val="en-US" w:eastAsia="zh-CN" w:bidi="ar"/>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手续费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2"/>
                <w:szCs w:val="22"/>
                <w:u w:val="none"/>
                <w:lang w:val="en-US" w:eastAsia="zh-CN" w:bidi="ar"/>
              </w:rPr>
              <w:t>0.1</w:t>
            </w:r>
          </w:p>
        </w:tc>
        <w:tc>
          <w:tcPr>
            <w:tcW w:w="1704" w:type="dxa"/>
            <w:tcBorders>
              <w:top w:val="single" w:color="auto" w:sz="4" w:space="0"/>
              <w:left w:val="single" w:color="auto" w:sz="4" w:space="0"/>
              <w:bottom w:val="single" w:color="auto" w:sz="4" w:space="0"/>
              <w:right w:val="single" w:color="auto" w:sz="4" w:space="0"/>
            </w:tcBorders>
            <w:noWrap w:val="0"/>
            <w:vAlign w:val="center"/>
          </w:tc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2"/>
                <w:szCs w:val="22"/>
                <w:u w:val="none"/>
                <w:lang w:val="en-US" w:eastAsia="zh-CN" w:bidi="ar"/>
              </w:rPr>
              <w:t>0.1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2"/>
                <w:szCs w:val="22"/>
                <w:u w:val="none"/>
                <w:lang w:val="en-US" w:eastAsia="zh-CN" w:bidi="ar"/>
              </w:rPr>
              <w:t>0.3</w:t>
            </w:r>
          </w:p>
        </w:tc>
        <w:tc>
          <w:tcPr>
            <w:tcW w:w="1704" w:type="dxa"/>
            <w:tcBorders>
              <w:top w:val="single" w:color="auto" w:sz="4" w:space="0"/>
              <w:left w:val="single" w:color="auto" w:sz="4" w:space="0"/>
              <w:bottom w:val="single" w:color="auto" w:sz="4" w:space="0"/>
              <w:right w:val="single" w:color="auto" w:sz="4" w:space="0"/>
            </w:tcBorders>
            <w:noWrap w:val="0"/>
            <w:vAlign w:val="center"/>
          </w:tc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2"/>
                <w:szCs w:val="22"/>
                <w:u w:val="none"/>
                <w:lang w:val="en-US" w:eastAsia="zh-CN" w:bidi="ar"/>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2"/>
                <w:szCs w:val="22"/>
                <w:u w:val="none"/>
                <w:lang w:val="en-US" w:eastAsia="zh-CN" w:bidi="ar"/>
              </w:rPr>
              <w:t>5.13</w:t>
            </w:r>
          </w:p>
        </w:tc>
        <w:tc>
          <w:tcPr>
            <w:tcW w:w="1704" w:type="dxa"/>
            <w:tcBorders>
              <w:top w:val="single" w:color="auto" w:sz="4" w:space="0"/>
              <w:left w:val="single" w:color="auto" w:sz="4" w:space="0"/>
              <w:bottom w:val="single" w:color="auto" w:sz="4" w:space="0"/>
              <w:right w:val="single" w:color="auto" w:sz="4" w:space="0"/>
            </w:tcBorders>
            <w:noWrap w:val="0"/>
            <w:vAlign w:val="center"/>
          </w:tc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2"/>
                <w:szCs w:val="22"/>
                <w:u w:val="none"/>
                <w:lang w:val="en-US" w:eastAsia="zh-CN" w:bidi="ar"/>
              </w:rPr>
              <w:t>5.13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2.49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2.49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取暖费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7.43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7.43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4.28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4.28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0.14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0.14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劳务费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14.89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14.89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15.7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15.7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其他尚品和服务支出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0.78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0.78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8.7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8.7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37.58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37.58</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37.58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37.58</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119.8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ind w:firstLine="800" w:firstLineChars="4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119.8</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四、资本行支出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0.46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0.46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0.46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0.46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1510.6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0"/>
                <w:szCs w:val="20"/>
                <w:lang w:val="en-US"/>
              </w:rPr>
            </w:pPr>
            <w:r>
              <w:rPr>
                <w:rFonts w:hint="eastAsia" w:ascii="宋体" w:hAnsi="宋体" w:eastAsia="宋体" w:cs="宋体"/>
                <w:i w:val="0"/>
                <w:iCs w:val="0"/>
                <w:color w:val="000000"/>
                <w:kern w:val="0"/>
                <w:sz w:val="20"/>
                <w:szCs w:val="20"/>
                <w:u w:val="none"/>
                <w:lang w:val="en-US" w:eastAsia="zh-CN" w:bidi="ar"/>
              </w:rPr>
              <w:t>1430.62</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79.98</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4</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153</w:t>
            </w:r>
            <w:r>
              <w:rPr>
                <w:color w:val="000000"/>
                <w:kern w:val="0"/>
                <w:sz w:val="28"/>
                <w:szCs w:val="28"/>
              </w:rPr>
              <w:t>人，其中：在职人员</w:t>
            </w:r>
            <w:r>
              <w:rPr>
                <w:rFonts w:hint="eastAsia" w:eastAsia="宋体"/>
                <w:color w:val="000000"/>
                <w:kern w:val="0"/>
                <w:sz w:val="28"/>
                <w:szCs w:val="28"/>
                <w:u w:val="single"/>
                <w:lang w:val="en-US" w:eastAsia="zh-CN"/>
              </w:rPr>
              <w:t>107</w:t>
            </w:r>
            <w:r>
              <w:rPr>
                <w:color w:val="000000"/>
                <w:kern w:val="0"/>
                <w:sz w:val="28"/>
                <w:szCs w:val="28"/>
              </w:rPr>
              <w:t>人，离退休人员</w:t>
            </w:r>
            <w:r>
              <w:rPr>
                <w:rFonts w:hint="eastAsia" w:eastAsia="宋体"/>
                <w:color w:val="000000"/>
                <w:kern w:val="0"/>
                <w:sz w:val="28"/>
                <w:szCs w:val="28"/>
                <w:u w:val="single"/>
                <w:lang w:val="en-US" w:eastAsia="zh-CN"/>
              </w:rPr>
              <w:t>46</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exact"/>
          <w:jc w:val="center"/>
        </w:trPr>
        <w:tc>
          <w:tcPr>
            <w:tcW w:w="759"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eastAsia="zh-CN"/>
              </w:rPr>
              <w:t>合计</w:t>
            </w:r>
          </w:p>
        </w:tc>
        <w:tc>
          <w:tcPr>
            <w:tcW w:w="1063"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1107"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864"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498" w:type="dxa"/>
            <w:noWrap w:val="0"/>
            <w:vAlign w:val="center"/>
          </w:tcPr>
          <w:p>
            <w:pPr>
              <w:spacing w:line="240" w:lineRule="auto"/>
              <w:jc w:val="center"/>
              <w:rPr>
                <w:rFonts w:hint="eastAsia" w:ascii="宋体" w:hAnsi="宋体" w:eastAsia="宋体" w:cs="宋体"/>
                <w:kern w:val="0"/>
                <w:sz w:val="20"/>
                <w:szCs w:val="20"/>
              </w:rPr>
            </w:pPr>
          </w:p>
        </w:tc>
        <w:tc>
          <w:tcPr>
            <w:tcW w:w="553" w:type="dxa"/>
            <w:noWrap w:val="0"/>
            <w:vAlign w:val="center"/>
          </w:tcPr>
          <w:p>
            <w:pPr>
              <w:spacing w:line="240" w:lineRule="auto"/>
              <w:jc w:val="center"/>
              <w:rPr>
                <w:rFonts w:hint="eastAsia" w:ascii="宋体" w:hAnsi="宋体" w:eastAsia="宋体" w:cs="宋体"/>
                <w:kern w:val="0"/>
                <w:sz w:val="20"/>
                <w:szCs w:val="20"/>
              </w:rPr>
            </w:pPr>
          </w:p>
        </w:tc>
        <w:tc>
          <w:tcPr>
            <w:tcW w:w="554" w:type="dxa"/>
            <w:noWrap w:val="0"/>
            <w:vAlign w:val="center"/>
          </w:tcPr>
          <w:p>
            <w:pPr>
              <w:spacing w:line="240" w:lineRule="auto"/>
              <w:jc w:val="center"/>
              <w:rPr>
                <w:rFonts w:hint="eastAsia" w:ascii="宋体" w:hAnsi="宋体" w:eastAsia="宋体" w:cs="宋体"/>
                <w:kern w:val="0"/>
                <w:sz w:val="20"/>
                <w:szCs w:val="20"/>
              </w:rPr>
            </w:pPr>
          </w:p>
        </w:tc>
        <w:tc>
          <w:tcPr>
            <w:tcW w:w="521" w:type="dxa"/>
            <w:noWrap w:val="0"/>
            <w:vAlign w:val="center"/>
          </w:tcPr>
          <w:p>
            <w:pPr>
              <w:spacing w:line="240" w:lineRule="auto"/>
              <w:jc w:val="center"/>
              <w:rPr>
                <w:rFonts w:hint="eastAsia" w:ascii="宋体" w:hAnsi="宋体" w:eastAsia="宋体" w:cs="宋体"/>
                <w:kern w:val="0"/>
                <w:sz w:val="20"/>
                <w:szCs w:val="20"/>
              </w:rPr>
            </w:pPr>
          </w:p>
        </w:tc>
        <w:tc>
          <w:tcPr>
            <w:tcW w:w="564" w:type="dxa"/>
            <w:noWrap w:val="0"/>
            <w:vAlign w:val="center"/>
          </w:tcPr>
          <w:p>
            <w:pPr>
              <w:spacing w:line="240" w:lineRule="auto"/>
              <w:jc w:val="center"/>
              <w:rPr>
                <w:rFonts w:hint="eastAsia" w:ascii="宋体" w:hAnsi="宋体" w:eastAsia="宋体" w:cs="宋体"/>
                <w:kern w:val="0"/>
                <w:sz w:val="20"/>
                <w:szCs w:val="20"/>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exact"/>
          <w:jc w:val="center"/>
        </w:trPr>
        <w:tc>
          <w:tcPr>
            <w:tcW w:w="759"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eastAsia="zh-CN"/>
              </w:rPr>
              <w:t>专项业务住处</w:t>
            </w:r>
          </w:p>
        </w:tc>
        <w:tc>
          <w:tcPr>
            <w:tcW w:w="1063"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1107"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864"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498"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621.23</w:t>
            </w:r>
          </w:p>
        </w:tc>
        <w:tc>
          <w:tcPr>
            <w:tcW w:w="553"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621.23</w:t>
            </w:r>
          </w:p>
        </w:tc>
        <w:tc>
          <w:tcPr>
            <w:tcW w:w="554" w:type="dxa"/>
            <w:noWrap w:val="0"/>
            <w:vAlign w:val="center"/>
          </w:tcPr>
          <w:p>
            <w:pPr>
              <w:spacing w:line="240" w:lineRule="auto"/>
              <w:jc w:val="center"/>
              <w:rPr>
                <w:rFonts w:hint="eastAsia" w:ascii="宋体" w:hAnsi="宋体" w:eastAsia="宋体" w:cs="宋体"/>
                <w:kern w:val="0"/>
                <w:sz w:val="20"/>
                <w:szCs w:val="20"/>
              </w:rPr>
            </w:pPr>
          </w:p>
        </w:tc>
        <w:tc>
          <w:tcPr>
            <w:tcW w:w="521" w:type="dxa"/>
            <w:noWrap w:val="0"/>
            <w:vAlign w:val="center"/>
          </w:tcPr>
          <w:p>
            <w:pPr>
              <w:spacing w:line="240" w:lineRule="auto"/>
              <w:jc w:val="center"/>
              <w:rPr>
                <w:rFonts w:hint="eastAsia" w:ascii="宋体" w:hAnsi="宋体" w:eastAsia="宋体" w:cs="宋体"/>
                <w:kern w:val="0"/>
                <w:sz w:val="20"/>
                <w:szCs w:val="20"/>
              </w:rPr>
            </w:pPr>
          </w:p>
        </w:tc>
        <w:tc>
          <w:tcPr>
            <w:tcW w:w="564" w:type="dxa"/>
            <w:noWrap w:val="0"/>
            <w:vAlign w:val="center"/>
          </w:tcPr>
          <w:p>
            <w:pPr>
              <w:spacing w:line="240" w:lineRule="auto"/>
              <w:jc w:val="center"/>
              <w:rPr>
                <w:rFonts w:hint="eastAsia" w:ascii="宋体" w:hAnsi="宋体" w:eastAsia="宋体" w:cs="宋体"/>
                <w:kern w:val="0"/>
                <w:sz w:val="20"/>
                <w:szCs w:val="20"/>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exact"/>
          <w:jc w:val="center"/>
        </w:trPr>
        <w:tc>
          <w:tcPr>
            <w:tcW w:w="759"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eastAsia="zh-CN"/>
              </w:rPr>
              <w:t>专项业务支出</w:t>
            </w:r>
          </w:p>
        </w:tc>
        <w:tc>
          <w:tcPr>
            <w:tcW w:w="1063"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2023年三达水务有限公司污水处理经费预算</w:t>
            </w:r>
          </w:p>
        </w:tc>
        <w:tc>
          <w:tcPr>
            <w:tcW w:w="1107"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864"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498"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621.23</w:t>
            </w:r>
          </w:p>
        </w:tc>
        <w:tc>
          <w:tcPr>
            <w:tcW w:w="553"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621.23</w:t>
            </w:r>
          </w:p>
        </w:tc>
        <w:tc>
          <w:tcPr>
            <w:tcW w:w="554" w:type="dxa"/>
            <w:noWrap w:val="0"/>
            <w:vAlign w:val="center"/>
          </w:tcPr>
          <w:p>
            <w:pPr>
              <w:spacing w:line="240" w:lineRule="auto"/>
              <w:jc w:val="center"/>
              <w:rPr>
                <w:rFonts w:hint="eastAsia" w:ascii="宋体" w:hAnsi="宋体" w:eastAsia="宋体" w:cs="宋体"/>
                <w:kern w:val="0"/>
                <w:sz w:val="20"/>
                <w:szCs w:val="20"/>
              </w:rPr>
            </w:pPr>
          </w:p>
        </w:tc>
        <w:tc>
          <w:tcPr>
            <w:tcW w:w="521" w:type="dxa"/>
            <w:noWrap w:val="0"/>
            <w:vAlign w:val="center"/>
          </w:tcPr>
          <w:p>
            <w:pPr>
              <w:spacing w:line="240" w:lineRule="auto"/>
              <w:jc w:val="center"/>
              <w:rPr>
                <w:rFonts w:hint="eastAsia" w:ascii="宋体" w:hAnsi="宋体" w:eastAsia="宋体" w:cs="宋体"/>
                <w:kern w:val="0"/>
                <w:sz w:val="20"/>
                <w:szCs w:val="20"/>
              </w:rPr>
            </w:pPr>
          </w:p>
        </w:tc>
        <w:tc>
          <w:tcPr>
            <w:tcW w:w="564" w:type="dxa"/>
            <w:noWrap w:val="0"/>
            <w:vAlign w:val="center"/>
          </w:tcPr>
          <w:p>
            <w:pPr>
              <w:spacing w:line="240" w:lineRule="auto"/>
              <w:jc w:val="center"/>
              <w:rPr>
                <w:rFonts w:hint="eastAsia" w:ascii="宋体" w:hAnsi="宋体" w:eastAsia="宋体" w:cs="宋体"/>
                <w:kern w:val="0"/>
                <w:sz w:val="20"/>
                <w:szCs w:val="20"/>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exact"/>
          <w:jc w:val="center"/>
        </w:trPr>
        <w:tc>
          <w:tcPr>
            <w:tcW w:w="759"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1063"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1107"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2023年三达水务有限公司污水处理经费预算</w:t>
            </w:r>
          </w:p>
        </w:tc>
        <w:tc>
          <w:tcPr>
            <w:tcW w:w="864"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eastAsia="zh-CN"/>
              </w:rPr>
              <w:t>通榆县住房和城乡建设局</w:t>
            </w:r>
          </w:p>
        </w:tc>
        <w:tc>
          <w:tcPr>
            <w:tcW w:w="498"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621.23</w:t>
            </w:r>
          </w:p>
        </w:tc>
        <w:tc>
          <w:tcPr>
            <w:tcW w:w="553"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621.23</w:t>
            </w:r>
          </w:p>
        </w:tc>
        <w:tc>
          <w:tcPr>
            <w:tcW w:w="554" w:type="dxa"/>
            <w:noWrap w:val="0"/>
            <w:vAlign w:val="center"/>
          </w:tcPr>
          <w:p>
            <w:pPr>
              <w:spacing w:line="240" w:lineRule="auto"/>
              <w:jc w:val="center"/>
              <w:rPr>
                <w:rFonts w:hint="eastAsia" w:ascii="宋体" w:hAnsi="宋体" w:eastAsia="宋体" w:cs="宋体"/>
                <w:kern w:val="0"/>
                <w:sz w:val="20"/>
                <w:szCs w:val="20"/>
              </w:rPr>
            </w:pPr>
          </w:p>
        </w:tc>
        <w:tc>
          <w:tcPr>
            <w:tcW w:w="521" w:type="dxa"/>
            <w:noWrap w:val="0"/>
            <w:vAlign w:val="center"/>
          </w:tcPr>
          <w:p>
            <w:pPr>
              <w:spacing w:line="240" w:lineRule="auto"/>
              <w:jc w:val="center"/>
              <w:rPr>
                <w:rFonts w:hint="eastAsia" w:ascii="宋体" w:hAnsi="宋体" w:eastAsia="宋体" w:cs="宋体"/>
                <w:kern w:val="0"/>
                <w:sz w:val="20"/>
                <w:szCs w:val="20"/>
              </w:rPr>
            </w:pPr>
          </w:p>
        </w:tc>
        <w:tc>
          <w:tcPr>
            <w:tcW w:w="564" w:type="dxa"/>
            <w:noWrap w:val="0"/>
            <w:vAlign w:val="center"/>
          </w:tcPr>
          <w:p>
            <w:pPr>
              <w:spacing w:line="240" w:lineRule="auto"/>
              <w:jc w:val="center"/>
              <w:rPr>
                <w:rFonts w:hint="eastAsia" w:ascii="宋体" w:hAnsi="宋体" w:eastAsia="宋体" w:cs="宋体"/>
                <w:kern w:val="0"/>
                <w:sz w:val="20"/>
                <w:szCs w:val="20"/>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exact"/>
          <w:jc w:val="center"/>
        </w:trPr>
        <w:tc>
          <w:tcPr>
            <w:tcW w:w="759" w:type="dxa"/>
            <w:noWrap w:val="0"/>
            <w:vAlign w:val="center"/>
          </w:tcPr>
          <w:p>
            <w:pPr>
              <w:autoSpaceDN w:val="0"/>
              <w:spacing w:line="240" w:lineRule="auto"/>
              <w:jc w:val="center"/>
              <w:textAlignment w:val="center"/>
              <w:rPr>
                <w:rFonts w:hint="eastAsia" w:ascii="宋体" w:hAnsi="宋体" w:eastAsia="宋体" w:cs="宋体"/>
                <w:color w:val="000000"/>
                <w:sz w:val="20"/>
                <w:szCs w:val="20"/>
              </w:rPr>
            </w:pPr>
          </w:p>
        </w:tc>
        <w:tc>
          <w:tcPr>
            <w:tcW w:w="1063"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住建局2024年部门预算资金</w:t>
            </w:r>
          </w:p>
        </w:tc>
        <w:tc>
          <w:tcPr>
            <w:tcW w:w="1107"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864"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498" w:type="dxa"/>
            <w:noWrap w:val="0"/>
            <w:vAlign w:val="center"/>
          </w:tcPr>
          <w:p>
            <w:pPr>
              <w:spacing w:line="240" w:lineRule="auto"/>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15.92</w:t>
            </w:r>
          </w:p>
        </w:tc>
        <w:tc>
          <w:tcPr>
            <w:tcW w:w="553" w:type="dxa"/>
            <w:noWrap w:val="0"/>
            <w:vAlign w:val="center"/>
          </w:tcPr>
          <w:p>
            <w:pPr>
              <w:spacing w:line="240" w:lineRule="auto"/>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15.92</w:t>
            </w:r>
          </w:p>
        </w:tc>
        <w:tc>
          <w:tcPr>
            <w:tcW w:w="554" w:type="dxa"/>
            <w:noWrap w:val="0"/>
            <w:vAlign w:val="center"/>
          </w:tcPr>
          <w:p>
            <w:pPr>
              <w:spacing w:line="240" w:lineRule="auto"/>
              <w:jc w:val="center"/>
              <w:rPr>
                <w:rFonts w:hint="eastAsia" w:ascii="宋体" w:hAnsi="宋体" w:eastAsia="宋体" w:cs="宋体"/>
                <w:kern w:val="0"/>
                <w:sz w:val="20"/>
                <w:szCs w:val="20"/>
              </w:rPr>
            </w:pPr>
          </w:p>
        </w:tc>
        <w:tc>
          <w:tcPr>
            <w:tcW w:w="521" w:type="dxa"/>
            <w:noWrap w:val="0"/>
            <w:vAlign w:val="center"/>
          </w:tcPr>
          <w:p>
            <w:pPr>
              <w:spacing w:line="240" w:lineRule="auto"/>
              <w:jc w:val="center"/>
              <w:rPr>
                <w:rFonts w:hint="eastAsia" w:ascii="宋体" w:hAnsi="宋体" w:eastAsia="宋体" w:cs="宋体"/>
                <w:kern w:val="0"/>
                <w:sz w:val="20"/>
                <w:szCs w:val="20"/>
              </w:rPr>
            </w:pPr>
          </w:p>
        </w:tc>
        <w:tc>
          <w:tcPr>
            <w:tcW w:w="564" w:type="dxa"/>
            <w:noWrap w:val="0"/>
            <w:vAlign w:val="center"/>
          </w:tcPr>
          <w:p>
            <w:pPr>
              <w:spacing w:line="240" w:lineRule="auto"/>
              <w:jc w:val="center"/>
              <w:rPr>
                <w:rFonts w:hint="eastAsia" w:ascii="宋体" w:hAnsi="宋体" w:eastAsia="宋体" w:cs="宋体"/>
                <w:kern w:val="0"/>
                <w:sz w:val="20"/>
                <w:szCs w:val="20"/>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exact"/>
          <w:jc w:val="center"/>
        </w:trPr>
        <w:tc>
          <w:tcPr>
            <w:tcW w:w="759" w:type="dxa"/>
            <w:noWrap w:val="0"/>
            <w:vAlign w:val="center"/>
          </w:tcPr>
          <w:p>
            <w:pPr>
              <w:autoSpaceDN w:val="0"/>
              <w:spacing w:line="240" w:lineRule="auto"/>
              <w:jc w:val="center"/>
              <w:textAlignment w:val="center"/>
              <w:rPr>
                <w:rFonts w:hint="eastAsia" w:ascii="宋体" w:hAnsi="宋体" w:eastAsia="宋体" w:cs="宋体"/>
                <w:color w:val="000000"/>
                <w:sz w:val="20"/>
                <w:szCs w:val="20"/>
              </w:rPr>
            </w:pPr>
          </w:p>
        </w:tc>
        <w:tc>
          <w:tcPr>
            <w:tcW w:w="1063"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1107"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退休人员补差</w:t>
            </w:r>
          </w:p>
        </w:tc>
        <w:tc>
          <w:tcPr>
            <w:tcW w:w="864"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通榆县房屋产权交易管理中心</w:t>
            </w:r>
          </w:p>
        </w:tc>
        <w:tc>
          <w:tcPr>
            <w:tcW w:w="498" w:type="dxa"/>
            <w:noWrap w:val="0"/>
            <w:vAlign w:val="center"/>
          </w:tcPr>
          <w:p>
            <w:pPr>
              <w:spacing w:line="240" w:lineRule="auto"/>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1.03</w:t>
            </w:r>
          </w:p>
        </w:tc>
        <w:tc>
          <w:tcPr>
            <w:tcW w:w="553" w:type="dxa"/>
            <w:noWrap w:val="0"/>
            <w:vAlign w:val="center"/>
          </w:tcPr>
          <w:p>
            <w:pPr>
              <w:spacing w:line="240" w:lineRule="auto"/>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1.03</w:t>
            </w:r>
          </w:p>
        </w:tc>
        <w:tc>
          <w:tcPr>
            <w:tcW w:w="554" w:type="dxa"/>
            <w:noWrap w:val="0"/>
            <w:vAlign w:val="center"/>
          </w:tcPr>
          <w:p>
            <w:pPr>
              <w:spacing w:line="240" w:lineRule="auto"/>
              <w:jc w:val="center"/>
              <w:rPr>
                <w:rFonts w:hint="eastAsia" w:ascii="宋体" w:hAnsi="宋体" w:eastAsia="宋体" w:cs="宋体"/>
                <w:kern w:val="0"/>
                <w:sz w:val="20"/>
                <w:szCs w:val="20"/>
              </w:rPr>
            </w:pPr>
          </w:p>
        </w:tc>
        <w:tc>
          <w:tcPr>
            <w:tcW w:w="521" w:type="dxa"/>
            <w:noWrap w:val="0"/>
            <w:vAlign w:val="center"/>
          </w:tcPr>
          <w:p>
            <w:pPr>
              <w:spacing w:line="240" w:lineRule="auto"/>
              <w:jc w:val="center"/>
              <w:rPr>
                <w:rFonts w:hint="eastAsia" w:ascii="宋体" w:hAnsi="宋体" w:eastAsia="宋体" w:cs="宋体"/>
                <w:kern w:val="0"/>
                <w:sz w:val="20"/>
                <w:szCs w:val="20"/>
              </w:rPr>
            </w:pPr>
          </w:p>
        </w:tc>
        <w:tc>
          <w:tcPr>
            <w:tcW w:w="564" w:type="dxa"/>
            <w:noWrap w:val="0"/>
            <w:vAlign w:val="center"/>
          </w:tcPr>
          <w:p>
            <w:pPr>
              <w:spacing w:line="240" w:lineRule="auto"/>
              <w:jc w:val="center"/>
              <w:rPr>
                <w:rFonts w:hint="eastAsia" w:ascii="宋体" w:hAnsi="宋体" w:eastAsia="宋体" w:cs="宋体"/>
                <w:kern w:val="0"/>
                <w:sz w:val="20"/>
                <w:szCs w:val="20"/>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exact"/>
          <w:jc w:val="center"/>
        </w:trPr>
        <w:tc>
          <w:tcPr>
            <w:tcW w:w="759" w:type="dxa"/>
            <w:noWrap w:val="0"/>
            <w:vAlign w:val="center"/>
          </w:tcPr>
          <w:p>
            <w:pPr>
              <w:autoSpaceDN w:val="0"/>
              <w:spacing w:line="240" w:lineRule="auto"/>
              <w:jc w:val="center"/>
              <w:textAlignment w:val="center"/>
              <w:rPr>
                <w:rFonts w:hint="eastAsia" w:ascii="宋体" w:hAnsi="宋体" w:eastAsia="宋体" w:cs="宋体"/>
                <w:color w:val="000000"/>
                <w:sz w:val="20"/>
                <w:szCs w:val="20"/>
              </w:rPr>
            </w:pPr>
          </w:p>
        </w:tc>
        <w:tc>
          <w:tcPr>
            <w:tcW w:w="1063"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1107"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退役士兵安置工资</w:t>
            </w:r>
          </w:p>
        </w:tc>
        <w:tc>
          <w:tcPr>
            <w:tcW w:w="864"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通榆县房屋产权交易管理中心</w:t>
            </w:r>
          </w:p>
        </w:tc>
        <w:tc>
          <w:tcPr>
            <w:tcW w:w="498" w:type="dxa"/>
            <w:noWrap w:val="0"/>
            <w:vAlign w:val="center"/>
          </w:tcPr>
          <w:p>
            <w:pPr>
              <w:spacing w:line="240" w:lineRule="auto"/>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7.69</w:t>
            </w:r>
          </w:p>
        </w:tc>
        <w:tc>
          <w:tcPr>
            <w:tcW w:w="553" w:type="dxa"/>
            <w:noWrap w:val="0"/>
            <w:vAlign w:val="center"/>
          </w:tcPr>
          <w:p>
            <w:pPr>
              <w:spacing w:line="240" w:lineRule="auto"/>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7.69</w:t>
            </w:r>
          </w:p>
        </w:tc>
        <w:tc>
          <w:tcPr>
            <w:tcW w:w="554" w:type="dxa"/>
            <w:noWrap w:val="0"/>
            <w:vAlign w:val="center"/>
          </w:tcPr>
          <w:p>
            <w:pPr>
              <w:spacing w:line="240" w:lineRule="auto"/>
              <w:jc w:val="center"/>
              <w:rPr>
                <w:rFonts w:hint="eastAsia" w:ascii="宋体" w:hAnsi="宋体" w:eastAsia="宋体" w:cs="宋体"/>
                <w:kern w:val="0"/>
                <w:sz w:val="20"/>
                <w:szCs w:val="20"/>
              </w:rPr>
            </w:pPr>
          </w:p>
        </w:tc>
        <w:tc>
          <w:tcPr>
            <w:tcW w:w="521" w:type="dxa"/>
            <w:noWrap w:val="0"/>
            <w:vAlign w:val="center"/>
          </w:tcPr>
          <w:p>
            <w:pPr>
              <w:spacing w:line="240" w:lineRule="auto"/>
              <w:jc w:val="center"/>
              <w:rPr>
                <w:rFonts w:hint="eastAsia" w:ascii="宋体" w:hAnsi="宋体" w:eastAsia="宋体" w:cs="宋体"/>
                <w:kern w:val="0"/>
                <w:sz w:val="20"/>
                <w:szCs w:val="20"/>
              </w:rPr>
            </w:pPr>
          </w:p>
        </w:tc>
        <w:tc>
          <w:tcPr>
            <w:tcW w:w="564" w:type="dxa"/>
            <w:noWrap w:val="0"/>
            <w:vAlign w:val="center"/>
          </w:tcPr>
          <w:p>
            <w:pPr>
              <w:spacing w:line="240" w:lineRule="auto"/>
              <w:jc w:val="center"/>
              <w:rPr>
                <w:rFonts w:hint="eastAsia" w:ascii="宋体" w:hAnsi="宋体" w:eastAsia="宋体" w:cs="宋体"/>
                <w:kern w:val="0"/>
                <w:sz w:val="20"/>
                <w:szCs w:val="20"/>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exact"/>
          <w:jc w:val="center"/>
        </w:trPr>
        <w:tc>
          <w:tcPr>
            <w:tcW w:w="759" w:type="dxa"/>
            <w:noWrap w:val="0"/>
            <w:vAlign w:val="center"/>
          </w:tcPr>
          <w:p>
            <w:pPr>
              <w:autoSpaceDN w:val="0"/>
              <w:spacing w:line="240" w:lineRule="auto"/>
              <w:jc w:val="center"/>
              <w:textAlignment w:val="center"/>
              <w:rPr>
                <w:rFonts w:hint="eastAsia" w:ascii="宋体" w:hAnsi="宋体" w:eastAsia="宋体" w:cs="宋体"/>
                <w:color w:val="000000"/>
                <w:sz w:val="20"/>
                <w:szCs w:val="20"/>
              </w:rPr>
            </w:pPr>
          </w:p>
        </w:tc>
        <w:tc>
          <w:tcPr>
            <w:tcW w:w="1063" w:type="dxa"/>
            <w:noWrap w:val="0"/>
            <w:vAlign w:val="center"/>
          </w:tcPr>
          <w:p>
            <w:pPr>
              <w:spacing w:line="240" w:lineRule="auto"/>
              <w:jc w:val="center"/>
              <w:rPr>
                <w:rFonts w:hint="eastAsia" w:ascii="宋体" w:hAnsi="宋体" w:eastAsia="宋体" w:cs="宋体"/>
                <w:kern w:val="0"/>
                <w:sz w:val="20"/>
                <w:szCs w:val="20"/>
                <w:lang w:val="en-US" w:eastAsia="zh-CN" w:bidi="ar-SA"/>
              </w:rPr>
            </w:pPr>
          </w:p>
        </w:tc>
        <w:tc>
          <w:tcPr>
            <w:tcW w:w="1107"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驻村工作对生活补助</w:t>
            </w:r>
          </w:p>
        </w:tc>
        <w:tc>
          <w:tcPr>
            <w:tcW w:w="864"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通榆县房屋产权交易管理中心</w:t>
            </w:r>
          </w:p>
        </w:tc>
        <w:tc>
          <w:tcPr>
            <w:tcW w:w="498" w:type="dxa"/>
            <w:noWrap w:val="0"/>
            <w:vAlign w:val="center"/>
          </w:tcPr>
          <w:p>
            <w:pPr>
              <w:spacing w:line="240" w:lineRule="auto"/>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7.20</w:t>
            </w:r>
          </w:p>
        </w:tc>
        <w:tc>
          <w:tcPr>
            <w:tcW w:w="553" w:type="dxa"/>
            <w:noWrap w:val="0"/>
            <w:vAlign w:val="center"/>
          </w:tcPr>
          <w:p>
            <w:pPr>
              <w:spacing w:line="240" w:lineRule="auto"/>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7.20</w:t>
            </w:r>
          </w:p>
        </w:tc>
        <w:tc>
          <w:tcPr>
            <w:tcW w:w="554" w:type="dxa"/>
            <w:noWrap w:val="0"/>
            <w:vAlign w:val="center"/>
          </w:tcPr>
          <w:p>
            <w:pPr>
              <w:spacing w:line="240" w:lineRule="auto"/>
              <w:jc w:val="center"/>
              <w:rPr>
                <w:rFonts w:hint="eastAsia" w:ascii="宋体" w:hAnsi="宋体" w:eastAsia="宋体" w:cs="宋体"/>
                <w:kern w:val="0"/>
                <w:sz w:val="20"/>
                <w:szCs w:val="20"/>
              </w:rPr>
            </w:pPr>
          </w:p>
        </w:tc>
        <w:tc>
          <w:tcPr>
            <w:tcW w:w="521" w:type="dxa"/>
            <w:noWrap w:val="0"/>
            <w:vAlign w:val="center"/>
          </w:tcPr>
          <w:p>
            <w:pPr>
              <w:spacing w:line="240" w:lineRule="auto"/>
              <w:jc w:val="center"/>
              <w:rPr>
                <w:rFonts w:hint="eastAsia" w:ascii="宋体" w:hAnsi="宋体" w:eastAsia="宋体" w:cs="宋体"/>
                <w:kern w:val="0"/>
                <w:sz w:val="20"/>
                <w:szCs w:val="20"/>
              </w:rPr>
            </w:pPr>
          </w:p>
        </w:tc>
        <w:tc>
          <w:tcPr>
            <w:tcW w:w="564" w:type="dxa"/>
            <w:noWrap w:val="0"/>
            <w:vAlign w:val="center"/>
          </w:tcPr>
          <w:p>
            <w:pPr>
              <w:spacing w:line="240" w:lineRule="auto"/>
              <w:jc w:val="center"/>
              <w:rPr>
                <w:rFonts w:hint="eastAsia" w:ascii="宋体" w:hAnsi="宋体" w:eastAsia="宋体" w:cs="宋体"/>
                <w:kern w:val="0"/>
                <w:sz w:val="20"/>
                <w:szCs w:val="20"/>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exact"/>
          <w:jc w:val="center"/>
        </w:trPr>
        <w:tc>
          <w:tcPr>
            <w:tcW w:w="759" w:type="dxa"/>
            <w:noWrap w:val="0"/>
            <w:vAlign w:val="center"/>
          </w:tcPr>
          <w:p>
            <w:pPr>
              <w:autoSpaceDN w:val="0"/>
              <w:spacing w:line="240" w:lineRule="auto"/>
              <w:jc w:val="center"/>
              <w:textAlignment w:val="center"/>
              <w:rPr>
                <w:rFonts w:hint="eastAsia" w:ascii="宋体" w:hAnsi="宋体" w:eastAsia="宋体" w:cs="宋体"/>
                <w:color w:val="000000"/>
                <w:sz w:val="20"/>
                <w:szCs w:val="20"/>
              </w:rPr>
            </w:pPr>
          </w:p>
        </w:tc>
        <w:tc>
          <w:tcPr>
            <w:tcW w:w="1063" w:type="dxa"/>
            <w:noWrap w:val="0"/>
            <w:vAlign w:val="center"/>
          </w:tcPr>
          <w:p>
            <w:pPr>
              <w:autoSpaceDN w:val="0"/>
              <w:spacing w:line="240" w:lineRule="auto"/>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eastAsia="zh-CN"/>
              </w:rPr>
              <w:t>住建局</w:t>
            </w:r>
            <w:r>
              <w:rPr>
                <w:rFonts w:hint="eastAsia" w:ascii="宋体" w:hAnsi="宋体" w:eastAsia="宋体" w:cs="宋体"/>
                <w:color w:val="000000"/>
                <w:sz w:val="20"/>
                <w:szCs w:val="20"/>
                <w:lang w:val="en-US" w:eastAsia="zh-CN"/>
              </w:rPr>
              <w:t>2024年部门预算资金</w:t>
            </w:r>
          </w:p>
        </w:tc>
        <w:tc>
          <w:tcPr>
            <w:tcW w:w="1107" w:type="dxa"/>
            <w:noWrap w:val="0"/>
            <w:vAlign w:val="center"/>
          </w:tcPr>
          <w:p>
            <w:pPr>
              <w:spacing w:line="240" w:lineRule="auto"/>
              <w:jc w:val="both"/>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eastAsia="zh-CN"/>
              </w:rPr>
              <w:t>房屋征收经办中心驻村干部驻村补助</w:t>
            </w:r>
          </w:p>
        </w:tc>
        <w:tc>
          <w:tcPr>
            <w:tcW w:w="864"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eastAsia="zh-CN"/>
              </w:rPr>
              <w:t>房屋征收经办中心</w:t>
            </w:r>
          </w:p>
        </w:tc>
        <w:tc>
          <w:tcPr>
            <w:tcW w:w="498" w:type="dxa"/>
            <w:noWrap w:val="0"/>
            <w:vAlign w:val="center"/>
          </w:tcPr>
          <w:p>
            <w:pPr>
              <w:spacing w:line="240" w:lineRule="auto"/>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3.60</w:t>
            </w:r>
          </w:p>
        </w:tc>
        <w:tc>
          <w:tcPr>
            <w:tcW w:w="553" w:type="dxa"/>
            <w:noWrap w:val="0"/>
            <w:vAlign w:val="center"/>
          </w:tcPr>
          <w:p>
            <w:pPr>
              <w:spacing w:line="240" w:lineRule="auto"/>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3.60</w:t>
            </w:r>
          </w:p>
        </w:tc>
        <w:tc>
          <w:tcPr>
            <w:tcW w:w="554" w:type="dxa"/>
            <w:noWrap w:val="0"/>
            <w:vAlign w:val="center"/>
          </w:tcPr>
          <w:p>
            <w:pPr>
              <w:spacing w:line="240" w:lineRule="auto"/>
              <w:jc w:val="center"/>
              <w:rPr>
                <w:rFonts w:hint="eastAsia" w:ascii="宋体" w:hAnsi="宋体" w:eastAsia="宋体" w:cs="宋体"/>
                <w:kern w:val="0"/>
                <w:sz w:val="20"/>
                <w:szCs w:val="20"/>
              </w:rPr>
            </w:pPr>
          </w:p>
        </w:tc>
        <w:tc>
          <w:tcPr>
            <w:tcW w:w="521" w:type="dxa"/>
            <w:noWrap w:val="0"/>
            <w:vAlign w:val="center"/>
          </w:tcPr>
          <w:p>
            <w:pPr>
              <w:spacing w:line="240" w:lineRule="auto"/>
              <w:jc w:val="center"/>
              <w:rPr>
                <w:rFonts w:hint="eastAsia" w:ascii="宋体" w:hAnsi="宋体" w:eastAsia="宋体" w:cs="宋体"/>
                <w:kern w:val="0"/>
                <w:sz w:val="20"/>
                <w:szCs w:val="20"/>
              </w:rPr>
            </w:pPr>
          </w:p>
        </w:tc>
        <w:tc>
          <w:tcPr>
            <w:tcW w:w="564" w:type="dxa"/>
            <w:noWrap w:val="0"/>
            <w:vAlign w:val="center"/>
          </w:tcPr>
          <w:p>
            <w:pPr>
              <w:spacing w:line="240" w:lineRule="auto"/>
              <w:jc w:val="center"/>
              <w:rPr>
                <w:rFonts w:hint="eastAsia" w:ascii="宋体" w:hAnsi="宋体" w:eastAsia="宋体" w:cs="宋体"/>
                <w:kern w:val="0"/>
                <w:sz w:val="20"/>
                <w:szCs w:val="20"/>
              </w:rPr>
            </w:pPr>
          </w:p>
        </w:tc>
        <w:tc>
          <w:tcPr>
            <w:tcW w:w="532" w:type="dxa"/>
            <w:noWrap w:val="0"/>
            <w:vAlign w:val="center"/>
          </w:tcPr>
          <w:p>
            <w:pPr>
              <w:spacing w:line="240" w:lineRule="auto"/>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exact"/>
          <w:jc w:val="center"/>
        </w:trPr>
        <w:tc>
          <w:tcPr>
            <w:tcW w:w="759" w:type="dxa"/>
            <w:noWrap w:val="0"/>
            <w:vAlign w:val="center"/>
          </w:tcPr>
          <w:p>
            <w:pPr>
              <w:autoSpaceDN w:val="0"/>
              <w:spacing w:line="240" w:lineRule="auto"/>
              <w:jc w:val="center"/>
              <w:textAlignment w:val="center"/>
              <w:rPr>
                <w:rFonts w:hint="eastAsia" w:ascii="宋体" w:hAnsi="宋体" w:eastAsia="宋体" w:cs="宋体"/>
                <w:color w:val="000000"/>
                <w:sz w:val="20"/>
                <w:szCs w:val="20"/>
              </w:rPr>
            </w:pPr>
          </w:p>
        </w:tc>
        <w:tc>
          <w:tcPr>
            <w:tcW w:w="1063" w:type="dxa"/>
            <w:noWrap w:val="0"/>
            <w:vAlign w:val="center"/>
          </w:tcPr>
          <w:p>
            <w:pPr>
              <w:autoSpaceDN w:val="0"/>
              <w:spacing w:line="240" w:lineRule="auto"/>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eastAsia="zh-CN"/>
              </w:rPr>
              <w:t>住建局综合资金</w:t>
            </w:r>
          </w:p>
        </w:tc>
        <w:tc>
          <w:tcPr>
            <w:tcW w:w="1107"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eastAsia="zh-CN"/>
              </w:rPr>
              <w:t>房屋征收经办中心文化北街、长青路改造、建设街厕所项目房屋征收补偿资金</w:t>
            </w:r>
          </w:p>
        </w:tc>
        <w:tc>
          <w:tcPr>
            <w:tcW w:w="864"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eastAsia="zh-CN"/>
              </w:rPr>
              <w:t>房屋征收经办中心</w:t>
            </w:r>
          </w:p>
        </w:tc>
        <w:tc>
          <w:tcPr>
            <w:tcW w:w="498" w:type="dxa"/>
            <w:noWrap w:val="0"/>
            <w:vAlign w:val="center"/>
          </w:tcPr>
          <w:p>
            <w:pPr>
              <w:spacing w:line="240" w:lineRule="auto"/>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19.06</w:t>
            </w:r>
          </w:p>
        </w:tc>
        <w:tc>
          <w:tcPr>
            <w:tcW w:w="553" w:type="dxa"/>
            <w:noWrap w:val="0"/>
            <w:vAlign w:val="center"/>
          </w:tcPr>
          <w:p>
            <w:pPr>
              <w:spacing w:line="240" w:lineRule="auto"/>
              <w:jc w:val="center"/>
              <w:rPr>
                <w:rFonts w:hint="eastAsia" w:ascii="宋体" w:hAnsi="宋体" w:eastAsia="宋体" w:cs="宋体"/>
                <w:kern w:val="0"/>
                <w:sz w:val="20"/>
                <w:szCs w:val="20"/>
              </w:rPr>
            </w:pPr>
          </w:p>
        </w:tc>
        <w:tc>
          <w:tcPr>
            <w:tcW w:w="554" w:type="dxa"/>
            <w:noWrap w:val="0"/>
            <w:vAlign w:val="center"/>
          </w:tcPr>
          <w:p>
            <w:pPr>
              <w:spacing w:line="240" w:lineRule="auto"/>
              <w:jc w:val="center"/>
              <w:rPr>
                <w:rFonts w:hint="eastAsia" w:ascii="宋体" w:hAnsi="宋体" w:eastAsia="宋体" w:cs="宋体"/>
                <w:kern w:val="0"/>
                <w:sz w:val="20"/>
                <w:szCs w:val="20"/>
              </w:rPr>
            </w:pPr>
          </w:p>
        </w:tc>
        <w:tc>
          <w:tcPr>
            <w:tcW w:w="521" w:type="dxa"/>
            <w:noWrap w:val="0"/>
            <w:vAlign w:val="center"/>
          </w:tcPr>
          <w:p>
            <w:pPr>
              <w:spacing w:line="240" w:lineRule="auto"/>
              <w:jc w:val="center"/>
              <w:rPr>
                <w:rFonts w:hint="eastAsia" w:ascii="宋体" w:hAnsi="宋体" w:eastAsia="宋体" w:cs="宋体"/>
                <w:kern w:val="0"/>
                <w:sz w:val="20"/>
                <w:szCs w:val="20"/>
              </w:rPr>
            </w:pPr>
          </w:p>
        </w:tc>
        <w:tc>
          <w:tcPr>
            <w:tcW w:w="564" w:type="dxa"/>
            <w:noWrap w:val="0"/>
            <w:vAlign w:val="center"/>
          </w:tcPr>
          <w:p>
            <w:pPr>
              <w:spacing w:line="240" w:lineRule="auto"/>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19.06</w:t>
            </w: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exact"/>
          <w:jc w:val="center"/>
        </w:trPr>
        <w:tc>
          <w:tcPr>
            <w:tcW w:w="759" w:type="dxa"/>
            <w:noWrap w:val="0"/>
            <w:vAlign w:val="center"/>
          </w:tcPr>
          <w:p>
            <w:pPr>
              <w:autoSpaceDN w:val="0"/>
              <w:spacing w:line="240" w:lineRule="auto"/>
              <w:jc w:val="center"/>
              <w:textAlignment w:val="center"/>
              <w:rPr>
                <w:rFonts w:hint="eastAsia" w:ascii="宋体" w:hAnsi="宋体" w:eastAsia="宋体" w:cs="宋体"/>
                <w:color w:val="000000"/>
                <w:sz w:val="20"/>
                <w:szCs w:val="20"/>
              </w:rPr>
            </w:pPr>
          </w:p>
        </w:tc>
        <w:tc>
          <w:tcPr>
            <w:tcW w:w="1063" w:type="dxa"/>
            <w:noWrap w:val="0"/>
            <w:vAlign w:val="center"/>
          </w:tcPr>
          <w:p>
            <w:pPr>
              <w:autoSpaceDN w:val="0"/>
              <w:spacing w:line="240" w:lineRule="auto"/>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eastAsia="zh-CN"/>
              </w:rPr>
              <w:t>辅助岗人员工资支出</w:t>
            </w:r>
          </w:p>
        </w:tc>
        <w:tc>
          <w:tcPr>
            <w:tcW w:w="1107"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eastAsia="zh-CN"/>
              </w:rPr>
              <w:t>房屋征收经办中心辅助岗位人员工资</w:t>
            </w:r>
          </w:p>
        </w:tc>
        <w:tc>
          <w:tcPr>
            <w:tcW w:w="864" w:type="dxa"/>
            <w:noWrap w:val="0"/>
            <w:vAlign w:val="center"/>
          </w:tcPr>
          <w:p>
            <w:pPr>
              <w:spacing w:line="24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eastAsia="zh-CN"/>
              </w:rPr>
              <w:t>房屋征收经办中心</w:t>
            </w:r>
          </w:p>
        </w:tc>
        <w:tc>
          <w:tcPr>
            <w:tcW w:w="498" w:type="dxa"/>
            <w:noWrap w:val="0"/>
            <w:vAlign w:val="center"/>
          </w:tcPr>
          <w:p>
            <w:pPr>
              <w:spacing w:line="240" w:lineRule="auto"/>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64.72</w:t>
            </w:r>
          </w:p>
        </w:tc>
        <w:tc>
          <w:tcPr>
            <w:tcW w:w="553" w:type="dxa"/>
            <w:noWrap w:val="0"/>
            <w:vAlign w:val="center"/>
          </w:tcPr>
          <w:p>
            <w:pPr>
              <w:spacing w:line="240" w:lineRule="auto"/>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64.72</w:t>
            </w:r>
          </w:p>
        </w:tc>
        <w:tc>
          <w:tcPr>
            <w:tcW w:w="554" w:type="dxa"/>
            <w:noWrap w:val="0"/>
            <w:vAlign w:val="center"/>
          </w:tcPr>
          <w:p>
            <w:pPr>
              <w:spacing w:line="240" w:lineRule="auto"/>
              <w:jc w:val="center"/>
              <w:rPr>
                <w:rFonts w:hint="eastAsia" w:ascii="宋体" w:hAnsi="宋体" w:eastAsia="宋体" w:cs="宋体"/>
                <w:kern w:val="0"/>
                <w:sz w:val="20"/>
                <w:szCs w:val="20"/>
              </w:rPr>
            </w:pPr>
          </w:p>
        </w:tc>
        <w:tc>
          <w:tcPr>
            <w:tcW w:w="521" w:type="dxa"/>
            <w:noWrap w:val="0"/>
            <w:vAlign w:val="center"/>
          </w:tcPr>
          <w:p>
            <w:pPr>
              <w:spacing w:line="240" w:lineRule="auto"/>
              <w:jc w:val="center"/>
              <w:rPr>
                <w:rFonts w:hint="eastAsia" w:ascii="宋体" w:hAnsi="宋体" w:eastAsia="宋体" w:cs="宋体"/>
                <w:kern w:val="0"/>
                <w:sz w:val="20"/>
                <w:szCs w:val="20"/>
              </w:rPr>
            </w:pPr>
          </w:p>
        </w:tc>
        <w:tc>
          <w:tcPr>
            <w:tcW w:w="564" w:type="dxa"/>
            <w:noWrap w:val="0"/>
            <w:vAlign w:val="center"/>
          </w:tcPr>
          <w:p>
            <w:pPr>
              <w:spacing w:line="240" w:lineRule="auto"/>
              <w:jc w:val="center"/>
              <w:rPr>
                <w:rFonts w:hint="eastAsia" w:ascii="宋体" w:hAnsi="宋体" w:eastAsia="宋体" w:cs="宋体"/>
                <w:kern w:val="0"/>
                <w:sz w:val="20"/>
                <w:szCs w:val="20"/>
              </w:rPr>
            </w:pPr>
          </w:p>
        </w:tc>
        <w:tc>
          <w:tcPr>
            <w:tcW w:w="532" w:type="dxa"/>
            <w:noWrap w:val="0"/>
            <w:vAlign w:val="center"/>
          </w:tcPr>
          <w:p>
            <w:pPr>
              <w:spacing w:line="240" w:lineRule="auto"/>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exact"/>
          <w:jc w:val="center"/>
        </w:trPr>
        <w:tc>
          <w:tcPr>
            <w:tcW w:w="759" w:type="dxa"/>
            <w:noWrap w:val="0"/>
            <w:vAlign w:val="center"/>
          </w:tcPr>
          <w:p>
            <w:pPr>
              <w:autoSpaceDN w:val="0"/>
              <w:spacing w:line="240" w:lineRule="auto"/>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eastAsia="zh-CN"/>
              </w:rPr>
              <w:t>合计</w:t>
            </w:r>
          </w:p>
        </w:tc>
        <w:tc>
          <w:tcPr>
            <w:tcW w:w="1063" w:type="dxa"/>
            <w:noWrap w:val="0"/>
            <w:vAlign w:val="center"/>
          </w:tcPr>
          <w:p>
            <w:pPr>
              <w:autoSpaceDN w:val="0"/>
              <w:spacing w:line="240" w:lineRule="auto"/>
              <w:jc w:val="center"/>
              <w:textAlignment w:val="center"/>
              <w:rPr>
                <w:rFonts w:hint="eastAsia" w:ascii="宋体" w:hAnsi="宋体" w:eastAsia="宋体" w:cs="宋体"/>
                <w:color w:val="000000"/>
                <w:sz w:val="20"/>
                <w:szCs w:val="20"/>
              </w:rPr>
            </w:pPr>
          </w:p>
        </w:tc>
        <w:tc>
          <w:tcPr>
            <w:tcW w:w="1107" w:type="dxa"/>
            <w:noWrap w:val="0"/>
            <w:vAlign w:val="center"/>
          </w:tcPr>
          <w:p>
            <w:pPr>
              <w:spacing w:line="240" w:lineRule="auto"/>
              <w:jc w:val="center"/>
              <w:rPr>
                <w:rFonts w:hint="eastAsia" w:ascii="宋体" w:hAnsi="宋体" w:eastAsia="宋体" w:cs="宋体"/>
                <w:kern w:val="0"/>
                <w:sz w:val="20"/>
                <w:szCs w:val="20"/>
              </w:rPr>
            </w:pPr>
          </w:p>
        </w:tc>
        <w:tc>
          <w:tcPr>
            <w:tcW w:w="864" w:type="dxa"/>
            <w:noWrap w:val="0"/>
            <w:vAlign w:val="center"/>
          </w:tcPr>
          <w:p>
            <w:pPr>
              <w:spacing w:line="240" w:lineRule="auto"/>
              <w:jc w:val="center"/>
              <w:rPr>
                <w:rFonts w:hint="eastAsia" w:ascii="宋体" w:hAnsi="宋体" w:eastAsia="宋体" w:cs="宋体"/>
                <w:kern w:val="0"/>
                <w:sz w:val="20"/>
                <w:szCs w:val="20"/>
              </w:rPr>
            </w:pPr>
          </w:p>
        </w:tc>
        <w:tc>
          <w:tcPr>
            <w:tcW w:w="498" w:type="dxa"/>
            <w:noWrap w:val="0"/>
            <w:vAlign w:val="center"/>
          </w:tcPr>
          <w:p>
            <w:pPr>
              <w:spacing w:line="240" w:lineRule="auto"/>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724.53</w:t>
            </w:r>
          </w:p>
        </w:tc>
        <w:tc>
          <w:tcPr>
            <w:tcW w:w="553" w:type="dxa"/>
            <w:noWrap w:val="0"/>
            <w:vAlign w:val="center"/>
          </w:tcPr>
          <w:p>
            <w:pPr>
              <w:spacing w:line="240" w:lineRule="auto"/>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705.47</w:t>
            </w:r>
          </w:p>
        </w:tc>
        <w:tc>
          <w:tcPr>
            <w:tcW w:w="554" w:type="dxa"/>
            <w:noWrap w:val="0"/>
            <w:vAlign w:val="center"/>
          </w:tcPr>
          <w:p>
            <w:pPr>
              <w:spacing w:line="240" w:lineRule="auto"/>
              <w:jc w:val="center"/>
              <w:rPr>
                <w:rFonts w:hint="eastAsia" w:ascii="宋体" w:hAnsi="宋体" w:eastAsia="宋体" w:cs="宋体"/>
                <w:kern w:val="0"/>
                <w:sz w:val="20"/>
                <w:szCs w:val="20"/>
              </w:rPr>
            </w:pPr>
          </w:p>
        </w:tc>
        <w:tc>
          <w:tcPr>
            <w:tcW w:w="521" w:type="dxa"/>
            <w:noWrap w:val="0"/>
            <w:vAlign w:val="center"/>
          </w:tcPr>
          <w:p>
            <w:pPr>
              <w:spacing w:line="240" w:lineRule="auto"/>
              <w:jc w:val="center"/>
              <w:rPr>
                <w:rFonts w:hint="eastAsia" w:ascii="宋体" w:hAnsi="宋体" w:eastAsia="宋体" w:cs="宋体"/>
                <w:kern w:val="0"/>
                <w:sz w:val="20"/>
                <w:szCs w:val="20"/>
              </w:rPr>
            </w:pPr>
          </w:p>
        </w:tc>
        <w:tc>
          <w:tcPr>
            <w:tcW w:w="564" w:type="dxa"/>
            <w:noWrap w:val="0"/>
            <w:vAlign w:val="center"/>
          </w:tcPr>
          <w:p>
            <w:pPr>
              <w:spacing w:line="240" w:lineRule="auto"/>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19.06</w:t>
            </w:r>
          </w:p>
        </w:tc>
        <w:tc>
          <w:tcPr>
            <w:tcW w:w="532" w:type="dxa"/>
            <w:noWrap w:val="0"/>
            <w:vAlign w:val="center"/>
          </w:tcPr>
          <w:p>
            <w:pPr>
              <w:spacing w:line="240" w:lineRule="auto"/>
              <w:jc w:val="center"/>
              <w:rPr>
                <w:rFonts w:hint="eastAsia" w:ascii="宋体" w:hAnsi="宋体" w:eastAsia="宋体" w:cs="宋体"/>
                <w:kern w:val="0"/>
                <w:sz w:val="20"/>
                <w:szCs w:val="20"/>
              </w:rPr>
            </w:pPr>
          </w:p>
        </w:tc>
        <w:tc>
          <w:tcPr>
            <w:tcW w:w="598" w:type="dxa"/>
            <w:noWrap w:val="0"/>
            <w:vAlign w:val="center"/>
          </w:tcPr>
          <w:p>
            <w:pPr>
              <w:spacing w:line="240" w:lineRule="auto"/>
              <w:jc w:val="center"/>
              <w:rPr>
                <w:rFonts w:hint="eastAsia" w:ascii="宋体" w:hAnsi="宋体" w:eastAsia="宋体" w:cs="宋体"/>
                <w:kern w:val="0"/>
                <w:sz w:val="20"/>
                <w:szCs w:val="20"/>
              </w:rPr>
            </w:pPr>
          </w:p>
        </w:tc>
        <w:tc>
          <w:tcPr>
            <w:tcW w:w="443" w:type="dxa"/>
            <w:noWrap w:val="0"/>
            <w:vAlign w:val="center"/>
          </w:tcPr>
          <w:p>
            <w:pPr>
              <w:spacing w:line="240" w:lineRule="auto"/>
              <w:jc w:val="center"/>
              <w:rPr>
                <w:rFonts w:hint="eastAsia" w:ascii="宋体" w:hAnsi="宋体" w:eastAsia="宋体" w:cs="宋体"/>
                <w:kern w:val="0"/>
                <w:sz w:val="20"/>
                <w:szCs w:val="20"/>
              </w:rPr>
            </w:pPr>
          </w:p>
        </w:tc>
        <w:tc>
          <w:tcPr>
            <w:tcW w:w="425" w:type="dxa"/>
            <w:noWrap w:val="0"/>
            <w:vAlign w:val="center"/>
          </w:tcPr>
          <w:p>
            <w:pPr>
              <w:spacing w:line="240" w:lineRule="auto"/>
              <w:jc w:val="center"/>
              <w:rPr>
                <w:rFonts w:hint="eastAsia" w:ascii="宋体" w:hAnsi="宋体" w:eastAsia="宋体" w:cs="宋体"/>
                <w:kern w:val="0"/>
                <w:sz w:val="20"/>
                <w:szCs w:val="20"/>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2024年三达污水有限公司城市污水处理费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kern w:val="0"/>
                <w:sz w:val="20"/>
                <w:szCs w:val="20"/>
                <w:lang w:val="en-US" w:eastAsia="zh-CN"/>
              </w:rPr>
              <w:t>621.23</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kern w:val="0"/>
                <w:sz w:val="20"/>
                <w:szCs w:val="20"/>
                <w:lang w:val="en-US" w:eastAsia="zh-CN"/>
              </w:rPr>
              <w:t>621.23</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p>
          <w:p>
            <w:pPr>
              <w:autoSpaceDN w:val="0"/>
              <w:jc w:val="center"/>
              <w:textAlignment w:val="center"/>
              <w:rPr>
                <w:rFonts w:hint="eastAsia" w:ascii="宋体" w:hAnsi="宋体" w:eastAsia="宋体" w:cs="宋体"/>
                <w:color w:val="000000"/>
                <w:sz w:val="20"/>
                <w:lang w:eastAsia="zh-CN"/>
              </w:rPr>
            </w:pPr>
          </w:p>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用于污水处理厂运营中所产生的电费、药剂费、人工费等</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用电量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2800000度</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药剂数量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13000吨</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工作人数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24人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污水处理达标率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用电单价</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1.15元/度</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药剂成本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26000元/吨</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工作人员工资</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5700元/人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污水处理及时率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污水净化率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居民满意度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bl>
    <w:p>
      <w:pPr>
        <w:spacing w:line="700" w:lineRule="exact"/>
        <w:rPr>
          <w:rFonts w:hint="eastAsia" w:ascii="楷体" w:hAnsi="楷体" w:eastAsia="楷体" w:cs="楷体"/>
          <w:kern w:val="0"/>
          <w:sz w:val="24"/>
          <w:szCs w:val="24"/>
        </w:rPr>
      </w:pPr>
      <w:r>
        <w:rPr>
          <w:rFonts w:hint="eastAsia" w:eastAsia="楷体"/>
          <w:kern w:val="0"/>
          <w:szCs w:val="32"/>
        </w:rPr>
        <w:br w:type="page"/>
      </w: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退休人员补差</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1.03</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1.03</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415"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ind w:firstLine="600" w:firstLineChars="300"/>
              <w:jc w:val="both"/>
              <w:rPr>
                <w:rFonts w:hint="eastAsia" w:asciiTheme="minorEastAsia" w:hAnsiTheme="minorEastAsia" w:eastAsiaTheme="minorEastAsia" w:cstheme="minorEastAsia"/>
                <w:sz w:val="20"/>
                <w:szCs w:val="20"/>
              </w:rPr>
            </w:pPr>
          </w:p>
          <w:p>
            <w:pPr>
              <w:ind w:firstLine="600" w:firstLineChars="30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按照县里专题会议纪要</w:t>
            </w:r>
            <w:r>
              <w:rPr>
                <w:rFonts w:hint="eastAsia" w:asciiTheme="minorEastAsia" w:hAnsiTheme="minorEastAsia" w:eastAsiaTheme="minorEastAsia" w:cstheme="minorEastAsia"/>
                <w:sz w:val="20"/>
                <w:szCs w:val="20"/>
                <w:lang w:val="en-US" w:eastAsia="zh-CN"/>
              </w:rPr>
              <w:t>房屋产权交易管理</w:t>
            </w:r>
            <w:r>
              <w:rPr>
                <w:rFonts w:hint="eastAsia" w:asciiTheme="minorEastAsia" w:hAnsiTheme="minorEastAsia" w:eastAsiaTheme="minorEastAsia" w:cstheme="minorEastAsia"/>
                <w:sz w:val="20"/>
                <w:szCs w:val="20"/>
              </w:rPr>
              <w:t>中心现</w:t>
            </w:r>
            <w:r>
              <w:rPr>
                <w:rFonts w:hint="eastAsia" w:asciiTheme="minorEastAsia" w:hAnsiTheme="minorEastAsia" w:eastAsiaTheme="minorEastAsia" w:cstheme="minorEastAsia"/>
                <w:sz w:val="20"/>
                <w:szCs w:val="20"/>
                <w:lang w:val="en-US" w:eastAsia="zh-CN"/>
              </w:rPr>
              <w:t>4</w:t>
            </w:r>
            <w:r>
              <w:rPr>
                <w:rFonts w:hint="eastAsia" w:asciiTheme="minorEastAsia" w:hAnsiTheme="minorEastAsia" w:eastAsiaTheme="minorEastAsia" w:cstheme="minorEastAsia"/>
                <w:sz w:val="20"/>
                <w:szCs w:val="20"/>
              </w:rPr>
              <w:t>名退休人员的社保养老金与事业单位退休人员退休工资之间的差由财政局审核后拨付。</w:t>
            </w:r>
          </w:p>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补差月份（月）</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补发金额（万元）</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0.086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提高退休人员生活水平（%）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退休人员满意度（%）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退役士兵安置工资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7.69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7.69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415"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ind w:firstLine="600" w:firstLineChars="300"/>
              <w:jc w:val="both"/>
              <w:rPr>
                <w:rFonts w:hint="eastAsia" w:asciiTheme="minorEastAsia" w:hAnsiTheme="minorEastAsia" w:eastAsiaTheme="minorEastAsia" w:cstheme="minorEastAsia"/>
                <w:sz w:val="20"/>
                <w:szCs w:val="20"/>
              </w:rPr>
            </w:pPr>
          </w:p>
          <w:p>
            <w:pPr>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z w:val="20"/>
                <w:szCs w:val="20"/>
                <w:lang w:val="en-US" w:eastAsia="zh-CN"/>
              </w:rPr>
              <w:t>根据县信访联席会议纪要规定，分配到房产退役士兵邵海峰未纳入正式编制前，由县财政以工资补贴形式负责保障，为此邵海峰工资</w:t>
            </w:r>
            <w:r>
              <w:rPr>
                <w:rFonts w:hint="eastAsia" w:asciiTheme="minorEastAsia" w:hAnsiTheme="minorEastAsia" w:eastAsiaTheme="minorEastAsia" w:cstheme="minorEastAsia"/>
                <w:sz w:val="20"/>
                <w:szCs w:val="20"/>
              </w:rPr>
              <w:t>由财政局审核后拨付给房产中心。</w:t>
            </w:r>
          </w:p>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发放月份（月）</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400" w:firstLineChars="2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发放金额（万元）</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0.641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提高退役士兵生活水平（%）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退役士兵满意度（%）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both"/>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驻村工作队生活补助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415"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ind w:firstLine="600" w:firstLineChars="300"/>
              <w:jc w:val="both"/>
              <w:rPr>
                <w:rFonts w:hint="eastAsia" w:asciiTheme="minorEastAsia" w:hAnsiTheme="minorEastAsia" w:eastAsiaTheme="minorEastAsia" w:cstheme="minorEastAsia"/>
                <w:sz w:val="20"/>
                <w:szCs w:val="20"/>
              </w:rPr>
            </w:pPr>
          </w:p>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按照县委县政府关于脱贫攻坚工作要求，驻村工作队每人每天补助100元，我单位有2人参与驻村工作2024年1-12月共计7.2万元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驻村天数（天）</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每天补助金额（万元）</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0.01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提高驻村人员生活水平（%）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rPr>
          <w:rFonts w:hint="eastAsia"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房屋征收经办中心驻村干部驻村补助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3.60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该笔资金用于支付我单位驻村干部的驻村补助费用。</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补助资金发放准确率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平均每个月的驻村补助</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0.3万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乡村振兴建设效果</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扶贫对象对驻村干部工作的满意度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100%</w:t>
            </w:r>
          </w:p>
        </w:tc>
      </w:tr>
    </w:tbl>
    <w:p>
      <w:pPr>
        <w:spacing w:line="700" w:lineRule="exact"/>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房屋征收经办中心文化北街、长青路改造、建设街厕所项目房屋征收补偿资金</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19.06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19.06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该笔资金用于文化北街、长青路改造、建设街厕所项目房屋征收补偿资金的支付。</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项目数量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3个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补偿款发放准确率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每个项目需要的补偿资金</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6.35万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补偿款发放及时率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被征收户对政府公信力的认可程度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被征收户的满意度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bl>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房屋征收经办中心辅助岗位人员工资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64.72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64.72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该笔资金用于我单位</w:t>
            </w:r>
            <w:r>
              <w:rPr>
                <w:rFonts w:hint="eastAsia" w:ascii="宋体" w:hAnsi="宋体" w:eastAsia="宋体" w:cs="宋体"/>
                <w:color w:val="000000"/>
                <w:sz w:val="20"/>
                <w:lang w:val="en-US" w:eastAsia="zh-CN"/>
              </w:rPr>
              <w:t>2024年18位辅岗人员的工资（含五险一金）发放。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辅岗人数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18人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工资发放准确率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平均每个人的工资数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3.60万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保障员工生活支出</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辅岗及辅岗家庭的满意度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bl>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p>
      <w:pPr>
        <w:spacing w:line="700" w:lineRule="exact"/>
        <w:rPr>
          <w:rFonts w:hint="eastAsia" w:eastAsia="楷体"/>
          <w:kern w:val="0"/>
          <w:szCs w:val="32"/>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2235.13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2216.07</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19.06</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年预算增加（减少）</w:t>
      </w:r>
      <w:r>
        <w:rPr>
          <w:rFonts w:hint="eastAsia" w:ascii="仿宋_GB2312" w:hAnsi="仿宋_GB2312" w:cs="仿宋_GB2312"/>
          <w:szCs w:val="32"/>
          <w:lang w:val="en-US" w:eastAsia="zh-CN"/>
        </w:rPr>
        <w:t>399.62</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部分工程已完工，无需再增加预算，</w:t>
      </w:r>
      <w:r>
        <w:rPr>
          <w:rFonts w:hint="eastAsia" w:ascii="仿宋_GB2312" w:hAnsi="仿宋_GB2312" w:cs="仿宋_GB2312"/>
          <w:szCs w:val="32"/>
          <w:lang w:val="en-US" w:eastAsia="zh-CN"/>
        </w:rPr>
        <w:t>城乡社区支出减少，</w:t>
      </w:r>
      <w:r>
        <w:rPr>
          <w:rFonts w:hint="eastAsia" w:ascii="仿宋_GB2312" w:hAnsi="仿宋_GB2312" w:cs="仿宋_GB2312"/>
          <w:szCs w:val="32"/>
          <w:u w:val="none"/>
          <w:lang w:eastAsia="zh-CN"/>
        </w:rPr>
        <w:t>办公经费减少</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2235.13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2216.07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99.15</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19.06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0.85</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2216.07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19.06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2235.13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1510.6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67.58</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724.53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32.42</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2235.13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2216.07</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19.06</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185.33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60.06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621.23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1260.14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108.37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2235.13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1510.6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67.58</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724.53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32.42</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1439.32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95.28</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71.28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4.72</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185.33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8.29</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缴纳养老保险和职业年金</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108.37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4.85</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缴纳公务员住房公积金</w:t>
      </w:r>
      <w:r>
        <w:rPr>
          <w:rFonts w:hint="eastAsia" w:ascii="仿宋_GB2312" w:hAnsi="仿宋_GB2312" w:eastAsia="仿宋_GB2312" w:cs="仿宋_GB2312"/>
          <w:szCs w:val="32"/>
        </w:rPr>
        <w:t>。</w:t>
      </w:r>
    </w:p>
    <w:p>
      <w:pPr>
        <w:spacing w:line="520" w:lineRule="exact"/>
        <w:ind w:firstLine="200"/>
        <w:rPr>
          <w:rFonts w:hint="eastAsia" w:ascii="仿宋_GB2312" w:hAnsi="仿宋_GB2312" w:cs="仿宋_GB2312"/>
          <w:szCs w:val="32"/>
          <w:lang w:val="en-US" w:eastAsia="zh-CN"/>
        </w:rPr>
      </w:pPr>
      <w:r>
        <w:rPr>
          <w:rFonts w:hint="eastAsia" w:ascii="仿宋_GB2312" w:hAnsi="仿宋_GB2312" w:eastAsia="仿宋_GB2312" w:cs="仿宋_GB2312"/>
          <w:kern w:val="0"/>
          <w:szCs w:val="32"/>
        </w:rPr>
        <w:t>卫生健康</w:t>
      </w:r>
      <w:r>
        <w:rPr>
          <w:rFonts w:hint="eastAsia" w:ascii="仿宋_GB2312" w:hAnsi="仿宋_GB2312" w:eastAsia="仿宋_GB2312" w:cs="仿宋_GB2312"/>
          <w:szCs w:val="32"/>
        </w:rPr>
        <w:t>（类）支出</w:t>
      </w:r>
      <w:r>
        <w:rPr>
          <w:rFonts w:hint="eastAsia" w:ascii="仿宋_GB2312" w:hAnsi="仿宋_GB2312" w:cs="仿宋_GB2312"/>
          <w:szCs w:val="32"/>
          <w:lang w:val="en-US" w:eastAsia="zh-CN"/>
        </w:rPr>
        <w:t>60.06万元，占2.69%，主要用于缴纳医疗保险和其他行政事业单位医疗。</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kern w:val="0"/>
          <w:szCs w:val="32"/>
        </w:rPr>
        <w:t>城乡社区</w:t>
      </w:r>
      <w:r>
        <w:rPr>
          <w:rFonts w:hint="eastAsia" w:ascii="仿宋_GB2312" w:hAnsi="仿宋_GB2312" w:cs="仿宋_GB2312"/>
          <w:kern w:val="0"/>
          <w:szCs w:val="32"/>
          <w:lang w:eastAsia="zh-CN"/>
        </w:rPr>
        <w:t>（</w:t>
      </w:r>
      <w:r>
        <w:rPr>
          <w:rFonts w:hint="eastAsia" w:ascii="仿宋_GB2312" w:hAnsi="仿宋_GB2312" w:cs="仿宋_GB2312"/>
          <w:kern w:val="0"/>
          <w:szCs w:val="32"/>
          <w:lang w:val="en-US" w:eastAsia="zh-CN"/>
        </w:rPr>
        <w:t>类</w:t>
      </w:r>
      <w:r>
        <w:rPr>
          <w:rFonts w:hint="eastAsia" w:ascii="仿宋_GB2312" w:hAnsi="仿宋_GB2312" w:cs="仿宋_GB2312"/>
          <w:kern w:val="0"/>
          <w:szCs w:val="32"/>
          <w:lang w:eastAsia="zh-CN"/>
        </w:rPr>
        <w:t>）</w:t>
      </w:r>
      <w:r>
        <w:rPr>
          <w:rFonts w:hint="eastAsia" w:ascii="仿宋_GB2312" w:hAnsi="仿宋_GB2312" w:eastAsia="仿宋_GB2312" w:cs="仿宋_GB2312"/>
          <w:kern w:val="0"/>
          <w:szCs w:val="32"/>
        </w:rPr>
        <w:t>支出</w:t>
      </w:r>
      <w:r>
        <w:rPr>
          <w:rFonts w:hint="eastAsia" w:ascii="仿宋_GB2312" w:hAnsi="仿宋_GB2312" w:cs="仿宋_GB2312"/>
          <w:szCs w:val="32"/>
          <w:lang w:val="en-US" w:eastAsia="zh-CN"/>
        </w:rPr>
        <w:t>1260.14</w:t>
      </w:r>
      <w:r>
        <w:rPr>
          <w:rFonts w:hint="eastAsia" w:ascii="仿宋_GB2312" w:hAnsi="仿宋_GB2312" w:eastAsia="仿宋_GB2312" w:cs="仿宋_GB2312"/>
          <w:szCs w:val="32"/>
        </w:rPr>
        <w:t>万元</w:t>
      </w:r>
      <w:r>
        <w:rPr>
          <w:rFonts w:hint="eastAsia" w:ascii="仿宋_GB2312" w:hAnsi="仿宋_GB2312" w:cs="仿宋_GB2312"/>
          <w:szCs w:val="32"/>
          <w:lang w:eastAsia="zh-CN"/>
        </w:rPr>
        <w:t>，</w:t>
      </w:r>
      <w:r>
        <w:rPr>
          <w:rFonts w:hint="eastAsia" w:ascii="仿宋_GB2312" w:hAnsi="仿宋_GB2312" w:cs="仿宋_GB2312"/>
          <w:szCs w:val="32"/>
          <w:lang w:val="en-US" w:eastAsia="zh-CN"/>
        </w:rPr>
        <w:t>占56.38%，主要用于基本支出。</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1510.6</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1439.32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71.28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0.00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0.00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万元，主要原因是</w:t>
      </w:r>
      <w:r>
        <w:rPr>
          <w:rFonts w:eastAsia="楷体"/>
          <w:szCs w:val="32"/>
        </w:rPr>
        <w:t>本部门无一般公共预算拨款</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0.00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万元，主要原因是</w:t>
      </w:r>
      <w:r>
        <w:rPr>
          <w:rFonts w:eastAsia="楷体"/>
          <w:szCs w:val="32"/>
        </w:rPr>
        <w:t>本部门无一般公共预算拨款</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0.00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0.00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万元，主要原因是</w:t>
      </w:r>
      <w:r>
        <w:rPr>
          <w:rFonts w:eastAsia="楷体"/>
          <w:szCs w:val="32"/>
        </w:rPr>
        <w:t>本部门无一般公共预算拨款</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0.00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0.00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万元，主要原因是</w:t>
      </w:r>
      <w:r>
        <w:rPr>
          <w:rFonts w:eastAsia="楷体"/>
          <w:szCs w:val="32"/>
        </w:rPr>
        <w:t>本部门无一般公共预算拨款</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highlight w:val="none"/>
          <w:lang w:val="en-US" w:eastAsia="zh-CN"/>
        </w:rPr>
        <w:t>0.00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eastAsia="楷体"/>
          <w:szCs w:val="32"/>
        </w:rPr>
        <w:t>本部门无政府性基金预算拨款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highlight w:val="none"/>
          <w:lang w:val="en-US" w:eastAsia="zh-CN"/>
        </w:rPr>
        <w:t>0.00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eastAsia="楷体"/>
          <w:szCs w:val="32"/>
        </w:rPr>
        <w:t>本部门无政府性基金预算拨款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szCs w:val="32"/>
          <w:highlight w:val="none"/>
          <w:lang w:val="en-US" w:eastAsia="zh-CN"/>
        </w:rPr>
        <w:t>0.00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eastAsia="楷体"/>
          <w:szCs w:val="32"/>
        </w:rPr>
        <w:t>本部门无政府性基金预算拨款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highlight w:val="none"/>
          <w:lang w:val="en-US" w:eastAsia="zh-CN"/>
        </w:rPr>
        <w:t>0.00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eastAsia="楷体"/>
          <w:szCs w:val="32"/>
        </w:rPr>
        <w:t>本部门无政府性基金预算拨款</w:t>
      </w:r>
      <w:r>
        <w:rPr>
          <w:rFonts w:hint="eastAsia" w:ascii="仿宋_GB2312" w:hAnsi="仿宋_GB2312" w:eastAsia="仿宋_GB2312" w:cs="仿宋_GB2312"/>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lang w:val="en-US" w:eastAsia="zh-CN"/>
        </w:rPr>
        <w:t>0.00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lang w:val="en-US" w:eastAsia="zh-CN"/>
        </w:rPr>
        <w:t>0.00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%；项目支出</w:t>
      </w:r>
      <w:r>
        <w:rPr>
          <w:rFonts w:hint="eastAsia" w:ascii="仿宋_GB2312" w:hAnsi="仿宋_GB2312" w:cs="仿宋_GB2312"/>
          <w:szCs w:val="32"/>
          <w:highlight w:val="none"/>
          <w:lang w:val="en-US" w:eastAsia="zh-CN"/>
        </w:rPr>
        <w:t>0.00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lang w:val="en-US" w:eastAsia="zh-CN"/>
        </w:rPr>
        <w:t>0.00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lang w:val="en-US" w:eastAsia="zh-CN"/>
        </w:rPr>
        <w:t>0.00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lang w:val="en-US" w:eastAsia="zh-CN"/>
        </w:rPr>
        <w:t>0.00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lang w:val="en-US" w:eastAsia="zh-CN"/>
        </w:rPr>
        <w:t>0.00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eastAsia="zh-CN"/>
        </w:rPr>
        <w:t>一家行政单位，三家事业单位，</w:t>
      </w:r>
      <w:r>
        <w:rPr>
          <w:rFonts w:hint="eastAsia" w:ascii="仿宋_GB2312" w:hAnsi="仿宋_GB2312" w:eastAsia="仿宋_GB2312" w:cs="仿宋_GB2312"/>
          <w:szCs w:val="32"/>
        </w:rPr>
        <w:t>机关运行经费财政拨款预算</w:t>
      </w:r>
      <w:r>
        <w:rPr>
          <w:rFonts w:hint="eastAsia" w:ascii="仿宋_GB2312" w:hAnsi="仿宋_GB2312" w:cs="仿宋_GB2312"/>
          <w:szCs w:val="32"/>
          <w:lang w:val="en-US" w:eastAsia="zh-CN"/>
        </w:rPr>
        <w:t>2216.07</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399.62</w:t>
      </w:r>
      <w:r>
        <w:rPr>
          <w:rFonts w:hint="eastAsia" w:ascii="仿宋_GB2312" w:hAnsi="仿宋_GB2312" w:eastAsia="仿宋_GB2312" w:cs="仿宋_GB2312"/>
          <w:szCs w:val="32"/>
        </w:rPr>
        <w:t>万元，增长（下降）</w:t>
      </w:r>
      <w:r>
        <w:rPr>
          <w:rFonts w:hint="eastAsia" w:ascii="仿宋_GB2312" w:hAnsi="仿宋_GB2312" w:cs="仿宋_GB2312"/>
          <w:szCs w:val="32"/>
          <w:lang w:val="en-US" w:eastAsia="zh-CN"/>
        </w:rPr>
        <w:t>15.23</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部分工程已完工，无需再增加预算，</w:t>
      </w:r>
      <w:r>
        <w:rPr>
          <w:rFonts w:hint="eastAsia" w:ascii="仿宋_GB2312" w:hAnsi="仿宋_GB2312" w:cs="仿宋_GB2312"/>
          <w:szCs w:val="32"/>
          <w:lang w:val="en-US" w:eastAsia="zh-CN"/>
        </w:rPr>
        <w:t>城乡社区支出减少，办公经费减少</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0.00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4145.19</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724.53</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7</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705.47</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19.06</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0</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lang w:val="en-US" w:eastAsia="zh-CN"/>
        </w:rPr>
        <w:t>0.00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kern w:val="0"/>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方正小标宋简体">
    <w:altName w:val="宋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mODA3ZDdkZmFjMWMwM2Y3NTU1MzQzMTI4OWE0ODEifQ=="/>
  </w:docVars>
  <w:rsids>
    <w:rsidRoot w:val="48674ED2"/>
    <w:rsid w:val="000C6D48"/>
    <w:rsid w:val="000D7FB8"/>
    <w:rsid w:val="00102492"/>
    <w:rsid w:val="00145456"/>
    <w:rsid w:val="00204113"/>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2A7F36"/>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2D393D"/>
    <w:rsid w:val="1C852172"/>
    <w:rsid w:val="1CA40C0C"/>
    <w:rsid w:val="1CFF4A32"/>
    <w:rsid w:val="1D833200"/>
    <w:rsid w:val="1E2D59A2"/>
    <w:rsid w:val="1E3A3FD0"/>
    <w:rsid w:val="1EB55C07"/>
    <w:rsid w:val="1F351A10"/>
    <w:rsid w:val="1FED47E9"/>
    <w:rsid w:val="20113D84"/>
    <w:rsid w:val="206816AC"/>
    <w:rsid w:val="22A4003E"/>
    <w:rsid w:val="23984063"/>
    <w:rsid w:val="23CE11F0"/>
    <w:rsid w:val="23EC61F6"/>
    <w:rsid w:val="244C543C"/>
    <w:rsid w:val="24624768"/>
    <w:rsid w:val="24BB79C6"/>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2FC1DE8"/>
    <w:rsid w:val="3316226B"/>
    <w:rsid w:val="335402B5"/>
    <w:rsid w:val="339466B2"/>
    <w:rsid w:val="34555AF5"/>
    <w:rsid w:val="35616772"/>
    <w:rsid w:val="35EA1663"/>
    <w:rsid w:val="364C598E"/>
    <w:rsid w:val="367808F9"/>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047E75"/>
    <w:rsid w:val="3D365BF6"/>
    <w:rsid w:val="3DF23324"/>
    <w:rsid w:val="3EA14040"/>
    <w:rsid w:val="3EE8108D"/>
    <w:rsid w:val="405745EF"/>
    <w:rsid w:val="40B80EFF"/>
    <w:rsid w:val="41A35364"/>
    <w:rsid w:val="41C31686"/>
    <w:rsid w:val="42982B4E"/>
    <w:rsid w:val="436B1E42"/>
    <w:rsid w:val="43993170"/>
    <w:rsid w:val="44054362"/>
    <w:rsid w:val="440A3726"/>
    <w:rsid w:val="449C5E6A"/>
    <w:rsid w:val="4556423A"/>
    <w:rsid w:val="456D114B"/>
    <w:rsid w:val="45EB670F"/>
    <w:rsid w:val="460C7C2A"/>
    <w:rsid w:val="46AB7C0D"/>
    <w:rsid w:val="46D44808"/>
    <w:rsid w:val="47827126"/>
    <w:rsid w:val="47CF49E6"/>
    <w:rsid w:val="4843587B"/>
    <w:rsid w:val="48674ED2"/>
    <w:rsid w:val="487708E6"/>
    <w:rsid w:val="48853CC3"/>
    <w:rsid w:val="48FD385A"/>
    <w:rsid w:val="495852A7"/>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AE7AC2"/>
    <w:rsid w:val="59BD150F"/>
    <w:rsid w:val="59DD570D"/>
    <w:rsid w:val="59FF5EDC"/>
    <w:rsid w:val="5A084708"/>
    <w:rsid w:val="5A7476F4"/>
    <w:rsid w:val="5AB343F7"/>
    <w:rsid w:val="5ABF50F2"/>
    <w:rsid w:val="5AF76904"/>
    <w:rsid w:val="5B052E7A"/>
    <w:rsid w:val="5B3D7F7E"/>
    <w:rsid w:val="5B5A2D8E"/>
    <w:rsid w:val="5B7C7777"/>
    <w:rsid w:val="5B9462A0"/>
    <w:rsid w:val="5BEC6771"/>
    <w:rsid w:val="5CA506B9"/>
    <w:rsid w:val="5CFD5FB2"/>
    <w:rsid w:val="5D2B52D8"/>
    <w:rsid w:val="5D5A7C63"/>
    <w:rsid w:val="5E256F6F"/>
    <w:rsid w:val="5F6235A9"/>
    <w:rsid w:val="609E292C"/>
    <w:rsid w:val="614125C2"/>
    <w:rsid w:val="624C5C52"/>
    <w:rsid w:val="63952BB5"/>
    <w:rsid w:val="63DF08E4"/>
    <w:rsid w:val="64127E15"/>
    <w:rsid w:val="64C04AFD"/>
    <w:rsid w:val="64DF4A2F"/>
    <w:rsid w:val="661A7B69"/>
    <w:rsid w:val="664909C1"/>
    <w:rsid w:val="66C63EB5"/>
    <w:rsid w:val="677772D0"/>
    <w:rsid w:val="679461D3"/>
    <w:rsid w:val="6858287E"/>
    <w:rsid w:val="69157114"/>
    <w:rsid w:val="691A443E"/>
    <w:rsid w:val="6A80735F"/>
    <w:rsid w:val="6ACC5E47"/>
    <w:rsid w:val="6AD43ED1"/>
    <w:rsid w:val="6B11024D"/>
    <w:rsid w:val="6B7D5B36"/>
    <w:rsid w:val="6CF120A8"/>
    <w:rsid w:val="6F9B7C99"/>
    <w:rsid w:val="71205BD9"/>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8C86A77"/>
    <w:rsid w:val="79700BEF"/>
    <w:rsid w:val="79F85634"/>
    <w:rsid w:val="7A090695"/>
    <w:rsid w:val="7AE175F4"/>
    <w:rsid w:val="7B417685"/>
    <w:rsid w:val="7B5220F0"/>
    <w:rsid w:val="7BA169C0"/>
    <w:rsid w:val="7BE95D3C"/>
    <w:rsid w:val="7CAD595B"/>
    <w:rsid w:val="7CF65D07"/>
    <w:rsid w:val="7D282C44"/>
    <w:rsid w:val="7D2975D1"/>
    <w:rsid w:val="7D2F59D0"/>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41</Pages>
  <Words>10464</Words>
  <Characters>12601</Characters>
  <Lines>71</Lines>
  <Paragraphs>20</Paragraphs>
  <TotalTime>2</TotalTime>
  <ScaleCrop>false</ScaleCrop>
  <LinksUpToDate>false</LinksUpToDate>
  <CharactersWithSpaces>13139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lenovo</cp:lastModifiedBy>
  <cp:lastPrinted>2022-02-21T08:08:00Z</cp:lastPrinted>
  <dcterms:modified xsi:type="dcterms:W3CDTF">2024-03-08T05:50:55Z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