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val="en-US" w:eastAsia="zh-CN"/>
        </w:rPr>
      </w:pPr>
      <w:r>
        <w:rPr>
          <w:rFonts w:hint="eastAsia" w:eastAsia="方正小标宋简体"/>
          <w:sz w:val="44"/>
          <w:szCs w:val="44"/>
          <w:u w:val="none"/>
        </w:rPr>
        <w:t>中国人民政治协商会议吉林省通榆县委员会</w:t>
      </w:r>
      <w:r>
        <w:rPr>
          <w:rFonts w:hint="eastAsia" w:eastAsia="方正小标宋简体"/>
          <w:sz w:val="44"/>
          <w:szCs w:val="44"/>
          <w:u w:val="none"/>
          <w:lang w:val="en-US" w:eastAsia="zh-CN"/>
        </w:rPr>
        <w:t>(汇总)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rPr>
          <w:rFonts w:hint="eastAsia" w:ascii="黑体" w:hAnsi="黑体" w:eastAsia="黑体" w:cs="黑体"/>
          <w:lang w:val="en-US" w:eastAsia="zh-CN"/>
        </w:rPr>
      </w:pPr>
    </w:p>
    <w:p>
      <w:pPr>
        <w:jc w:val="center"/>
        <w:rPr>
          <w:rFonts w:hint="eastAsia" w:ascii="黑体" w:hAnsi="黑体" w:eastAsia="黑体" w:cs="黑体"/>
          <w:lang w:val="en-US" w:eastAsia="zh-CN"/>
        </w:rPr>
      </w:pPr>
    </w:p>
    <w:p>
      <w:pPr>
        <w:jc w:val="center"/>
      </w:pPr>
      <w:r>
        <w:rPr>
          <w:rFonts w:hint="eastAsia" w:ascii="黑体" w:hAnsi="黑体" w:eastAsia="黑体" w:cs="黑体"/>
          <w:lang w:val="en-US" w:eastAsia="zh-CN"/>
        </w:rPr>
        <w:br w:type="textWrapping"/>
      </w:r>
      <w:r>
        <w:rPr>
          <w:rFonts w:hint="eastAsia" w:ascii="黑体" w:hAnsi="黑体" w:eastAsia="黑体" w:cs="黑体"/>
          <w:sz w:val="40"/>
          <w:szCs w:val="22"/>
          <w:lang w:val="en-US" w:eastAsia="zh-CN"/>
        </w:rPr>
        <w:t>2024年1月30日</w:t>
      </w:r>
    </w:p>
    <w:p>
      <w:pPr>
        <w:jc w:val="left"/>
      </w:pPr>
    </w:p>
    <w:p>
      <w:pPr>
        <w:jc w:val="left"/>
      </w:pPr>
    </w:p>
    <w:p>
      <w:pPr>
        <w:jc w:val="left"/>
      </w:pPr>
    </w:p>
    <w:p>
      <w:pPr>
        <w:jc w:val="center"/>
        <w:rPr>
          <w:rFonts w:eastAsia="方正小标宋简体"/>
          <w:sz w:val="44"/>
          <w:szCs w:val="44"/>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pStyle w:val="53"/>
        <w:ind w:firstLine="640" w:firstLineChars="200"/>
        <w:rPr>
          <w:rFonts w:hint="eastAsia" w:eastAsia="楷体_GB2312"/>
        </w:rPr>
      </w:pPr>
      <w:r>
        <w:rPr>
          <w:rFonts w:hint="eastAsia" w:eastAsia="楷体_GB2312"/>
        </w:rPr>
        <w:t>一、主要职能</w:t>
      </w:r>
    </w:p>
    <w:p>
      <w:pPr>
        <w:ind w:left="320" w:leftChars="100" w:firstLine="320" w:firstLineChars="100"/>
        <w:rPr>
          <w:rFonts w:hint="eastAsia"/>
        </w:rPr>
      </w:pPr>
      <w:r>
        <w:rPr>
          <w:rFonts w:hint="eastAsia"/>
        </w:rPr>
        <w:t>对国家和地方的大政方针以及政治、经济、文化和社会生活中的重要问题在决策之前进行协商和就决策过程中的重要问题进行协商。</w:t>
      </w:r>
    </w:p>
    <w:p>
      <w:pPr>
        <w:ind w:left="320" w:leftChars="100" w:firstLine="320" w:firstLineChars="100"/>
        <w:rPr>
          <w:rFonts w:hint="eastAsia"/>
        </w:rPr>
      </w:pPr>
      <w:r>
        <w:rPr>
          <w:rFonts w:hint="eastAsia"/>
        </w:rPr>
        <w:t>对国家的法律和法规的实施，重大方针政策的贯彻执行；国家机关及其工作人员的工作，通过简易和批评进行监督。宣传和贯彻国家的宪法、法律和各项方针政策。推动社会力量，积极参加物质文明和精神文明建设，协助国家机关打击经济领域和其他领域内的犯罪活动。深入社会，广泛听取各方面意见和建议，通过政协委员提案、建议案等形式，充分反映社情民意，对国家机关和国家工作人员的工作提出建议、批评和意见及要求。通过各种形式，向人民群众传播先进思想，沟通情况、化解矛盾，开展爱祖国、爱人民、爱劳动、爱科学、爱社会主义以及革命的理想、美德、纪律和科学知识的宣传、教育工作。</w:t>
      </w:r>
    </w:p>
    <w:p>
      <w:pPr>
        <w:ind w:left="320" w:leftChars="100" w:firstLine="320" w:firstLineChars="100"/>
        <w:rPr>
          <w:rFonts w:hint="eastAsia"/>
        </w:rPr>
      </w:pPr>
      <w:r>
        <w:rPr>
          <w:rFonts w:hint="eastAsia"/>
        </w:rPr>
        <w:t>坚持发展科学、繁荣文化的方针，密切联系各界人士，在政治、法律、经济、教育、科学技术、文化艺术、医药卫生、体育等方面开展调查研究，广开言路，广开才路，充分发挥委员的专长和作用。对社会的各相工作开展视察、参观和调查；了解情况，就</w:t>
      </w:r>
    </w:p>
    <w:p>
      <w:pPr>
        <w:ind w:left="320" w:leftChars="100" w:firstLine="320" w:firstLineChars="100"/>
        <w:rPr>
          <w:rFonts w:hint="eastAsia"/>
        </w:rPr>
      </w:pPr>
      <w:r>
        <w:rPr>
          <w:rFonts w:hint="eastAsia"/>
        </w:rPr>
        <w:t>各项事业和群众生活中的难点、热点、焦点问题进行研究，向国家机关和有关部门提出建议和批评，促其改进工作。推动委员在自愿的基础上，学习马列主义、毛泽东思想、邓小平理论；学习时事政治和科学技术知识，增强为社会主义各项事业服务的本领和才能。宣传、贯彻执行国家关于统一祖国的方针政策，积极开展“三胞”工作，加强同有关人士的密切联系，为促进祖国统一大业的实现做出贡献。宣传知识分子政策，协助国家机关作好知识分子工作，以利于充分发挥其在社会主义现代化建设中的作用。和贯彻执行国家的民族政策，反映他们的意见和要求，改善民族关系，增进各族人民的大团结。宣传和贯彻执行国家的宗教政策，团结宗教界爱国人士和宗教信仰者为社会主义建设贡献力量。根据统一战线组织的特点，进行关于中国近代史、现代史资料及本地的重大事件、重要人物资料的征集、研究和文史资料的出版工作。</w:t>
      </w:r>
    </w:p>
    <w:p>
      <w:pPr>
        <w:ind w:left="320" w:leftChars="100" w:firstLine="320" w:firstLineChars="100"/>
        <w:rPr>
          <w:rFonts w:hint="eastAsia"/>
        </w:rPr>
      </w:pPr>
      <w:r>
        <w:rPr>
          <w:rFonts w:hint="eastAsia"/>
        </w:rPr>
        <w:t>二、机构设置</w:t>
      </w:r>
    </w:p>
    <w:p>
      <w:pPr>
        <w:ind w:left="320" w:leftChars="100" w:firstLine="320" w:firstLineChars="100"/>
        <w:rPr>
          <w:rFonts w:hint="eastAsia"/>
        </w:rPr>
      </w:pPr>
      <w:r>
        <w:rPr>
          <w:rFonts w:hint="eastAsia"/>
        </w:rPr>
        <w:t>根据上述职责，县政协机关设置 7 个内设机构：秘书长、</w:t>
      </w:r>
    </w:p>
    <w:p>
      <w:pPr>
        <w:ind w:left="320" w:leftChars="100" w:firstLine="320" w:firstLineChars="100"/>
        <w:rPr>
          <w:rFonts w:hint="eastAsia"/>
        </w:rPr>
      </w:pPr>
      <w:r>
        <w:rPr>
          <w:rFonts w:hint="eastAsia"/>
        </w:rPr>
        <w:t>办公室、经济科技委员会、社会法制三胞委员会、文化教育委员会、提案委员会、文史资料委员会。</w:t>
      </w:r>
    </w:p>
    <w:p>
      <w:pPr>
        <w:ind w:left="320" w:leftChars="100" w:firstLine="320" w:firstLineChars="100"/>
        <w:rPr>
          <w:rFonts w:hint="eastAsia"/>
        </w:rPr>
      </w:pPr>
      <w:r>
        <w:rPr>
          <w:rFonts w:hint="eastAsia"/>
        </w:rPr>
        <w:t>下设两家预算单位，分别为中国人民政治协商会议吉林省</w:t>
      </w:r>
    </w:p>
    <w:p>
      <w:pPr>
        <w:ind w:left="320" w:leftChars="100" w:firstLine="320" w:firstLineChars="100"/>
        <w:rPr>
          <w:rFonts w:hint="eastAsia"/>
        </w:rPr>
      </w:pPr>
      <w:r>
        <w:rPr>
          <w:rFonts w:hint="eastAsia"/>
        </w:rPr>
        <w:t>通榆县委员会和通榆县政协办公室综合保障中心。</w:t>
      </w:r>
    </w:p>
    <w:p>
      <w:pPr>
        <w:pStyle w:val="53"/>
        <w:ind w:firstLine="640" w:firstLineChars="200"/>
        <w:rPr>
          <w:rFonts w:hAnsi="楷体" w:eastAsia="楷体"/>
        </w:rPr>
      </w:pPr>
    </w:p>
    <w:p>
      <w:pPr>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335.8</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3.15</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270.43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21.11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841"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335.8</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335.8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335.8</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3.15</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72" w:type="dxa"/>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362"/>
        <w:gridCol w:w="169"/>
        <w:gridCol w:w="291"/>
        <w:gridCol w:w="240"/>
        <w:gridCol w:w="84"/>
        <w:gridCol w:w="416"/>
        <w:gridCol w:w="416"/>
        <w:gridCol w:w="416"/>
        <w:gridCol w:w="384"/>
        <w:gridCol w:w="44"/>
      </w:tblGrid>
      <w:tr>
        <w:tblPrEx>
          <w:tblCellMar>
            <w:top w:w="0" w:type="dxa"/>
            <w:left w:w="108" w:type="dxa"/>
            <w:bottom w:w="0" w:type="dxa"/>
            <w:right w:w="108" w:type="dxa"/>
          </w:tblCellMar>
        </w:tblPrEx>
        <w:trPr>
          <w:gridAfter w:val="1"/>
          <w:wAfter w:w="44"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44"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6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24"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ind w:firstLine="331" w:firstLineChars="0"/>
              <w:jc w:val="left"/>
              <w:rPr>
                <w:rFonts w:hint="eastAsia" w:eastAsia="宋体"/>
                <w:color w:val="000000"/>
                <w:sz w:val="20"/>
                <w:lang w:val="en-US" w:eastAsia="zh-CN"/>
              </w:rPr>
            </w:pPr>
            <w:r>
              <w:rPr>
                <w:rFonts w:hint="eastAsia" w:eastAsia="宋体"/>
                <w:color w:val="000000"/>
                <w:sz w:val="20"/>
              </w:rPr>
              <w:t>中国人民政治协商会议吉林省通榆县委员会</w:t>
            </w:r>
            <w:r>
              <w:rPr>
                <w:rFonts w:hint="eastAsia" w:eastAsia="宋体"/>
                <w:color w:val="000000"/>
                <w:sz w:val="20"/>
                <w:lang w:val="en-US" w:eastAsia="zh-CN"/>
              </w:rPr>
              <w:t>(汇总）</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335.8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335.8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335.8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50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3.15</w:t>
            </w:r>
          </w:p>
        </w:tc>
        <w:tc>
          <w:tcPr>
            <w:tcW w:w="46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3.15</w:t>
            </w:r>
          </w:p>
        </w:tc>
        <w:tc>
          <w:tcPr>
            <w:tcW w:w="324"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335.8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335.8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335.8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0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3.15</w:t>
            </w:r>
          </w:p>
        </w:tc>
        <w:tc>
          <w:tcPr>
            <w:tcW w:w="4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3.15</w:t>
            </w: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pPr w:leftFromText="180" w:rightFromText="180" w:vertAnchor="page" w:horzAnchor="page" w:tblpX="66" w:tblpY="103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0"/>
              <w:gridCol w:w="1267"/>
              <w:gridCol w:w="1306"/>
              <w:gridCol w:w="1090"/>
              <w:gridCol w:w="1297"/>
              <w:gridCol w:w="1267"/>
              <w:gridCol w:w="14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0" w:hRule="atLeast"/>
              </w:trPr>
              <w:tc>
                <w:tcPr>
                  <w:tcW w:w="2150" w:type="dxa"/>
                </w:tcPr>
                <w:p>
                  <w:pPr>
                    <w:pStyle w:val="85"/>
                    <w:rPr>
                      <w:rFonts w:ascii="STXihei"/>
                      <w:sz w:val="20"/>
                    </w:rPr>
                  </w:pPr>
                </w:p>
                <w:p>
                  <w:pPr>
                    <w:pStyle w:val="85"/>
                    <w:spacing w:before="11"/>
                    <w:rPr>
                      <w:rFonts w:ascii="STXihei"/>
                      <w:sz w:val="13"/>
                    </w:rPr>
                  </w:pPr>
                </w:p>
                <w:p>
                  <w:pPr>
                    <w:pStyle w:val="85"/>
                    <w:spacing w:line="242" w:lineRule="auto"/>
                    <w:ind w:left="675" w:right="663"/>
                    <w:rPr>
                      <w:sz w:val="20"/>
                    </w:rPr>
                  </w:pPr>
                  <w:r>
                    <w:rPr>
                      <w:sz w:val="20"/>
                    </w:rPr>
                    <w:t>功能分类科目名称</w:t>
                  </w:r>
                </w:p>
              </w:tc>
              <w:tc>
                <w:tcPr>
                  <w:tcW w:w="1267" w:type="dxa"/>
                </w:tcPr>
                <w:p>
                  <w:pPr>
                    <w:pStyle w:val="85"/>
                    <w:rPr>
                      <w:rFonts w:ascii="STXihei"/>
                      <w:sz w:val="20"/>
                    </w:rPr>
                  </w:pPr>
                </w:p>
                <w:p>
                  <w:pPr>
                    <w:pStyle w:val="85"/>
                    <w:spacing w:before="3"/>
                    <w:rPr>
                      <w:rFonts w:ascii="STXihei"/>
                      <w:sz w:val="23"/>
                    </w:rPr>
                  </w:pPr>
                </w:p>
                <w:p>
                  <w:pPr>
                    <w:pStyle w:val="85"/>
                    <w:ind w:left="433"/>
                    <w:rPr>
                      <w:sz w:val="20"/>
                    </w:rPr>
                  </w:pPr>
                  <w:r>
                    <w:rPr>
                      <w:sz w:val="20"/>
                    </w:rPr>
                    <w:t>总计</w:t>
                  </w:r>
                </w:p>
              </w:tc>
              <w:tc>
                <w:tcPr>
                  <w:tcW w:w="1306" w:type="dxa"/>
                </w:tcPr>
                <w:p>
                  <w:pPr>
                    <w:pStyle w:val="85"/>
                    <w:rPr>
                      <w:rFonts w:ascii="STXihei"/>
                      <w:sz w:val="20"/>
                    </w:rPr>
                  </w:pPr>
                </w:p>
                <w:p>
                  <w:pPr>
                    <w:pStyle w:val="85"/>
                    <w:spacing w:before="11"/>
                    <w:rPr>
                      <w:rFonts w:ascii="STXihei"/>
                      <w:sz w:val="13"/>
                    </w:rPr>
                  </w:pPr>
                </w:p>
                <w:p>
                  <w:pPr>
                    <w:pStyle w:val="85"/>
                    <w:spacing w:line="242" w:lineRule="auto"/>
                    <w:ind w:left="453" w:right="442"/>
                    <w:jc w:val="center"/>
                    <w:rPr>
                      <w:sz w:val="20"/>
                    </w:rPr>
                  </w:pPr>
                  <w:r>
                    <w:rPr>
                      <w:sz w:val="20"/>
                    </w:rPr>
                    <w:t>基本支出</w:t>
                  </w:r>
                </w:p>
              </w:tc>
              <w:tc>
                <w:tcPr>
                  <w:tcW w:w="1090" w:type="dxa"/>
                </w:tcPr>
                <w:p>
                  <w:pPr>
                    <w:pStyle w:val="85"/>
                    <w:rPr>
                      <w:rFonts w:ascii="STXihei"/>
                      <w:sz w:val="20"/>
                    </w:rPr>
                  </w:pPr>
                </w:p>
                <w:p>
                  <w:pPr>
                    <w:pStyle w:val="85"/>
                    <w:spacing w:before="11"/>
                    <w:rPr>
                      <w:rFonts w:ascii="STXihei"/>
                      <w:sz w:val="13"/>
                    </w:rPr>
                  </w:pPr>
                </w:p>
                <w:p>
                  <w:pPr>
                    <w:pStyle w:val="85"/>
                    <w:spacing w:line="242" w:lineRule="auto"/>
                    <w:ind w:left="344" w:right="335"/>
                    <w:rPr>
                      <w:sz w:val="20"/>
                    </w:rPr>
                  </w:pPr>
                  <w:r>
                    <w:rPr>
                      <w:sz w:val="20"/>
                    </w:rPr>
                    <w:t>项目支出</w:t>
                  </w:r>
                </w:p>
              </w:tc>
              <w:tc>
                <w:tcPr>
                  <w:tcW w:w="1297" w:type="dxa"/>
                </w:tcPr>
                <w:p>
                  <w:pPr>
                    <w:pStyle w:val="85"/>
                    <w:rPr>
                      <w:rFonts w:ascii="STXihei"/>
                      <w:sz w:val="20"/>
                    </w:rPr>
                  </w:pPr>
                </w:p>
                <w:p>
                  <w:pPr>
                    <w:pStyle w:val="85"/>
                    <w:spacing w:before="11"/>
                    <w:rPr>
                      <w:rFonts w:ascii="STXihei"/>
                      <w:sz w:val="13"/>
                    </w:rPr>
                  </w:pPr>
                </w:p>
                <w:p>
                  <w:pPr>
                    <w:pStyle w:val="85"/>
                    <w:spacing w:line="242" w:lineRule="auto"/>
                    <w:ind w:left="248" w:right="237"/>
                    <w:rPr>
                      <w:sz w:val="20"/>
                    </w:rPr>
                  </w:pPr>
                  <w:r>
                    <w:rPr>
                      <w:sz w:val="20"/>
                    </w:rPr>
                    <w:t>事业单位经营支出</w:t>
                  </w:r>
                </w:p>
              </w:tc>
              <w:tc>
                <w:tcPr>
                  <w:tcW w:w="1267" w:type="dxa"/>
                </w:tcPr>
                <w:p>
                  <w:pPr>
                    <w:pStyle w:val="85"/>
                    <w:spacing w:before="5"/>
                    <w:rPr>
                      <w:rFonts w:ascii="STXihei"/>
                      <w:sz w:val="24"/>
                    </w:rPr>
                  </w:pPr>
                </w:p>
                <w:p>
                  <w:pPr>
                    <w:pStyle w:val="85"/>
                    <w:spacing w:line="242" w:lineRule="auto"/>
                    <w:ind w:left="432" w:right="424"/>
                    <w:jc w:val="both"/>
                    <w:rPr>
                      <w:sz w:val="20"/>
                    </w:rPr>
                  </w:pPr>
                  <w:r>
                    <w:rPr>
                      <w:sz w:val="20"/>
                    </w:rPr>
                    <w:t>上缴上级支出</w:t>
                  </w:r>
                </w:p>
              </w:tc>
              <w:tc>
                <w:tcPr>
                  <w:tcW w:w="1466" w:type="dxa"/>
                </w:tcPr>
                <w:p>
                  <w:pPr>
                    <w:pStyle w:val="85"/>
                    <w:spacing w:before="5"/>
                    <w:rPr>
                      <w:rFonts w:ascii="STXihei"/>
                      <w:sz w:val="24"/>
                    </w:rPr>
                  </w:pPr>
                </w:p>
                <w:p>
                  <w:pPr>
                    <w:pStyle w:val="85"/>
                    <w:spacing w:line="242" w:lineRule="auto"/>
                    <w:ind w:left="432" w:right="421"/>
                    <w:jc w:val="both"/>
                    <w:rPr>
                      <w:sz w:val="20"/>
                    </w:rPr>
                  </w:pPr>
                  <w:r>
                    <w:rPr>
                      <w:sz w:val="20"/>
                    </w:rPr>
                    <w:t>对附属单位补助支出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150" w:type="dxa"/>
                </w:tcPr>
                <w:p>
                  <w:pPr>
                    <w:pStyle w:val="85"/>
                    <w:spacing w:before="97"/>
                    <w:ind w:left="53" w:right="45"/>
                    <w:jc w:val="center"/>
                    <w:rPr>
                      <w:sz w:val="20"/>
                    </w:rPr>
                  </w:pPr>
                  <w:r>
                    <w:rPr>
                      <w:sz w:val="20"/>
                    </w:rPr>
                    <w:t>一、一般公共服务</w:t>
                  </w:r>
                </w:p>
              </w:tc>
              <w:tc>
                <w:tcPr>
                  <w:tcW w:w="1267" w:type="dxa"/>
                </w:tcPr>
                <w:p>
                  <w:pPr>
                    <w:pStyle w:val="85"/>
                    <w:spacing w:before="111"/>
                    <w:ind w:left="356"/>
                    <w:rPr>
                      <w:rFonts w:hint="default" w:ascii="Times New Roman" w:eastAsia="宋体"/>
                      <w:sz w:val="20"/>
                      <w:lang w:val="en-US" w:eastAsia="zh-CN"/>
                    </w:rPr>
                  </w:pPr>
                  <w:r>
                    <w:rPr>
                      <w:rFonts w:hint="eastAsia" w:ascii="Times New Roman"/>
                      <w:sz w:val="20"/>
                      <w:lang w:val="en-US" w:eastAsia="zh-CN"/>
                    </w:rPr>
                    <w:t>270.4</w:t>
                  </w:r>
                </w:p>
              </w:tc>
              <w:tc>
                <w:tcPr>
                  <w:tcW w:w="1306" w:type="dxa"/>
                </w:tcPr>
                <w:p>
                  <w:pPr>
                    <w:pStyle w:val="85"/>
                    <w:spacing w:before="111"/>
                    <w:ind w:left="378"/>
                    <w:rPr>
                      <w:rFonts w:hint="default" w:ascii="Times New Roman" w:eastAsia="宋体"/>
                      <w:sz w:val="20"/>
                      <w:lang w:val="en-US" w:eastAsia="zh-CN"/>
                    </w:rPr>
                  </w:pPr>
                  <w:r>
                    <w:rPr>
                      <w:rFonts w:hint="eastAsia" w:ascii="Times New Roman"/>
                      <w:sz w:val="20"/>
                      <w:lang w:val="en-US" w:eastAsia="zh-CN"/>
                    </w:rPr>
                    <w:t>244.2</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26.25</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0"/>
                    <w:ind w:left="55" w:right="45"/>
                    <w:jc w:val="center"/>
                    <w:rPr>
                      <w:sz w:val="20"/>
                    </w:rPr>
                  </w:pPr>
                  <w:r>
                    <w:rPr>
                      <w:sz w:val="20"/>
                    </w:rPr>
                    <w:t>政协事务</w:t>
                  </w:r>
                </w:p>
              </w:tc>
              <w:tc>
                <w:tcPr>
                  <w:tcW w:w="1267" w:type="dxa"/>
                </w:tcPr>
                <w:p>
                  <w:pPr>
                    <w:pStyle w:val="85"/>
                    <w:spacing w:before="63"/>
                    <w:ind w:left="356"/>
                    <w:rPr>
                      <w:rFonts w:hint="default" w:ascii="Times New Roman" w:eastAsia="宋体"/>
                      <w:sz w:val="20"/>
                      <w:lang w:val="en-US" w:eastAsia="zh-CN"/>
                    </w:rPr>
                  </w:pPr>
                  <w:r>
                    <w:rPr>
                      <w:rFonts w:hint="eastAsia" w:ascii="Times New Roman"/>
                      <w:sz w:val="20"/>
                      <w:lang w:val="en-US" w:eastAsia="zh-CN"/>
                    </w:rPr>
                    <w:t>270.4</w:t>
                  </w:r>
                </w:p>
              </w:tc>
              <w:tc>
                <w:tcPr>
                  <w:tcW w:w="1306" w:type="dxa"/>
                </w:tcPr>
                <w:p>
                  <w:pPr>
                    <w:pStyle w:val="85"/>
                    <w:spacing w:before="63"/>
                    <w:ind w:left="378"/>
                    <w:rPr>
                      <w:rFonts w:hint="default" w:ascii="Times New Roman" w:eastAsia="宋体"/>
                      <w:sz w:val="20"/>
                      <w:lang w:val="en-US" w:eastAsia="zh-CN"/>
                    </w:rPr>
                  </w:pPr>
                  <w:r>
                    <w:rPr>
                      <w:rFonts w:hint="eastAsia" w:ascii="Times New Roman"/>
                      <w:sz w:val="20"/>
                      <w:lang w:val="en-US" w:eastAsia="zh-CN"/>
                    </w:rPr>
                    <w:t>244.2</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26.25</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5" w:right="45"/>
                    <w:jc w:val="center"/>
                    <w:rPr>
                      <w:sz w:val="20"/>
                    </w:rPr>
                  </w:pPr>
                  <w:r>
                    <w:rPr>
                      <w:sz w:val="20"/>
                    </w:rPr>
                    <w:t>行政运行</w:t>
                  </w:r>
                </w:p>
              </w:tc>
              <w:tc>
                <w:tcPr>
                  <w:tcW w:w="1267" w:type="dxa"/>
                </w:tcPr>
                <w:p>
                  <w:pPr>
                    <w:pStyle w:val="85"/>
                    <w:spacing w:before="65"/>
                    <w:ind w:left="356"/>
                    <w:rPr>
                      <w:rFonts w:hint="eastAsia" w:ascii="Times New Roman" w:eastAsia="宋体"/>
                      <w:sz w:val="20"/>
                      <w:lang w:eastAsia="zh-CN"/>
                    </w:rPr>
                  </w:pPr>
                  <w:r>
                    <w:rPr>
                      <w:rFonts w:ascii="Times New Roman"/>
                      <w:sz w:val="20"/>
                    </w:rPr>
                    <w:t>259.</w:t>
                  </w:r>
                  <w:r>
                    <w:rPr>
                      <w:rFonts w:hint="eastAsia" w:ascii="Times New Roman"/>
                      <w:sz w:val="20"/>
                      <w:lang w:val="en-US" w:eastAsia="zh-CN"/>
                    </w:rPr>
                    <w:t>8</w:t>
                  </w:r>
                </w:p>
              </w:tc>
              <w:tc>
                <w:tcPr>
                  <w:tcW w:w="1306" w:type="dxa"/>
                </w:tcPr>
                <w:p>
                  <w:pPr>
                    <w:pStyle w:val="85"/>
                    <w:spacing w:before="65"/>
                    <w:ind w:left="378"/>
                    <w:rPr>
                      <w:rFonts w:hint="eastAsia" w:ascii="Times New Roman" w:eastAsia="宋体"/>
                      <w:sz w:val="20"/>
                      <w:lang w:eastAsia="zh-CN"/>
                    </w:rPr>
                  </w:pPr>
                  <w:r>
                    <w:rPr>
                      <w:rFonts w:ascii="Times New Roman"/>
                      <w:sz w:val="20"/>
                    </w:rPr>
                    <w:t>259.</w:t>
                  </w:r>
                  <w:r>
                    <w:rPr>
                      <w:rFonts w:hint="eastAsia" w:ascii="Times New Roman"/>
                      <w:sz w:val="20"/>
                      <w:lang w:val="en-US" w:eastAsia="zh-CN"/>
                    </w:rPr>
                    <w:t>8</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5" w:right="45"/>
                    <w:jc w:val="center"/>
                    <w:rPr>
                      <w:sz w:val="20"/>
                    </w:rPr>
                  </w:pPr>
                  <w:r>
                    <w:rPr>
                      <w:sz w:val="20"/>
                    </w:rPr>
                    <w:t>事业运行</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39.7</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39.7</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2150" w:type="dxa"/>
                </w:tcPr>
                <w:p>
                  <w:pPr>
                    <w:pStyle w:val="85"/>
                    <w:spacing w:before="8" w:line="260" w:lineRule="atLeast"/>
                    <w:ind w:left="975" w:right="12" w:hanging="852"/>
                    <w:rPr>
                      <w:sz w:val="20"/>
                    </w:rPr>
                  </w:pPr>
                  <w:r>
                    <w:rPr>
                      <w:sz w:val="20"/>
                    </w:rPr>
                    <w:t>二、社会保障和就业支出</w:t>
                  </w:r>
                </w:p>
              </w:tc>
              <w:tc>
                <w:tcPr>
                  <w:tcW w:w="1267" w:type="dxa"/>
                </w:tcPr>
                <w:p>
                  <w:pPr>
                    <w:pStyle w:val="85"/>
                    <w:spacing w:before="158"/>
                    <w:ind w:left="407"/>
                    <w:rPr>
                      <w:rFonts w:hint="default" w:ascii="Times New Roman" w:eastAsia="宋体"/>
                      <w:sz w:val="20"/>
                      <w:lang w:val="en-US" w:eastAsia="zh-CN"/>
                    </w:rPr>
                  </w:pPr>
                  <w:r>
                    <w:rPr>
                      <w:rFonts w:hint="eastAsia" w:ascii="Times New Roman"/>
                      <w:sz w:val="20"/>
                      <w:lang w:val="en-US" w:eastAsia="zh-CN"/>
                    </w:rPr>
                    <w:t>35.2</w:t>
                  </w:r>
                </w:p>
              </w:tc>
              <w:tc>
                <w:tcPr>
                  <w:tcW w:w="1306" w:type="dxa"/>
                </w:tcPr>
                <w:p>
                  <w:pPr>
                    <w:pStyle w:val="85"/>
                    <w:spacing w:before="158"/>
                    <w:ind w:left="426"/>
                    <w:rPr>
                      <w:rFonts w:hint="default" w:ascii="Times New Roman" w:eastAsia="宋体"/>
                      <w:sz w:val="20"/>
                      <w:lang w:val="en-US" w:eastAsia="zh-CN"/>
                    </w:rPr>
                  </w:pPr>
                  <w:r>
                    <w:rPr>
                      <w:rFonts w:hint="eastAsia" w:ascii="Times New Roman"/>
                      <w:sz w:val="20"/>
                      <w:lang w:val="en-US" w:eastAsia="zh-CN"/>
                    </w:rPr>
                    <w:t>35.2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5" w:right="45"/>
                    <w:jc w:val="center"/>
                    <w:rPr>
                      <w:sz w:val="20"/>
                    </w:rPr>
                  </w:pPr>
                  <w:r>
                    <w:rPr>
                      <w:sz w:val="20"/>
                    </w:rPr>
                    <w:t>行政事业单位养老支出</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35.2</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35.2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150" w:type="dxa"/>
                </w:tcPr>
                <w:p>
                  <w:pPr>
                    <w:pStyle w:val="85"/>
                    <w:spacing w:before="9" w:line="260" w:lineRule="atLeast"/>
                    <w:ind w:left="474" w:right="63" w:hanging="399"/>
                    <w:rPr>
                      <w:sz w:val="20"/>
                    </w:rPr>
                  </w:pPr>
                  <w:r>
                    <w:rPr>
                      <w:sz w:val="20"/>
                    </w:rPr>
                    <w:t>机关事业单位基本养老保险缴费支出</w:t>
                  </w:r>
                </w:p>
              </w:tc>
              <w:tc>
                <w:tcPr>
                  <w:tcW w:w="1267" w:type="dxa"/>
                </w:tcPr>
                <w:p>
                  <w:pPr>
                    <w:pStyle w:val="85"/>
                    <w:spacing w:before="159"/>
                    <w:ind w:left="407"/>
                    <w:rPr>
                      <w:rFonts w:hint="default" w:ascii="Times New Roman" w:eastAsia="宋体"/>
                      <w:sz w:val="20"/>
                      <w:lang w:val="en-US" w:eastAsia="zh-CN"/>
                    </w:rPr>
                  </w:pPr>
                  <w:r>
                    <w:rPr>
                      <w:rFonts w:hint="eastAsia" w:ascii="Times New Roman"/>
                      <w:sz w:val="20"/>
                      <w:lang w:val="en-US" w:eastAsia="zh-CN"/>
                    </w:rPr>
                    <w:t>28.1</w:t>
                  </w:r>
                </w:p>
              </w:tc>
              <w:tc>
                <w:tcPr>
                  <w:tcW w:w="1306" w:type="dxa"/>
                </w:tcPr>
                <w:p>
                  <w:pPr>
                    <w:pStyle w:val="85"/>
                    <w:spacing w:before="159"/>
                    <w:ind w:left="426"/>
                    <w:rPr>
                      <w:rFonts w:hint="default" w:ascii="Times New Roman" w:eastAsia="宋体"/>
                      <w:sz w:val="20"/>
                      <w:lang w:val="en-US" w:eastAsia="zh-CN"/>
                    </w:rPr>
                  </w:pPr>
                  <w:r>
                    <w:rPr>
                      <w:rFonts w:hint="eastAsia" w:ascii="Times New Roman"/>
                      <w:sz w:val="20"/>
                      <w:lang w:val="en-US" w:eastAsia="zh-CN"/>
                    </w:rPr>
                    <w:t>28.1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150" w:type="dxa"/>
                </w:tcPr>
                <w:p>
                  <w:pPr>
                    <w:pStyle w:val="85"/>
                    <w:spacing w:before="9" w:line="260" w:lineRule="atLeast"/>
                    <w:ind w:left="675" w:right="63" w:hanging="600"/>
                    <w:rPr>
                      <w:sz w:val="20"/>
                    </w:rPr>
                  </w:pPr>
                  <w:r>
                    <w:rPr>
                      <w:sz w:val="20"/>
                    </w:rPr>
                    <w:t>机关事业单位职业年金缴费支出</w:t>
                  </w:r>
                </w:p>
              </w:tc>
              <w:tc>
                <w:tcPr>
                  <w:tcW w:w="1267" w:type="dxa"/>
                </w:tcPr>
                <w:p>
                  <w:pPr>
                    <w:pStyle w:val="85"/>
                    <w:spacing w:before="159"/>
                    <w:ind w:left="407"/>
                    <w:rPr>
                      <w:rFonts w:hint="default" w:ascii="Times New Roman" w:eastAsia="宋体"/>
                      <w:sz w:val="20"/>
                      <w:lang w:val="en-US" w:eastAsia="zh-CN"/>
                    </w:rPr>
                  </w:pPr>
                  <w:r>
                    <w:rPr>
                      <w:rFonts w:hint="eastAsia" w:ascii="Times New Roman"/>
                      <w:sz w:val="20"/>
                      <w:lang w:val="en-US" w:eastAsia="zh-CN"/>
                    </w:rPr>
                    <w:t>6.8</w:t>
                  </w:r>
                </w:p>
              </w:tc>
              <w:tc>
                <w:tcPr>
                  <w:tcW w:w="1306" w:type="dxa"/>
                </w:tcPr>
                <w:p>
                  <w:pPr>
                    <w:pStyle w:val="85"/>
                    <w:spacing w:before="159"/>
                    <w:ind w:left="426"/>
                    <w:rPr>
                      <w:rFonts w:hint="default" w:ascii="Times New Roman" w:eastAsia="宋体"/>
                      <w:sz w:val="20"/>
                      <w:lang w:val="en-US" w:eastAsia="zh-CN"/>
                    </w:rPr>
                  </w:pPr>
                  <w:r>
                    <w:rPr>
                      <w:rFonts w:hint="eastAsia" w:ascii="Times New Roman"/>
                      <w:sz w:val="20"/>
                      <w:lang w:val="en-US" w:eastAsia="zh-CN"/>
                    </w:rPr>
                    <w:t>6.8</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150" w:type="dxa"/>
                </w:tcPr>
                <w:p>
                  <w:pPr>
                    <w:pStyle w:val="85"/>
                    <w:spacing w:before="9" w:line="260" w:lineRule="atLeast"/>
                    <w:ind w:left="675" w:right="63" w:hanging="600"/>
                    <w:rPr>
                      <w:rFonts w:hint="default" w:eastAsia="宋体"/>
                      <w:sz w:val="20"/>
                      <w:lang w:val="en-US" w:eastAsia="zh-CN"/>
                    </w:rPr>
                  </w:pPr>
                  <w:r>
                    <w:rPr>
                      <w:rFonts w:hint="eastAsia"/>
                      <w:sz w:val="20"/>
                      <w:lang w:eastAsia="zh-CN"/>
                    </w:rPr>
                    <w:t>其他行政事业单位</w:t>
                  </w:r>
                  <w:r>
                    <w:rPr>
                      <w:rFonts w:hint="eastAsia"/>
                      <w:sz w:val="20"/>
                      <w:lang w:val="en-US" w:eastAsia="zh-CN"/>
                    </w:rPr>
                    <w:t>养老支出</w:t>
                  </w:r>
                </w:p>
              </w:tc>
              <w:tc>
                <w:tcPr>
                  <w:tcW w:w="1267" w:type="dxa"/>
                </w:tcPr>
                <w:p>
                  <w:pPr>
                    <w:pStyle w:val="85"/>
                    <w:spacing w:before="159"/>
                    <w:ind w:left="407"/>
                    <w:rPr>
                      <w:rFonts w:hint="default" w:ascii="Times New Roman"/>
                      <w:sz w:val="20"/>
                      <w:lang w:val="en-US" w:eastAsia="zh-CN"/>
                    </w:rPr>
                  </w:pPr>
                  <w:r>
                    <w:rPr>
                      <w:rFonts w:hint="eastAsia" w:ascii="Times New Roman"/>
                      <w:sz w:val="20"/>
                      <w:lang w:val="en-US" w:eastAsia="zh-CN"/>
                    </w:rPr>
                    <w:t>0.2</w:t>
                  </w:r>
                </w:p>
              </w:tc>
              <w:tc>
                <w:tcPr>
                  <w:tcW w:w="1306" w:type="dxa"/>
                </w:tcPr>
                <w:p>
                  <w:pPr>
                    <w:pStyle w:val="85"/>
                    <w:spacing w:before="159"/>
                    <w:ind w:left="426"/>
                    <w:rPr>
                      <w:rFonts w:hint="default" w:ascii="Times New Roman"/>
                      <w:sz w:val="20"/>
                      <w:lang w:val="en-US" w:eastAsia="zh-CN"/>
                    </w:rPr>
                  </w:pPr>
                  <w:r>
                    <w:rPr>
                      <w:rFonts w:hint="eastAsia" w:ascii="Times New Roman"/>
                      <w:sz w:val="20"/>
                      <w:lang w:val="en-US" w:eastAsia="zh-CN"/>
                    </w:rPr>
                    <w:t>0.2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0"/>
                    <w:ind w:left="55" w:right="45"/>
                    <w:jc w:val="center"/>
                    <w:rPr>
                      <w:sz w:val="20"/>
                    </w:rPr>
                  </w:pPr>
                  <w:r>
                    <w:rPr>
                      <w:sz w:val="20"/>
                    </w:rPr>
                    <w:t>三、卫生健康支出</w:t>
                  </w:r>
                </w:p>
              </w:tc>
              <w:tc>
                <w:tcPr>
                  <w:tcW w:w="1267" w:type="dxa"/>
                </w:tcPr>
                <w:p>
                  <w:pPr>
                    <w:pStyle w:val="85"/>
                    <w:spacing w:before="63"/>
                    <w:ind w:left="407"/>
                    <w:rPr>
                      <w:rFonts w:hint="default" w:ascii="Times New Roman" w:eastAsia="宋体"/>
                      <w:sz w:val="20"/>
                      <w:lang w:val="en-US" w:eastAsia="zh-CN"/>
                    </w:rPr>
                  </w:pPr>
                  <w:r>
                    <w:rPr>
                      <w:rFonts w:hint="eastAsia" w:ascii="Times New Roman"/>
                      <w:sz w:val="20"/>
                      <w:lang w:val="en-US" w:eastAsia="zh-CN"/>
                    </w:rPr>
                    <w:t>12.2</w:t>
                  </w:r>
                </w:p>
              </w:tc>
              <w:tc>
                <w:tcPr>
                  <w:tcW w:w="1306" w:type="dxa"/>
                </w:tcPr>
                <w:p>
                  <w:pPr>
                    <w:pStyle w:val="85"/>
                    <w:spacing w:before="63"/>
                    <w:ind w:left="426"/>
                    <w:rPr>
                      <w:rFonts w:hint="default" w:ascii="Times New Roman" w:eastAsia="宋体"/>
                      <w:sz w:val="20"/>
                      <w:lang w:val="en-US" w:eastAsia="zh-CN"/>
                    </w:rPr>
                  </w:pPr>
                  <w:r>
                    <w:rPr>
                      <w:rFonts w:hint="eastAsia" w:ascii="Times New Roman"/>
                      <w:sz w:val="20"/>
                      <w:lang w:val="en-US" w:eastAsia="zh-CN"/>
                    </w:rPr>
                    <w:t>12.2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3" w:right="45"/>
                    <w:jc w:val="center"/>
                    <w:rPr>
                      <w:sz w:val="20"/>
                    </w:rPr>
                  </w:pPr>
                  <w:r>
                    <w:rPr>
                      <w:sz w:val="20"/>
                    </w:rPr>
                    <w:t>行政事业单位医疗</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12.2</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12.2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sz w:val="20"/>
                    </w:rPr>
                  </w:pPr>
                  <w:r>
                    <w:rPr>
                      <w:sz w:val="20"/>
                    </w:rPr>
                    <w:t>行政单位医疗</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9.7</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9.7</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sz w:val="20"/>
                    </w:rPr>
                  </w:pPr>
                  <w:r>
                    <w:rPr>
                      <w:sz w:val="20"/>
                    </w:rPr>
                    <w:t>事业单位医疗</w:t>
                  </w:r>
                </w:p>
              </w:tc>
              <w:tc>
                <w:tcPr>
                  <w:tcW w:w="1267" w:type="dxa"/>
                </w:tcPr>
                <w:p>
                  <w:pPr>
                    <w:pStyle w:val="85"/>
                    <w:spacing w:before="64"/>
                    <w:ind w:left="457"/>
                    <w:rPr>
                      <w:rFonts w:hint="default" w:ascii="Times New Roman" w:eastAsia="宋体"/>
                      <w:sz w:val="20"/>
                      <w:lang w:val="en-US" w:eastAsia="zh-CN"/>
                    </w:rPr>
                  </w:pPr>
                  <w:r>
                    <w:rPr>
                      <w:rFonts w:hint="eastAsia" w:ascii="Times New Roman"/>
                      <w:sz w:val="20"/>
                      <w:lang w:val="en-US" w:eastAsia="zh-CN"/>
                    </w:rPr>
                    <w:t>2.2</w:t>
                  </w:r>
                </w:p>
              </w:tc>
              <w:tc>
                <w:tcPr>
                  <w:tcW w:w="1306" w:type="dxa"/>
                </w:tcPr>
                <w:p>
                  <w:pPr>
                    <w:pStyle w:val="85"/>
                    <w:spacing w:before="64"/>
                    <w:ind w:left="477"/>
                    <w:rPr>
                      <w:rFonts w:hint="default" w:ascii="Times New Roman" w:eastAsia="宋体"/>
                      <w:sz w:val="20"/>
                      <w:lang w:val="en-US" w:eastAsia="zh-CN"/>
                    </w:rPr>
                  </w:pPr>
                  <w:r>
                    <w:rPr>
                      <w:rFonts w:hint="eastAsia" w:ascii="Times New Roman"/>
                      <w:sz w:val="20"/>
                      <w:lang w:val="en-US" w:eastAsia="zh-CN"/>
                    </w:rPr>
                    <w:t>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其他行政事业单位医疗支出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0.2</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0.2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四、住房保障支出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住房改革支出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住房公积金</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2150" w:type="dxa"/>
                </w:tcPr>
                <w:p>
                  <w:pPr>
                    <w:pStyle w:val="85"/>
                    <w:spacing w:before="9"/>
                    <w:ind w:left="53" w:right="45"/>
                    <w:jc w:val="center"/>
                    <w:rPr>
                      <w:rFonts w:hint="eastAsia" w:ascii="STXihei" w:eastAsia="STXihei"/>
                      <w:sz w:val="20"/>
                    </w:rPr>
                  </w:pPr>
                  <w:r>
                    <w:rPr>
                      <w:rFonts w:hint="eastAsia" w:ascii="STXihei" w:eastAsia="STXihei"/>
                      <w:sz w:val="20"/>
                    </w:rPr>
                    <w:t>合计</w:t>
                  </w:r>
                </w:p>
              </w:tc>
              <w:tc>
                <w:tcPr>
                  <w:tcW w:w="1267" w:type="dxa"/>
                </w:tcPr>
                <w:p>
                  <w:pPr>
                    <w:pStyle w:val="85"/>
                    <w:spacing w:before="64"/>
                    <w:ind w:left="407"/>
                    <w:rPr>
                      <w:rFonts w:hint="default" w:ascii="Times New Roman" w:eastAsia="宋体"/>
                      <w:sz w:val="20"/>
                      <w:lang w:val="en-US" w:eastAsia="zh-CN"/>
                    </w:rPr>
                  </w:pPr>
                  <w:r>
                    <w:rPr>
                      <w:rFonts w:hint="eastAsia" w:ascii="Times New Roman"/>
                      <w:sz w:val="20"/>
                      <w:lang w:val="en-US" w:eastAsia="zh-CN"/>
                    </w:rPr>
                    <w:t>338.9</w:t>
                  </w:r>
                </w:p>
              </w:tc>
              <w:tc>
                <w:tcPr>
                  <w:tcW w:w="1306" w:type="dxa"/>
                </w:tcPr>
                <w:p>
                  <w:pPr>
                    <w:pStyle w:val="85"/>
                    <w:spacing w:before="64"/>
                    <w:ind w:left="426"/>
                    <w:rPr>
                      <w:rFonts w:hint="default" w:ascii="Times New Roman" w:eastAsia="宋体"/>
                      <w:sz w:val="20"/>
                      <w:lang w:val="en-US" w:eastAsia="zh-CN"/>
                    </w:rPr>
                  </w:pPr>
                  <w:r>
                    <w:rPr>
                      <w:rFonts w:hint="eastAsia" w:ascii="Times New Roman"/>
                      <w:sz w:val="20"/>
                      <w:lang w:val="en-US" w:eastAsia="zh-CN"/>
                    </w:rPr>
                    <w:t>312.7</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11"/>
        <w:tblpPr w:leftFromText="180" w:rightFromText="180" w:vertAnchor="page" w:horzAnchor="page" w:tblpX="1158" w:tblpY="2361"/>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335.8</w:t>
            </w:r>
          </w:p>
          <w:p>
            <w:pPr>
              <w:widowControl/>
              <w:jc w:val="right"/>
              <w:rPr>
                <w:rFonts w:hint="default" w:eastAsia="宋体"/>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270.4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270.4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21.1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黑体"/>
                <w:kern w:val="0"/>
                <w:sz w:val="20"/>
                <w:lang w:val="en-US" w:eastAsia="zh-CN"/>
              </w:rPr>
              <w:t>335.8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黑体"/>
                <w:kern w:val="0"/>
                <w:sz w:val="20"/>
                <w:lang w:val="en-US" w:eastAsia="zh-CN"/>
              </w:rPr>
              <w:t>335.8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338.9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338.9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335.8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335.8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bookmarkStart w:id="0" w:name="_GoBack"/>
            <w:bookmarkEnd w:id="0"/>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338.9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eastAsia="宋体"/>
                <w:kern w:val="0"/>
                <w:sz w:val="20"/>
              </w:rPr>
            </w:pPr>
            <w:r>
              <w:rPr>
                <w:rFonts w:hint="eastAsia" w:eastAsia="宋体"/>
                <w:kern w:val="0"/>
                <w:sz w:val="20"/>
                <w:lang w:val="en-US" w:eastAsia="zh-CN"/>
              </w:rPr>
              <w:t>338.9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1"/>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pStyle w:val="2"/>
              <w:spacing w:line="608" w:lineRule="exact"/>
              <w:ind w:left="3604"/>
              <w:jc w:val="left"/>
            </w:pPr>
            <w:r>
              <w:t>一般公共预算支出表</w:t>
            </w:r>
          </w:p>
          <w:tbl>
            <w:tblPr>
              <w:tblStyle w:val="11"/>
              <w:tblpPr w:leftFromText="180" w:rightFromText="180" w:vertAnchor="page" w:horzAnchor="page" w:tblpX="66" w:tblpY="103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0"/>
              <w:gridCol w:w="1267"/>
              <w:gridCol w:w="1306"/>
              <w:gridCol w:w="1090"/>
              <w:gridCol w:w="1297"/>
              <w:gridCol w:w="1267"/>
              <w:gridCol w:w="14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0" w:hRule="atLeast"/>
              </w:trPr>
              <w:tc>
                <w:tcPr>
                  <w:tcW w:w="2150" w:type="dxa"/>
                </w:tcPr>
                <w:p>
                  <w:pPr>
                    <w:pStyle w:val="85"/>
                    <w:rPr>
                      <w:rFonts w:ascii="STXihei"/>
                      <w:sz w:val="20"/>
                    </w:rPr>
                  </w:pPr>
                </w:p>
                <w:p>
                  <w:pPr>
                    <w:pStyle w:val="85"/>
                    <w:spacing w:before="11"/>
                    <w:rPr>
                      <w:rFonts w:ascii="STXihei"/>
                      <w:sz w:val="13"/>
                    </w:rPr>
                  </w:pPr>
                </w:p>
                <w:p>
                  <w:pPr>
                    <w:pStyle w:val="85"/>
                    <w:spacing w:line="242" w:lineRule="auto"/>
                    <w:ind w:left="675" w:right="663"/>
                    <w:rPr>
                      <w:sz w:val="20"/>
                    </w:rPr>
                  </w:pPr>
                  <w:r>
                    <w:rPr>
                      <w:sz w:val="20"/>
                    </w:rPr>
                    <w:t>功能分类科目名称</w:t>
                  </w:r>
                </w:p>
              </w:tc>
              <w:tc>
                <w:tcPr>
                  <w:tcW w:w="1267" w:type="dxa"/>
                </w:tcPr>
                <w:p>
                  <w:pPr>
                    <w:pStyle w:val="85"/>
                    <w:rPr>
                      <w:rFonts w:ascii="STXihei"/>
                      <w:sz w:val="20"/>
                    </w:rPr>
                  </w:pPr>
                </w:p>
                <w:p>
                  <w:pPr>
                    <w:pStyle w:val="85"/>
                    <w:spacing w:before="3"/>
                    <w:rPr>
                      <w:rFonts w:ascii="STXihei"/>
                      <w:sz w:val="23"/>
                    </w:rPr>
                  </w:pPr>
                </w:p>
                <w:p>
                  <w:pPr>
                    <w:pStyle w:val="85"/>
                    <w:ind w:left="433"/>
                    <w:rPr>
                      <w:sz w:val="20"/>
                    </w:rPr>
                  </w:pPr>
                  <w:r>
                    <w:rPr>
                      <w:sz w:val="20"/>
                    </w:rPr>
                    <w:t>总计</w:t>
                  </w:r>
                </w:p>
              </w:tc>
              <w:tc>
                <w:tcPr>
                  <w:tcW w:w="1306" w:type="dxa"/>
                </w:tcPr>
                <w:p>
                  <w:pPr>
                    <w:pStyle w:val="85"/>
                    <w:rPr>
                      <w:rFonts w:ascii="STXihei"/>
                      <w:sz w:val="20"/>
                    </w:rPr>
                  </w:pPr>
                </w:p>
                <w:p>
                  <w:pPr>
                    <w:pStyle w:val="85"/>
                    <w:spacing w:before="11"/>
                    <w:rPr>
                      <w:rFonts w:ascii="STXihei"/>
                      <w:sz w:val="13"/>
                    </w:rPr>
                  </w:pPr>
                </w:p>
                <w:p>
                  <w:pPr>
                    <w:pStyle w:val="85"/>
                    <w:spacing w:line="242" w:lineRule="auto"/>
                    <w:ind w:left="453" w:right="442"/>
                    <w:jc w:val="center"/>
                    <w:rPr>
                      <w:sz w:val="20"/>
                    </w:rPr>
                  </w:pPr>
                  <w:r>
                    <w:rPr>
                      <w:sz w:val="20"/>
                    </w:rPr>
                    <w:t>基本支出</w:t>
                  </w:r>
                </w:p>
              </w:tc>
              <w:tc>
                <w:tcPr>
                  <w:tcW w:w="1090" w:type="dxa"/>
                </w:tcPr>
                <w:p>
                  <w:pPr>
                    <w:pStyle w:val="85"/>
                    <w:rPr>
                      <w:rFonts w:ascii="STXihei"/>
                      <w:sz w:val="20"/>
                    </w:rPr>
                  </w:pPr>
                </w:p>
                <w:p>
                  <w:pPr>
                    <w:pStyle w:val="85"/>
                    <w:spacing w:before="11"/>
                    <w:rPr>
                      <w:rFonts w:ascii="STXihei"/>
                      <w:sz w:val="13"/>
                    </w:rPr>
                  </w:pPr>
                </w:p>
                <w:p>
                  <w:pPr>
                    <w:pStyle w:val="85"/>
                    <w:spacing w:line="242" w:lineRule="auto"/>
                    <w:ind w:left="344" w:right="335"/>
                    <w:rPr>
                      <w:sz w:val="20"/>
                    </w:rPr>
                  </w:pPr>
                  <w:r>
                    <w:rPr>
                      <w:sz w:val="20"/>
                    </w:rPr>
                    <w:t>项目支出</w:t>
                  </w:r>
                </w:p>
              </w:tc>
              <w:tc>
                <w:tcPr>
                  <w:tcW w:w="1297" w:type="dxa"/>
                </w:tcPr>
                <w:p>
                  <w:pPr>
                    <w:pStyle w:val="85"/>
                    <w:rPr>
                      <w:rFonts w:ascii="STXihei"/>
                      <w:sz w:val="20"/>
                    </w:rPr>
                  </w:pPr>
                </w:p>
                <w:p>
                  <w:pPr>
                    <w:pStyle w:val="85"/>
                    <w:spacing w:before="11"/>
                    <w:rPr>
                      <w:rFonts w:ascii="STXihei"/>
                      <w:sz w:val="13"/>
                    </w:rPr>
                  </w:pPr>
                </w:p>
                <w:p>
                  <w:pPr>
                    <w:pStyle w:val="85"/>
                    <w:spacing w:line="242" w:lineRule="auto"/>
                    <w:ind w:left="248" w:right="237"/>
                    <w:rPr>
                      <w:sz w:val="20"/>
                    </w:rPr>
                  </w:pPr>
                  <w:r>
                    <w:rPr>
                      <w:sz w:val="20"/>
                    </w:rPr>
                    <w:t>事业单位经营支出</w:t>
                  </w:r>
                </w:p>
              </w:tc>
              <w:tc>
                <w:tcPr>
                  <w:tcW w:w="1267" w:type="dxa"/>
                </w:tcPr>
                <w:p>
                  <w:pPr>
                    <w:pStyle w:val="85"/>
                    <w:spacing w:before="5"/>
                    <w:rPr>
                      <w:rFonts w:ascii="STXihei"/>
                      <w:sz w:val="24"/>
                    </w:rPr>
                  </w:pPr>
                </w:p>
                <w:p>
                  <w:pPr>
                    <w:pStyle w:val="85"/>
                    <w:spacing w:line="242" w:lineRule="auto"/>
                    <w:ind w:left="432" w:right="424"/>
                    <w:jc w:val="both"/>
                    <w:rPr>
                      <w:sz w:val="20"/>
                    </w:rPr>
                  </w:pPr>
                  <w:r>
                    <w:rPr>
                      <w:sz w:val="20"/>
                    </w:rPr>
                    <w:t>上缴上级支出</w:t>
                  </w:r>
                </w:p>
              </w:tc>
              <w:tc>
                <w:tcPr>
                  <w:tcW w:w="1466" w:type="dxa"/>
                </w:tcPr>
                <w:p>
                  <w:pPr>
                    <w:pStyle w:val="85"/>
                    <w:spacing w:before="5"/>
                    <w:rPr>
                      <w:rFonts w:ascii="STXihei"/>
                      <w:sz w:val="24"/>
                    </w:rPr>
                  </w:pPr>
                </w:p>
                <w:p>
                  <w:pPr>
                    <w:pStyle w:val="85"/>
                    <w:spacing w:line="242" w:lineRule="auto"/>
                    <w:ind w:left="432" w:right="421"/>
                    <w:jc w:val="both"/>
                    <w:rPr>
                      <w:sz w:val="20"/>
                    </w:rPr>
                  </w:pPr>
                  <w:r>
                    <w:rPr>
                      <w:sz w:val="20"/>
                    </w:rPr>
                    <w:t>对附属单位补助支出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150" w:type="dxa"/>
                </w:tcPr>
                <w:p>
                  <w:pPr>
                    <w:pStyle w:val="85"/>
                    <w:spacing w:before="97"/>
                    <w:ind w:left="53" w:right="45"/>
                    <w:jc w:val="center"/>
                    <w:rPr>
                      <w:sz w:val="20"/>
                    </w:rPr>
                  </w:pPr>
                  <w:r>
                    <w:rPr>
                      <w:sz w:val="20"/>
                    </w:rPr>
                    <w:t>一、一般公共服务</w:t>
                  </w:r>
                </w:p>
              </w:tc>
              <w:tc>
                <w:tcPr>
                  <w:tcW w:w="1267" w:type="dxa"/>
                </w:tcPr>
                <w:p>
                  <w:pPr>
                    <w:pStyle w:val="85"/>
                    <w:spacing w:before="111"/>
                    <w:ind w:left="356"/>
                    <w:rPr>
                      <w:rFonts w:hint="default" w:ascii="Times New Roman" w:eastAsia="宋体"/>
                      <w:sz w:val="20"/>
                      <w:lang w:val="en-US" w:eastAsia="zh-CN"/>
                    </w:rPr>
                  </w:pPr>
                  <w:r>
                    <w:rPr>
                      <w:rFonts w:hint="eastAsia" w:ascii="Times New Roman"/>
                      <w:sz w:val="20"/>
                      <w:lang w:val="en-US" w:eastAsia="zh-CN"/>
                    </w:rPr>
                    <w:t>270.4</w:t>
                  </w:r>
                </w:p>
              </w:tc>
              <w:tc>
                <w:tcPr>
                  <w:tcW w:w="1306" w:type="dxa"/>
                </w:tcPr>
                <w:p>
                  <w:pPr>
                    <w:pStyle w:val="85"/>
                    <w:spacing w:before="111"/>
                    <w:ind w:left="378"/>
                    <w:rPr>
                      <w:rFonts w:hint="default" w:ascii="Times New Roman" w:eastAsia="宋体"/>
                      <w:sz w:val="20"/>
                      <w:lang w:val="en-US" w:eastAsia="zh-CN"/>
                    </w:rPr>
                  </w:pPr>
                  <w:r>
                    <w:rPr>
                      <w:rFonts w:hint="eastAsia" w:ascii="Times New Roman"/>
                      <w:sz w:val="20"/>
                      <w:lang w:val="en-US" w:eastAsia="zh-CN"/>
                    </w:rPr>
                    <w:t>244.2</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26.25</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0"/>
                    <w:ind w:left="55" w:right="45"/>
                    <w:jc w:val="center"/>
                    <w:rPr>
                      <w:sz w:val="20"/>
                    </w:rPr>
                  </w:pPr>
                  <w:r>
                    <w:rPr>
                      <w:sz w:val="20"/>
                    </w:rPr>
                    <w:t>政协事务</w:t>
                  </w:r>
                </w:p>
              </w:tc>
              <w:tc>
                <w:tcPr>
                  <w:tcW w:w="1267" w:type="dxa"/>
                </w:tcPr>
                <w:p>
                  <w:pPr>
                    <w:pStyle w:val="85"/>
                    <w:spacing w:before="63"/>
                    <w:ind w:left="356"/>
                    <w:rPr>
                      <w:rFonts w:hint="default" w:ascii="Times New Roman" w:eastAsia="宋体"/>
                      <w:sz w:val="20"/>
                      <w:lang w:val="en-US" w:eastAsia="zh-CN"/>
                    </w:rPr>
                  </w:pPr>
                  <w:r>
                    <w:rPr>
                      <w:rFonts w:hint="eastAsia" w:ascii="Times New Roman"/>
                      <w:sz w:val="20"/>
                      <w:lang w:val="en-US" w:eastAsia="zh-CN"/>
                    </w:rPr>
                    <w:t>270.4</w:t>
                  </w:r>
                </w:p>
              </w:tc>
              <w:tc>
                <w:tcPr>
                  <w:tcW w:w="1306" w:type="dxa"/>
                </w:tcPr>
                <w:p>
                  <w:pPr>
                    <w:pStyle w:val="85"/>
                    <w:spacing w:before="63"/>
                    <w:ind w:left="378"/>
                    <w:rPr>
                      <w:rFonts w:hint="default" w:ascii="Times New Roman" w:eastAsia="宋体"/>
                      <w:sz w:val="20"/>
                      <w:lang w:val="en-US" w:eastAsia="zh-CN"/>
                    </w:rPr>
                  </w:pPr>
                  <w:r>
                    <w:rPr>
                      <w:rFonts w:hint="eastAsia" w:ascii="Times New Roman"/>
                      <w:sz w:val="20"/>
                      <w:lang w:val="en-US" w:eastAsia="zh-CN"/>
                    </w:rPr>
                    <w:t>244.2</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26.25</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5" w:right="45"/>
                    <w:jc w:val="center"/>
                    <w:rPr>
                      <w:sz w:val="20"/>
                    </w:rPr>
                  </w:pPr>
                  <w:r>
                    <w:rPr>
                      <w:sz w:val="20"/>
                    </w:rPr>
                    <w:t>行政运行</w:t>
                  </w:r>
                </w:p>
              </w:tc>
              <w:tc>
                <w:tcPr>
                  <w:tcW w:w="1267" w:type="dxa"/>
                </w:tcPr>
                <w:p>
                  <w:pPr>
                    <w:pStyle w:val="85"/>
                    <w:spacing w:before="65"/>
                    <w:ind w:left="356"/>
                    <w:rPr>
                      <w:rFonts w:hint="eastAsia" w:ascii="Times New Roman" w:eastAsia="宋体"/>
                      <w:sz w:val="20"/>
                      <w:lang w:eastAsia="zh-CN"/>
                    </w:rPr>
                  </w:pPr>
                  <w:r>
                    <w:rPr>
                      <w:rFonts w:ascii="Times New Roman"/>
                      <w:sz w:val="20"/>
                    </w:rPr>
                    <w:t>259.</w:t>
                  </w:r>
                  <w:r>
                    <w:rPr>
                      <w:rFonts w:hint="eastAsia" w:ascii="Times New Roman"/>
                      <w:sz w:val="20"/>
                      <w:lang w:val="en-US" w:eastAsia="zh-CN"/>
                    </w:rPr>
                    <w:t>8</w:t>
                  </w:r>
                </w:p>
              </w:tc>
              <w:tc>
                <w:tcPr>
                  <w:tcW w:w="1306" w:type="dxa"/>
                </w:tcPr>
                <w:p>
                  <w:pPr>
                    <w:pStyle w:val="85"/>
                    <w:spacing w:before="65"/>
                    <w:ind w:left="378"/>
                    <w:rPr>
                      <w:rFonts w:hint="eastAsia" w:ascii="Times New Roman" w:eastAsia="宋体"/>
                      <w:sz w:val="20"/>
                      <w:lang w:eastAsia="zh-CN"/>
                    </w:rPr>
                  </w:pPr>
                  <w:r>
                    <w:rPr>
                      <w:rFonts w:ascii="Times New Roman"/>
                      <w:sz w:val="20"/>
                    </w:rPr>
                    <w:t>259.</w:t>
                  </w:r>
                  <w:r>
                    <w:rPr>
                      <w:rFonts w:hint="eastAsia" w:ascii="Times New Roman"/>
                      <w:sz w:val="20"/>
                      <w:lang w:val="en-US" w:eastAsia="zh-CN"/>
                    </w:rPr>
                    <w:t>8</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5" w:right="45"/>
                    <w:jc w:val="center"/>
                    <w:rPr>
                      <w:sz w:val="20"/>
                    </w:rPr>
                  </w:pPr>
                  <w:r>
                    <w:rPr>
                      <w:sz w:val="20"/>
                    </w:rPr>
                    <w:t>事业运行</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39.7</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39.7</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2150" w:type="dxa"/>
                </w:tcPr>
                <w:p>
                  <w:pPr>
                    <w:pStyle w:val="85"/>
                    <w:spacing w:before="8" w:line="260" w:lineRule="atLeast"/>
                    <w:ind w:left="975" w:right="12" w:hanging="852"/>
                    <w:rPr>
                      <w:sz w:val="20"/>
                    </w:rPr>
                  </w:pPr>
                  <w:r>
                    <w:rPr>
                      <w:sz w:val="20"/>
                    </w:rPr>
                    <w:t>二、社会保障和就业支出</w:t>
                  </w:r>
                </w:p>
              </w:tc>
              <w:tc>
                <w:tcPr>
                  <w:tcW w:w="1267" w:type="dxa"/>
                </w:tcPr>
                <w:p>
                  <w:pPr>
                    <w:pStyle w:val="85"/>
                    <w:spacing w:before="158"/>
                    <w:ind w:left="407"/>
                    <w:rPr>
                      <w:rFonts w:hint="default" w:ascii="Times New Roman" w:eastAsia="宋体"/>
                      <w:sz w:val="20"/>
                      <w:lang w:val="en-US" w:eastAsia="zh-CN"/>
                    </w:rPr>
                  </w:pPr>
                  <w:r>
                    <w:rPr>
                      <w:rFonts w:hint="eastAsia" w:ascii="Times New Roman"/>
                      <w:sz w:val="20"/>
                      <w:lang w:val="en-US" w:eastAsia="zh-CN"/>
                    </w:rPr>
                    <w:t>35.2</w:t>
                  </w:r>
                </w:p>
              </w:tc>
              <w:tc>
                <w:tcPr>
                  <w:tcW w:w="1306" w:type="dxa"/>
                </w:tcPr>
                <w:p>
                  <w:pPr>
                    <w:pStyle w:val="85"/>
                    <w:spacing w:before="158"/>
                    <w:ind w:left="426"/>
                    <w:rPr>
                      <w:rFonts w:hint="default" w:ascii="Times New Roman" w:eastAsia="宋体"/>
                      <w:sz w:val="20"/>
                      <w:lang w:val="en-US" w:eastAsia="zh-CN"/>
                    </w:rPr>
                  </w:pPr>
                  <w:r>
                    <w:rPr>
                      <w:rFonts w:hint="eastAsia" w:ascii="Times New Roman"/>
                      <w:sz w:val="20"/>
                      <w:lang w:val="en-US" w:eastAsia="zh-CN"/>
                    </w:rPr>
                    <w:t>35.2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5" w:right="45"/>
                    <w:jc w:val="center"/>
                    <w:rPr>
                      <w:sz w:val="20"/>
                    </w:rPr>
                  </w:pPr>
                  <w:r>
                    <w:rPr>
                      <w:sz w:val="20"/>
                    </w:rPr>
                    <w:t>行政事业单位养老支出</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35.2</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35.2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150" w:type="dxa"/>
                </w:tcPr>
                <w:p>
                  <w:pPr>
                    <w:pStyle w:val="85"/>
                    <w:spacing w:before="9" w:line="260" w:lineRule="atLeast"/>
                    <w:ind w:left="474" w:right="63" w:hanging="399"/>
                    <w:rPr>
                      <w:sz w:val="20"/>
                    </w:rPr>
                  </w:pPr>
                  <w:r>
                    <w:rPr>
                      <w:sz w:val="20"/>
                    </w:rPr>
                    <w:t>机关事业单位基本养老保险缴费支出</w:t>
                  </w:r>
                </w:p>
              </w:tc>
              <w:tc>
                <w:tcPr>
                  <w:tcW w:w="1267" w:type="dxa"/>
                </w:tcPr>
                <w:p>
                  <w:pPr>
                    <w:pStyle w:val="85"/>
                    <w:spacing w:before="159"/>
                    <w:ind w:left="407"/>
                    <w:rPr>
                      <w:rFonts w:hint="default" w:ascii="Times New Roman" w:eastAsia="宋体"/>
                      <w:sz w:val="20"/>
                      <w:lang w:val="en-US" w:eastAsia="zh-CN"/>
                    </w:rPr>
                  </w:pPr>
                  <w:r>
                    <w:rPr>
                      <w:rFonts w:hint="eastAsia" w:ascii="Times New Roman"/>
                      <w:sz w:val="20"/>
                      <w:lang w:val="en-US" w:eastAsia="zh-CN"/>
                    </w:rPr>
                    <w:t>28.1</w:t>
                  </w:r>
                </w:p>
              </w:tc>
              <w:tc>
                <w:tcPr>
                  <w:tcW w:w="1306" w:type="dxa"/>
                </w:tcPr>
                <w:p>
                  <w:pPr>
                    <w:pStyle w:val="85"/>
                    <w:spacing w:before="159"/>
                    <w:ind w:left="426"/>
                    <w:rPr>
                      <w:rFonts w:hint="default" w:ascii="Times New Roman" w:eastAsia="宋体"/>
                      <w:sz w:val="20"/>
                      <w:lang w:val="en-US" w:eastAsia="zh-CN"/>
                    </w:rPr>
                  </w:pPr>
                  <w:r>
                    <w:rPr>
                      <w:rFonts w:hint="eastAsia" w:ascii="Times New Roman"/>
                      <w:sz w:val="20"/>
                      <w:lang w:val="en-US" w:eastAsia="zh-CN"/>
                    </w:rPr>
                    <w:t>28.1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150" w:type="dxa"/>
                </w:tcPr>
                <w:p>
                  <w:pPr>
                    <w:pStyle w:val="85"/>
                    <w:spacing w:before="9" w:line="260" w:lineRule="atLeast"/>
                    <w:ind w:left="675" w:right="63" w:hanging="600"/>
                    <w:rPr>
                      <w:sz w:val="20"/>
                    </w:rPr>
                  </w:pPr>
                  <w:r>
                    <w:rPr>
                      <w:sz w:val="20"/>
                    </w:rPr>
                    <w:t>机关事业单位职业年金缴费支出</w:t>
                  </w:r>
                </w:p>
              </w:tc>
              <w:tc>
                <w:tcPr>
                  <w:tcW w:w="1267" w:type="dxa"/>
                </w:tcPr>
                <w:p>
                  <w:pPr>
                    <w:pStyle w:val="85"/>
                    <w:spacing w:before="159"/>
                    <w:ind w:left="407"/>
                    <w:rPr>
                      <w:rFonts w:hint="default" w:ascii="Times New Roman" w:eastAsia="宋体"/>
                      <w:sz w:val="20"/>
                      <w:lang w:val="en-US" w:eastAsia="zh-CN"/>
                    </w:rPr>
                  </w:pPr>
                  <w:r>
                    <w:rPr>
                      <w:rFonts w:hint="eastAsia" w:ascii="Times New Roman"/>
                      <w:sz w:val="20"/>
                      <w:lang w:val="en-US" w:eastAsia="zh-CN"/>
                    </w:rPr>
                    <w:t>6.8</w:t>
                  </w:r>
                </w:p>
              </w:tc>
              <w:tc>
                <w:tcPr>
                  <w:tcW w:w="1306" w:type="dxa"/>
                </w:tcPr>
                <w:p>
                  <w:pPr>
                    <w:pStyle w:val="85"/>
                    <w:spacing w:before="159"/>
                    <w:ind w:left="426"/>
                    <w:rPr>
                      <w:rFonts w:hint="default" w:ascii="Times New Roman" w:eastAsia="宋体"/>
                      <w:sz w:val="20"/>
                      <w:lang w:val="en-US" w:eastAsia="zh-CN"/>
                    </w:rPr>
                  </w:pPr>
                  <w:r>
                    <w:rPr>
                      <w:rFonts w:hint="eastAsia" w:ascii="Times New Roman"/>
                      <w:sz w:val="20"/>
                      <w:lang w:val="en-US" w:eastAsia="zh-CN"/>
                    </w:rPr>
                    <w:t>6.8</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150" w:type="dxa"/>
                </w:tcPr>
                <w:p>
                  <w:pPr>
                    <w:pStyle w:val="85"/>
                    <w:spacing w:before="9" w:line="260" w:lineRule="atLeast"/>
                    <w:ind w:left="675" w:right="63" w:hanging="600"/>
                    <w:rPr>
                      <w:rFonts w:hint="default" w:eastAsia="宋体"/>
                      <w:sz w:val="20"/>
                      <w:lang w:val="en-US" w:eastAsia="zh-CN"/>
                    </w:rPr>
                  </w:pPr>
                  <w:r>
                    <w:rPr>
                      <w:rFonts w:hint="eastAsia"/>
                      <w:sz w:val="20"/>
                      <w:lang w:eastAsia="zh-CN"/>
                    </w:rPr>
                    <w:t>其他行政事业单位</w:t>
                  </w:r>
                  <w:r>
                    <w:rPr>
                      <w:rFonts w:hint="eastAsia"/>
                      <w:sz w:val="20"/>
                      <w:lang w:val="en-US" w:eastAsia="zh-CN"/>
                    </w:rPr>
                    <w:t>养老支出</w:t>
                  </w:r>
                </w:p>
              </w:tc>
              <w:tc>
                <w:tcPr>
                  <w:tcW w:w="1267" w:type="dxa"/>
                </w:tcPr>
                <w:p>
                  <w:pPr>
                    <w:pStyle w:val="85"/>
                    <w:spacing w:before="159"/>
                    <w:ind w:left="407"/>
                    <w:rPr>
                      <w:rFonts w:hint="default" w:ascii="Times New Roman"/>
                      <w:sz w:val="20"/>
                      <w:lang w:val="en-US" w:eastAsia="zh-CN"/>
                    </w:rPr>
                  </w:pPr>
                  <w:r>
                    <w:rPr>
                      <w:rFonts w:hint="eastAsia" w:ascii="Times New Roman"/>
                      <w:sz w:val="20"/>
                      <w:lang w:val="en-US" w:eastAsia="zh-CN"/>
                    </w:rPr>
                    <w:t>0.2</w:t>
                  </w:r>
                </w:p>
              </w:tc>
              <w:tc>
                <w:tcPr>
                  <w:tcW w:w="1306" w:type="dxa"/>
                </w:tcPr>
                <w:p>
                  <w:pPr>
                    <w:pStyle w:val="85"/>
                    <w:spacing w:before="159"/>
                    <w:ind w:left="426"/>
                    <w:rPr>
                      <w:rFonts w:hint="default" w:ascii="Times New Roman"/>
                      <w:sz w:val="20"/>
                      <w:lang w:val="en-US" w:eastAsia="zh-CN"/>
                    </w:rPr>
                  </w:pPr>
                  <w:r>
                    <w:rPr>
                      <w:rFonts w:hint="eastAsia" w:ascii="Times New Roman"/>
                      <w:sz w:val="20"/>
                      <w:lang w:val="en-US" w:eastAsia="zh-CN"/>
                    </w:rPr>
                    <w:t>0.2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0"/>
                    <w:ind w:left="55" w:right="45"/>
                    <w:jc w:val="center"/>
                    <w:rPr>
                      <w:sz w:val="20"/>
                    </w:rPr>
                  </w:pPr>
                  <w:r>
                    <w:rPr>
                      <w:sz w:val="20"/>
                    </w:rPr>
                    <w:t>三、卫生健康支出</w:t>
                  </w:r>
                </w:p>
              </w:tc>
              <w:tc>
                <w:tcPr>
                  <w:tcW w:w="1267" w:type="dxa"/>
                </w:tcPr>
                <w:p>
                  <w:pPr>
                    <w:pStyle w:val="85"/>
                    <w:spacing w:before="63"/>
                    <w:ind w:left="407"/>
                    <w:rPr>
                      <w:rFonts w:hint="default" w:ascii="Times New Roman" w:eastAsia="宋体"/>
                      <w:sz w:val="20"/>
                      <w:lang w:val="en-US" w:eastAsia="zh-CN"/>
                    </w:rPr>
                  </w:pPr>
                  <w:r>
                    <w:rPr>
                      <w:rFonts w:hint="eastAsia" w:ascii="Times New Roman"/>
                      <w:sz w:val="20"/>
                      <w:lang w:val="en-US" w:eastAsia="zh-CN"/>
                    </w:rPr>
                    <w:t>12.2</w:t>
                  </w:r>
                </w:p>
              </w:tc>
              <w:tc>
                <w:tcPr>
                  <w:tcW w:w="1306" w:type="dxa"/>
                </w:tcPr>
                <w:p>
                  <w:pPr>
                    <w:pStyle w:val="85"/>
                    <w:spacing w:before="63"/>
                    <w:ind w:left="426"/>
                    <w:rPr>
                      <w:rFonts w:hint="default" w:ascii="Times New Roman" w:eastAsia="宋体"/>
                      <w:sz w:val="20"/>
                      <w:lang w:val="en-US" w:eastAsia="zh-CN"/>
                    </w:rPr>
                  </w:pPr>
                  <w:r>
                    <w:rPr>
                      <w:rFonts w:hint="eastAsia" w:ascii="Times New Roman"/>
                      <w:sz w:val="20"/>
                      <w:lang w:val="en-US" w:eastAsia="zh-CN"/>
                    </w:rPr>
                    <w:t>12.2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2"/>
                    <w:ind w:left="53" w:right="45"/>
                    <w:jc w:val="center"/>
                    <w:rPr>
                      <w:sz w:val="20"/>
                    </w:rPr>
                  </w:pPr>
                  <w:r>
                    <w:rPr>
                      <w:sz w:val="20"/>
                    </w:rPr>
                    <w:t>行政事业单位医疗</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12.2</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12.2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sz w:val="20"/>
                    </w:rPr>
                  </w:pPr>
                  <w:r>
                    <w:rPr>
                      <w:sz w:val="20"/>
                    </w:rPr>
                    <w:t>行政单位医疗</w:t>
                  </w:r>
                </w:p>
              </w:tc>
              <w:tc>
                <w:tcPr>
                  <w:tcW w:w="1267" w:type="dxa"/>
                </w:tcPr>
                <w:p>
                  <w:pPr>
                    <w:pStyle w:val="85"/>
                    <w:spacing w:before="65"/>
                    <w:ind w:left="407"/>
                    <w:rPr>
                      <w:rFonts w:hint="default" w:ascii="Times New Roman" w:eastAsia="宋体"/>
                      <w:sz w:val="20"/>
                      <w:lang w:val="en-US" w:eastAsia="zh-CN"/>
                    </w:rPr>
                  </w:pPr>
                  <w:r>
                    <w:rPr>
                      <w:rFonts w:hint="eastAsia" w:ascii="Times New Roman"/>
                      <w:sz w:val="20"/>
                      <w:lang w:val="en-US" w:eastAsia="zh-CN"/>
                    </w:rPr>
                    <w:t>9.7</w:t>
                  </w:r>
                </w:p>
              </w:tc>
              <w:tc>
                <w:tcPr>
                  <w:tcW w:w="1306" w:type="dxa"/>
                </w:tcPr>
                <w:p>
                  <w:pPr>
                    <w:pStyle w:val="85"/>
                    <w:spacing w:before="65"/>
                    <w:ind w:left="426"/>
                    <w:rPr>
                      <w:rFonts w:hint="default" w:ascii="Times New Roman" w:eastAsia="宋体"/>
                      <w:sz w:val="20"/>
                      <w:lang w:val="en-US" w:eastAsia="zh-CN"/>
                    </w:rPr>
                  </w:pPr>
                  <w:r>
                    <w:rPr>
                      <w:rFonts w:hint="eastAsia" w:ascii="Times New Roman"/>
                      <w:sz w:val="20"/>
                      <w:lang w:val="en-US" w:eastAsia="zh-CN"/>
                    </w:rPr>
                    <w:t>9.7</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sz w:val="20"/>
                    </w:rPr>
                  </w:pPr>
                  <w:r>
                    <w:rPr>
                      <w:sz w:val="20"/>
                    </w:rPr>
                    <w:t>事业单位医疗</w:t>
                  </w:r>
                </w:p>
              </w:tc>
              <w:tc>
                <w:tcPr>
                  <w:tcW w:w="1267" w:type="dxa"/>
                </w:tcPr>
                <w:p>
                  <w:pPr>
                    <w:pStyle w:val="85"/>
                    <w:spacing w:before="64"/>
                    <w:ind w:left="457"/>
                    <w:rPr>
                      <w:rFonts w:hint="default" w:ascii="Times New Roman" w:eastAsia="宋体"/>
                      <w:sz w:val="20"/>
                      <w:lang w:val="en-US" w:eastAsia="zh-CN"/>
                    </w:rPr>
                  </w:pPr>
                  <w:r>
                    <w:rPr>
                      <w:rFonts w:hint="eastAsia" w:ascii="Times New Roman"/>
                      <w:sz w:val="20"/>
                      <w:lang w:val="en-US" w:eastAsia="zh-CN"/>
                    </w:rPr>
                    <w:t>2.2</w:t>
                  </w:r>
                </w:p>
              </w:tc>
              <w:tc>
                <w:tcPr>
                  <w:tcW w:w="1306" w:type="dxa"/>
                </w:tcPr>
                <w:p>
                  <w:pPr>
                    <w:pStyle w:val="85"/>
                    <w:spacing w:before="64"/>
                    <w:ind w:left="477"/>
                    <w:rPr>
                      <w:rFonts w:hint="default" w:ascii="Times New Roman" w:eastAsia="宋体"/>
                      <w:sz w:val="20"/>
                      <w:lang w:val="en-US" w:eastAsia="zh-CN"/>
                    </w:rPr>
                  </w:pPr>
                  <w:r>
                    <w:rPr>
                      <w:rFonts w:hint="eastAsia" w:ascii="Times New Roman"/>
                      <w:sz w:val="20"/>
                      <w:lang w:val="en-US" w:eastAsia="zh-CN"/>
                    </w:rPr>
                    <w:t>2.2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其他行政事业单位医疗支出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0.2</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0.2</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四、住房保障支出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住房改革支出</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2150" w:type="dxa"/>
                </w:tcPr>
                <w:p>
                  <w:pPr>
                    <w:pStyle w:val="85"/>
                    <w:spacing w:before="51"/>
                    <w:ind w:left="53" w:right="45"/>
                    <w:jc w:val="center"/>
                    <w:rPr>
                      <w:rFonts w:hint="eastAsia" w:eastAsia="宋体"/>
                      <w:sz w:val="20"/>
                      <w:lang w:eastAsia="zh-CN"/>
                    </w:rPr>
                  </w:pPr>
                  <w:r>
                    <w:rPr>
                      <w:rFonts w:hint="eastAsia"/>
                      <w:sz w:val="20"/>
                      <w:lang w:eastAsia="zh-CN"/>
                    </w:rPr>
                    <w:t>住房公积金</w:t>
                  </w:r>
                </w:p>
              </w:tc>
              <w:tc>
                <w:tcPr>
                  <w:tcW w:w="1267" w:type="dxa"/>
                </w:tcPr>
                <w:p>
                  <w:pPr>
                    <w:pStyle w:val="85"/>
                    <w:spacing w:before="64"/>
                    <w:ind w:left="457"/>
                    <w:rPr>
                      <w:rFonts w:hint="default" w:ascii="Times New Roman"/>
                      <w:sz w:val="20"/>
                      <w:lang w:val="en-US" w:eastAsia="zh-CN"/>
                    </w:rPr>
                  </w:pPr>
                  <w:r>
                    <w:rPr>
                      <w:rFonts w:hint="eastAsia" w:ascii="Times New Roman"/>
                      <w:sz w:val="20"/>
                      <w:lang w:val="en-US" w:eastAsia="zh-CN"/>
                    </w:rPr>
                    <w:t>21.1</w:t>
                  </w:r>
                </w:p>
              </w:tc>
              <w:tc>
                <w:tcPr>
                  <w:tcW w:w="1306" w:type="dxa"/>
                </w:tcPr>
                <w:p>
                  <w:pPr>
                    <w:pStyle w:val="85"/>
                    <w:spacing w:before="64"/>
                    <w:ind w:left="477"/>
                    <w:rPr>
                      <w:rFonts w:hint="default" w:ascii="Times New Roman"/>
                      <w:sz w:val="20"/>
                      <w:lang w:val="en-US" w:eastAsia="zh-CN"/>
                    </w:rPr>
                  </w:pPr>
                  <w:r>
                    <w:rPr>
                      <w:rFonts w:hint="eastAsia" w:ascii="Times New Roman"/>
                      <w:sz w:val="20"/>
                      <w:lang w:val="en-US" w:eastAsia="zh-CN"/>
                    </w:rPr>
                    <w:t>21.1</w:t>
                  </w:r>
                </w:p>
              </w:tc>
              <w:tc>
                <w:tcPr>
                  <w:tcW w:w="1090" w:type="dxa"/>
                </w:tcPr>
                <w:p>
                  <w:pPr>
                    <w:pStyle w:val="85"/>
                    <w:rPr>
                      <w:rFonts w:ascii="Times New Roman"/>
                      <w:sz w:val="20"/>
                    </w:rPr>
                  </w:pP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2150" w:type="dxa"/>
                </w:tcPr>
                <w:p>
                  <w:pPr>
                    <w:pStyle w:val="85"/>
                    <w:spacing w:before="9"/>
                    <w:ind w:left="53" w:right="45"/>
                    <w:jc w:val="center"/>
                    <w:rPr>
                      <w:rFonts w:hint="eastAsia" w:ascii="STXihei" w:eastAsia="STXihei"/>
                      <w:sz w:val="20"/>
                    </w:rPr>
                  </w:pPr>
                  <w:r>
                    <w:rPr>
                      <w:rFonts w:hint="eastAsia" w:ascii="STXihei" w:eastAsia="STXihei"/>
                      <w:sz w:val="20"/>
                    </w:rPr>
                    <w:t>合计</w:t>
                  </w:r>
                </w:p>
              </w:tc>
              <w:tc>
                <w:tcPr>
                  <w:tcW w:w="1267" w:type="dxa"/>
                </w:tcPr>
                <w:p>
                  <w:pPr>
                    <w:pStyle w:val="85"/>
                    <w:spacing w:before="64"/>
                    <w:ind w:left="407"/>
                    <w:rPr>
                      <w:rFonts w:hint="default" w:ascii="Times New Roman" w:eastAsia="宋体"/>
                      <w:sz w:val="20"/>
                      <w:lang w:val="en-US" w:eastAsia="zh-CN"/>
                    </w:rPr>
                  </w:pPr>
                  <w:r>
                    <w:rPr>
                      <w:rFonts w:hint="eastAsia" w:ascii="Times New Roman"/>
                      <w:sz w:val="20"/>
                      <w:lang w:val="en-US" w:eastAsia="zh-CN"/>
                    </w:rPr>
                    <w:t>338.9</w:t>
                  </w:r>
                </w:p>
              </w:tc>
              <w:tc>
                <w:tcPr>
                  <w:tcW w:w="1306" w:type="dxa"/>
                </w:tcPr>
                <w:p>
                  <w:pPr>
                    <w:pStyle w:val="85"/>
                    <w:spacing w:before="64"/>
                    <w:ind w:left="426"/>
                    <w:rPr>
                      <w:rFonts w:hint="default" w:ascii="Times New Roman" w:eastAsia="宋体"/>
                      <w:sz w:val="20"/>
                      <w:lang w:val="en-US" w:eastAsia="zh-CN"/>
                    </w:rPr>
                  </w:pPr>
                  <w:r>
                    <w:rPr>
                      <w:rFonts w:hint="eastAsia" w:ascii="Times New Roman"/>
                      <w:sz w:val="20"/>
                      <w:lang w:val="en-US" w:eastAsia="zh-CN"/>
                    </w:rPr>
                    <w:t>312.7</w:t>
                  </w:r>
                </w:p>
              </w:tc>
              <w:tc>
                <w:tcPr>
                  <w:tcW w:w="1090" w:type="dxa"/>
                </w:tcPr>
                <w:p>
                  <w:pPr>
                    <w:pStyle w:val="85"/>
                    <w:rPr>
                      <w:rFonts w:hint="default" w:ascii="Times New Roman" w:eastAsia="宋体"/>
                      <w:sz w:val="20"/>
                      <w:lang w:val="en-US" w:eastAsia="zh-CN"/>
                    </w:rPr>
                  </w:pPr>
                  <w:r>
                    <w:rPr>
                      <w:rFonts w:hint="eastAsia" w:ascii="Times New Roman"/>
                      <w:sz w:val="20"/>
                      <w:lang w:val="en-US" w:eastAsia="zh-CN"/>
                    </w:rPr>
                    <w:t>26.2</w:t>
                  </w:r>
                </w:p>
              </w:tc>
              <w:tc>
                <w:tcPr>
                  <w:tcW w:w="1297" w:type="dxa"/>
                </w:tcPr>
                <w:p>
                  <w:pPr>
                    <w:pStyle w:val="85"/>
                    <w:rPr>
                      <w:rFonts w:ascii="Times New Roman"/>
                      <w:sz w:val="20"/>
                    </w:rPr>
                  </w:pPr>
                </w:p>
              </w:tc>
              <w:tc>
                <w:tcPr>
                  <w:tcW w:w="1267" w:type="dxa"/>
                </w:tcPr>
                <w:p>
                  <w:pPr>
                    <w:pStyle w:val="85"/>
                    <w:rPr>
                      <w:rFonts w:ascii="Times New Roman"/>
                      <w:sz w:val="20"/>
                    </w:rPr>
                  </w:pPr>
                </w:p>
              </w:tc>
              <w:tc>
                <w:tcPr>
                  <w:tcW w:w="1466" w:type="dxa"/>
                </w:tcPr>
                <w:p>
                  <w:pPr>
                    <w:pStyle w:val="85"/>
                    <w:rPr>
                      <w:rFonts w:ascii="Times New Roman"/>
                      <w:sz w:val="20"/>
                    </w:rPr>
                  </w:pPr>
                </w:p>
              </w:tc>
            </w:tr>
          </w:tbl>
          <w:p>
            <w:pPr>
              <w:pStyle w:val="3"/>
              <w:rPr>
                <w:rFonts w:ascii="Arial Unicode MS"/>
                <w:sz w:val="20"/>
              </w:rPr>
            </w:pPr>
            <w:r>
              <w:br w:type="column"/>
            </w:r>
          </w:p>
          <w:p>
            <w:pPr>
              <w:widowControl/>
              <w:rPr>
                <w:rFonts w:eastAsia="方正小标宋简体"/>
                <w:kern w:val="0"/>
                <w:sz w:val="44"/>
                <w:szCs w:val="44"/>
              </w:rPr>
            </w:pPr>
          </w:p>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0" w:type="auto"/>
        <w:tblInd w:w="0" w:type="dxa"/>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 xml:space="preserve">              251.73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251.73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91.94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94.91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46.44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31.01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11.49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28.14</w:t>
            </w:r>
          </w:p>
          <w:p>
            <w:pPr>
              <w:widowControl/>
              <w:jc w:val="center"/>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28.14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6.81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12.01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21.11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lang w:eastAsia="zh-CN"/>
              </w:rPr>
              <w:t>二、</w:t>
            </w:r>
            <w:r>
              <w:rPr>
                <w:rFonts w:hint="eastAsia" w:eastAsia="宋体"/>
                <w:color w:val="000000"/>
                <w:sz w:val="20"/>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40.79</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13.33</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1.1</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咨询费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0.8</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0.15</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0.16</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1.7</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3.19</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1.3</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会议费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0.6</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培训费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0.1</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公务接待费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1.1</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0.1</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5.0</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　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11.75</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其他商品和服务支出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eastAsia" w:ascii="Times New Roman" w:hAnsi="Times New Roman" w:eastAsia="宋体" w:cs="Times New Roman"/>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0.41</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20.18</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eastAsia" w:ascii="Times New Roman" w:hAnsi="Times New Roman" w:eastAsia="宋体" w:cs="Times New Roman"/>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20.18</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20.18</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eastAsia" w:ascii="Times New Roman" w:hAnsi="Times New Roman" w:eastAsia="宋体" w:cs="Times New Roman"/>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ind w:firstLine="400" w:firstLineChars="200"/>
              <w:jc w:val="left"/>
              <w:textAlignment w:val="center"/>
              <w:rPr>
                <w:rFonts w:hint="default" w:ascii="Times New Roman" w:hAnsi="Times New Roman" w:eastAsia="宋体" w:cs="Times New Roman"/>
                <w:color w:val="000000"/>
                <w:sz w:val="20"/>
                <w:lang w:val="en-US" w:eastAsia="zh-CN"/>
              </w:rPr>
            </w:pPr>
            <w:r>
              <w:rPr>
                <w:rFonts w:hint="eastAsia" w:ascii="Times New Roman" w:hAnsi="Times New Roman" w:eastAsia="宋体" w:cs="Times New Roman"/>
                <w:color w:val="000000"/>
                <w:sz w:val="20"/>
                <w:lang w:val="en-US" w:eastAsia="zh-CN"/>
              </w:rPr>
              <w:t>20.18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1.1</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24</w:t>
            </w:r>
            <w:r>
              <w:rPr>
                <w:color w:val="000000"/>
                <w:kern w:val="0"/>
                <w:sz w:val="28"/>
                <w:szCs w:val="28"/>
              </w:rPr>
              <w:t>人，其中：在职人员</w:t>
            </w:r>
            <w:r>
              <w:rPr>
                <w:rFonts w:hint="eastAsia" w:eastAsia="宋体"/>
                <w:color w:val="000000"/>
                <w:kern w:val="0"/>
                <w:sz w:val="28"/>
                <w:szCs w:val="28"/>
                <w:u w:val="single"/>
                <w:lang w:val="en-US" w:eastAsia="zh-CN"/>
              </w:rPr>
              <w:t>24</w:t>
            </w:r>
            <w:r>
              <w:rPr>
                <w:color w:val="000000"/>
                <w:kern w:val="0"/>
                <w:sz w:val="28"/>
                <w:szCs w:val="28"/>
              </w:rPr>
              <w:t>人，离退休人员</w:t>
            </w:r>
            <w:r>
              <w:rPr>
                <w:rFonts w:hint="eastAsia" w:eastAsia="宋体"/>
                <w:color w:val="000000"/>
                <w:kern w:val="0"/>
                <w:sz w:val="28"/>
                <w:szCs w:val="28"/>
                <w:u w:val="single"/>
                <w:lang w:val="en-US" w:eastAsia="zh-CN"/>
              </w:rPr>
              <w:t>27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exact"/>
          <w:jc w:val="center"/>
        </w:trPr>
        <w:tc>
          <w:tcPr>
            <w:tcW w:w="759"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06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eastAsia="zh-CN"/>
              </w:rPr>
              <w:t>政协办</w:t>
            </w:r>
            <w:r>
              <w:rPr>
                <w:rFonts w:hint="eastAsia" w:ascii="Calibri" w:hAnsi="Calibri" w:eastAsia="楷体"/>
                <w:kern w:val="0"/>
                <w:sz w:val="21"/>
                <w:szCs w:val="21"/>
                <w:lang w:val="en-US" w:eastAsia="zh-CN"/>
              </w:rPr>
              <w:t>2023年部门预算（调剂）</w:t>
            </w:r>
          </w:p>
        </w:tc>
        <w:tc>
          <w:tcPr>
            <w:tcW w:w="1107" w:type="dxa"/>
            <w:noWrap w:val="0"/>
            <w:vAlign w:val="center"/>
          </w:tcPr>
          <w:p>
            <w:pPr>
              <w:spacing w:line="240" w:lineRule="auto"/>
              <w:jc w:val="center"/>
              <w:rPr>
                <w:rFonts w:ascii="Calibri" w:hAnsi="Calibri" w:eastAsia="楷体"/>
                <w:kern w:val="0"/>
                <w:sz w:val="21"/>
                <w:szCs w:val="21"/>
              </w:rPr>
            </w:pPr>
            <w:r>
              <w:rPr>
                <w:rFonts w:hint="eastAsia" w:ascii="宋体" w:hAnsi="宋体" w:eastAsia="宋体" w:cs="宋体"/>
                <w:color w:val="000000"/>
                <w:sz w:val="20"/>
                <w:lang w:val="en-US" w:eastAsia="zh-CN"/>
              </w:rPr>
              <w:t>政协办驻村工作队生活补贴3.6万元</w:t>
            </w:r>
          </w:p>
        </w:tc>
        <w:tc>
          <w:tcPr>
            <w:tcW w:w="864" w:type="dxa"/>
            <w:noWrap w:val="0"/>
            <w:vAlign w:val="center"/>
          </w:tcPr>
          <w:p>
            <w:pPr>
              <w:spacing w:line="240" w:lineRule="auto"/>
              <w:jc w:val="center"/>
              <w:rPr>
                <w:rFonts w:hint="eastAsia" w:ascii="Calibri" w:hAnsi="Calibri" w:eastAsia="楷体"/>
                <w:kern w:val="0"/>
                <w:sz w:val="20"/>
                <w:szCs w:val="20"/>
                <w:lang w:eastAsia="zh-CN"/>
              </w:rPr>
            </w:pPr>
            <w:r>
              <w:rPr>
                <w:rFonts w:hint="eastAsia" w:ascii="Calibri" w:hAnsi="Calibri" w:eastAsia="楷体"/>
                <w:kern w:val="0"/>
                <w:sz w:val="20"/>
                <w:szCs w:val="20"/>
                <w:lang w:eastAsia="zh-CN"/>
              </w:rPr>
              <w:t>政协办</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3.6</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exact"/>
          <w:jc w:val="center"/>
        </w:trPr>
        <w:tc>
          <w:tcPr>
            <w:tcW w:w="759" w:type="dxa"/>
            <w:noWrap w:val="0"/>
            <w:vAlign w:val="center"/>
          </w:tcPr>
          <w:p>
            <w:pPr>
              <w:spacing w:line="240" w:lineRule="auto"/>
              <w:jc w:val="center"/>
              <w:rPr>
                <w:rFonts w:ascii="Calibri" w:hAnsi="Calibri" w:eastAsia="楷体" w:cs="Times New Roman"/>
                <w:kern w:val="0"/>
                <w:sz w:val="21"/>
                <w:szCs w:val="21"/>
                <w:lang w:val="en-US" w:eastAsia="zh-CN" w:bidi="ar-SA"/>
              </w:rPr>
            </w:pPr>
            <w:r>
              <w:rPr>
                <w:rFonts w:hint="eastAsia" w:ascii="Calibri" w:hAnsi="Calibri" w:eastAsia="楷体"/>
                <w:kern w:val="0"/>
                <w:sz w:val="21"/>
                <w:szCs w:val="21"/>
              </w:rPr>
              <w:t>专项业务支出</w:t>
            </w:r>
          </w:p>
        </w:tc>
        <w:tc>
          <w:tcPr>
            <w:tcW w:w="1063"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lang w:eastAsia="zh-CN"/>
              </w:rPr>
              <w:t>政协办</w:t>
            </w:r>
            <w:r>
              <w:rPr>
                <w:rFonts w:hint="eastAsia" w:ascii="Calibri" w:hAnsi="Calibri" w:eastAsia="楷体"/>
                <w:kern w:val="0"/>
                <w:sz w:val="21"/>
                <w:szCs w:val="21"/>
                <w:lang w:val="en-US" w:eastAsia="zh-CN"/>
              </w:rPr>
              <w:t>2023年部门预算（调剂）</w:t>
            </w:r>
          </w:p>
        </w:tc>
        <w:tc>
          <w:tcPr>
            <w:tcW w:w="1107" w:type="dxa"/>
            <w:noWrap w:val="0"/>
            <w:vAlign w:val="center"/>
          </w:tcPr>
          <w:p>
            <w:pPr>
              <w:spacing w:line="240" w:lineRule="auto"/>
              <w:jc w:val="center"/>
              <w:rPr>
                <w:rFonts w:ascii="Calibri" w:hAnsi="Calibri" w:eastAsia="楷体"/>
                <w:kern w:val="0"/>
                <w:sz w:val="21"/>
                <w:szCs w:val="21"/>
              </w:rPr>
            </w:pPr>
            <w:r>
              <w:rPr>
                <w:rFonts w:hint="eastAsia" w:ascii="宋体" w:hAnsi="宋体" w:eastAsia="宋体" w:cs="宋体"/>
                <w:color w:val="000000"/>
                <w:sz w:val="20"/>
                <w:lang w:val="en-US" w:eastAsia="zh-CN"/>
              </w:rPr>
              <w:t>政协委员活动费</w:t>
            </w:r>
          </w:p>
        </w:tc>
        <w:tc>
          <w:tcPr>
            <w:tcW w:w="864" w:type="dxa"/>
            <w:noWrap w:val="0"/>
            <w:vAlign w:val="center"/>
          </w:tcPr>
          <w:p>
            <w:pPr>
              <w:spacing w:line="240" w:lineRule="auto"/>
              <w:jc w:val="center"/>
              <w:rPr>
                <w:rFonts w:hint="eastAsia" w:ascii="Calibri" w:hAnsi="Calibri" w:eastAsia="楷体"/>
                <w:kern w:val="0"/>
                <w:sz w:val="20"/>
                <w:szCs w:val="20"/>
                <w:lang w:eastAsia="zh-CN"/>
              </w:rPr>
            </w:pPr>
            <w:r>
              <w:rPr>
                <w:rFonts w:hint="eastAsia" w:ascii="Calibri" w:hAnsi="Calibri" w:eastAsia="楷体"/>
                <w:kern w:val="0"/>
                <w:sz w:val="20"/>
                <w:szCs w:val="20"/>
                <w:lang w:eastAsia="zh-CN"/>
              </w:rPr>
              <w:t>政协办</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19.5</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19.5</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23.1</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23.1</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bidi w:val="0"/>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1"/>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政协办驻村工作队生活补贴3.6万元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政协办驻村第一书记1人驻村工作人员1，共计1人，按照补贴标准100元/天计算，全年共计36000元。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享受驻村补助人数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生活补助标准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驻村生活补助资金下放的及时率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422"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tbl>
      <w:tblPr>
        <w:tblStyle w:val="11"/>
        <w:tblpPr w:leftFromText="180" w:rightFromText="180" w:vertAnchor="text" w:horzAnchor="page" w:tblpX="1145" w:tblpY="1162"/>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政协委员活动费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168"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2024年政协办常态化工作：</w:t>
            </w:r>
            <w:r>
              <w:rPr>
                <w:rFonts w:hint="eastAsia" w:ascii="宋体" w:hAnsi="宋体" w:eastAsia="宋体" w:cs="宋体"/>
                <w:color w:val="000000"/>
                <w:sz w:val="20"/>
              </w:rPr>
              <w:t>1.政协委员活动，外出培训，调研协商活动。2.行使好监督权、重大事项决定权、人事任免权。3.开展“三察（查）”活动。5.做好</w:t>
            </w:r>
            <w:r>
              <w:rPr>
                <w:rFonts w:hint="eastAsia" w:ascii="宋体" w:hAnsi="宋体" w:eastAsia="宋体" w:cs="宋体"/>
                <w:color w:val="000000"/>
                <w:sz w:val="20"/>
                <w:lang w:eastAsia="zh-CN"/>
              </w:rPr>
              <w:t>委吊带</w:t>
            </w:r>
            <w:r>
              <w:rPr>
                <w:rFonts w:hint="eastAsia" w:ascii="宋体" w:hAnsi="宋体" w:eastAsia="宋体" w:cs="宋体"/>
                <w:color w:val="000000"/>
                <w:sz w:val="20"/>
              </w:rPr>
              <w:t>培训和履职评议工作。</w:t>
            </w:r>
            <w:r>
              <w:rPr>
                <w:rFonts w:hint="eastAsia" w:ascii="宋体" w:hAnsi="宋体" w:eastAsia="宋体" w:cs="宋体"/>
                <w:color w:val="000000"/>
                <w:sz w:val="20"/>
                <w:lang w:eastAsia="zh-CN"/>
              </w:rPr>
              <w:t>其次完成县委各项中心任务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组织市县政协代表培训次数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培训人员到位率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政协办活动</w:t>
            </w:r>
            <w:r>
              <w:rPr>
                <w:rFonts w:hint="eastAsia" w:ascii="宋体" w:hAnsi="宋体" w:eastAsia="宋体" w:cs="宋体"/>
                <w:color w:val="000000"/>
                <w:sz w:val="20"/>
              </w:rPr>
              <w:t>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组织培训及时率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提高</w:t>
            </w:r>
            <w:r>
              <w:rPr>
                <w:rFonts w:hint="eastAsia" w:ascii="宋体" w:hAnsi="宋体" w:eastAsia="宋体" w:cs="宋体"/>
                <w:color w:val="000000"/>
                <w:sz w:val="20"/>
                <w:lang w:eastAsia="zh-CN"/>
              </w:rPr>
              <w:t>政协委员</w:t>
            </w:r>
            <w:r>
              <w:rPr>
                <w:rFonts w:hint="eastAsia" w:ascii="宋体" w:hAnsi="宋体" w:eastAsia="宋体" w:cs="宋体"/>
                <w:color w:val="000000"/>
                <w:sz w:val="20"/>
              </w:rPr>
              <w:t>履职能力</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委员满意度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jc w:val="both"/>
        <w:rPr>
          <w:rFonts w:eastAsia="黑体"/>
          <w:sz w:val="36"/>
          <w:szCs w:val="36"/>
        </w:rPr>
      </w:pPr>
    </w:p>
    <w:p>
      <w:pPr>
        <w:ind w:firstLine="2160" w:firstLineChars="600"/>
        <w:jc w:val="both"/>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335.8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3.15</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31.35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本年度控制支出所以资金需求减少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keepNext w:val="0"/>
        <w:keepLines w:val="0"/>
        <w:widowControl/>
        <w:suppressLineNumbers w:val="0"/>
        <w:ind w:firstLine="640" w:firstLineChars="200"/>
        <w:jc w:val="left"/>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335.8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99.07</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3.15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0.93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r>
        <w:rPr>
          <w:rFonts w:ascii="仿宋" w:hAnsi="仿宋" w:eastAsia="仿宋" w:cs="仿宋"/>
          <w:color w:val="000000"/>
          <w:kern w:val="0"/>
          <w:sz w:val="31"/>
          <w:szCs w:val="31"/>
          <w:lang w:val="en-US" w:eastAsia="zh-CN" w:bidi="ar"/>
        </w:rPr>
        <w:t>政府性基金预算拨款收入</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；国有资本经营预算拨款收入</w:t>
      </w:r>
      <w:r>
        <w:rPr>
          <w:rFonts w:hint="eastAsia" w:ascii="仿宋" w:hAnsi="仿宋" w:eastAsia="仿宋" w:cs="仿宋"/>
          <w:color w:val="000000"/>
          <w:kern w:val="0"/>
          <w:sz w:val="31"/>
          <w:szCs w:val="31"/>
          <w:u w:val="single"/>
          <w:lang w:val="en-US" w:eastAsia="zh-CN" w:bidi="ar"/>
        </w:rPr>
        <w:t xml:space="preserve"> 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；财政专户管理资金收入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；事业收入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上级补助收入</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；附属单位上缴收入 </w:t>
      </w:r>
      <w:r>
        <w:rPr>
          <w:rFonts w:hint="eastAsia" w:ascii="仿宋" w:hAnsi="仿宋" w:eastAsia="仿宋" w:cs="仿宋"/>
          <w:color w:val="000000"/>
          <w:kern w:val="0"/>
          <w:sz w:val="31"/>
          <w:szCs w:val="31"/>
          <w:u w:val="single"/>
          <w:lang w:val="en-US" w:eastAsia="zh-CN" w:bidi="ar"/>
        </w:rPr>
        <w:t xml:space="preserve">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事业单位经营收入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；其他收入</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。上 年结转中，一般公共预算拨款结转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；政府性基金预算拨款结转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；国有资本经营预算拨款结转 </w:t>
      </w:r>
      <w:r>
        <w:rPr>
          <w:rFonts w:hint="eastAsia" w:ascii="仿宋" w:hAnsi="仿宋" w:eastAsia="仿宋" w:cs="仿宋"/>
          <w:color w:val="000000"/>
          <w:kern w:val="0"/>
          <w:sz w:val="31"/>
          <w:szCs w:val="31"/>
          <w:u w:val="single"/>
          <w:lang w:val="en-US" w:eastAsia="zh-CN" w:bidi="ar"/>
        </w:rPr>
        <w:t xml:space="preserve">0 </w:t>
      </w:r>
      <w:r>
        <w:rPr>
          <w:rFonts w:hint="eastAsia"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；财政专户管理资金结转结余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；单位资金结转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；用事业基金弥补收支差额 </w:t>
      </w:r>
      <w:r>
        <w:rPr>
          <w:rFonts w:hint="eastAsia" w:ascii="仿宋" w:hAnsi="仿宋" w:eastAsia="仿宋" w:cs="仿宋"/>
          <w:color w:val="000000"/>
          <w:kern w:val="0"/>
          <w:sz w:val="31"/>
          <w:szCs w:val="31"/>
          <w:u w:val="single"/>
          <w:lang w:val="en-US" w:eastAsia="zh-CN" w:bidi="ar"/>
        </w:rPr>
        <w:t xml:space="preserve">0 </w:t>
      </w:r>
      <w:r>
        <w:rPr>
          <w:rFonts w:hint="eastAsia"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320" w:firstLineChars="1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312.7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92.26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26.25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335.8</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3.15</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270.42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35.2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12.22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21.11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338.95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312.7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92.26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26.25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271.91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86.96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40.79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13.04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keepNext w:val="0"/>
        <w:keepLines w:val="0"/>
        <w:widowControl/>
        <w:suppressLineNumbers w:val="0"/>
        <w:ind w:firstLine="320" w:firstLineChars="100"/>
        <w:jc w:val="left"/>
        <w:rPr>
          <w:rFonts w:hint="eastAsia" w:ascii="仿宋" w:hAnsi="仿宋" w:eastAsia="仿宋" w:cs="仿宋"/>
          <w:color w:val="000000"/>
          <w:kern w:val="0"/>
          <w:sz w:val="31"/>
          <w:szCs w:val="31"/>
          <w:lang w:val="en-US" w:eastAsia="zh-CN" w:bidi="ar"/>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270.42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79.78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部</w:t>
      </w:r>
      <w:r>
        <w:rPr>
          <w:rFonts w:hint="eastAsia" w:ascii="仿宋" w:hAnsi="仿宋" w:eastAsia="仿宋" w:cs="仿宋"/>
          <w:color w:val="000000"/>
          <w:kern w:val="0"/>
          <w:sz w:val="31"/>
          <w:szCs w:val="31"/>
          <w:lang w:val="en-US" w:eastAsia="zh-CN" w:bidi="ar"/>
        </w:rPr>
        <w:t>分人员经费和日常经费支出。</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 xml:space="preserve">国防（类）支出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 xml:space="preserve">教育（类）支出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 xml:space="preserve">科学技术（类）支出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spacing w:line="520" w:lineRule="exact"/>
        <w:ind w:firstLine="310" w:firstLineChars="100"/>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文化旅游体育与传媒（类）支出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w:t>
      </w:r>
    </w:p>
    <w:p>
      <w:pPr>
        <w:keepNext w:val="0"/>
        <w:keepLines w:val="0"/>
        <w:widowControl/>
        <w:suppressLineNumbers w:val="0"/>
        <w:ind w:firstLine="320" w:firstLineChars="100"/>
        <w:jc w:val="left"/>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35.2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10.36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职工养老保险和职业年金缴费支出。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21.11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6.23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职工住房公积金支出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12.22</w:t>
      </w:r>
      <w:r>
        <w:rPr>
          <w:rFonts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u w:val="single"/>
          <w:lang w:val="en-US" w:eastAsia="zh-CN" w:bidi="ar"/>
        </w:rPr>
        <w:t>3.61</w:t>
      </w:r>
      <w:r>
        <w:rPr>
          <w:rFonts w:ascii="仿宋" w:hAnsi="仿宋" w:eastAsia="仿宋" w:cs="仿宋"/>
          <w:color w:val="000000"/>
          <w:kern w:val="0"/>
          <w:sz w:val="31"/>
          <w:szCs w:val="31"/>
          <w:u w:val="single"/>
          <w:lang w:val="en-US" w:eastAsia="zh-CN" w:bidi="ar"/>
        </w:rPr>
        <w:t>%</w:t>
      </w:r>
      <w:r>
        <w:rPr>
          <w:rFonts w:ascii="仿宋" w:hAnsi="仿宋" w:eastAsia="仿宋" w:cs="仿宋"/>
          <w:color w:val="000000"/>
          <w:kern w:val="0"/>
          <w:sz w:val="31"/>
          <w:szCs w:val="31"/>
          <w:lang w:val="en-US" w:eastAsia="zh-CN" w:bidi="ar"/>
        </w:rPr>
        <w:t>，主要用于职工医</w:t>
      </w:r>
      <w:r>
        <w:rPr>
          <w:rFonts w:hint="eastAsia" w:ascii="仿宋" w:hAnsi="仿宋" w:eastAsia="仿宋" w:cs="仿宋"/>
          <w:color w:val="000000"/>
          <w:kern w:val="0"/>
          <w:sz w:val="31"/>
          <w:szCs w:val="31"/>
          <w:lang w:val="en-US" w:eastAsia="zh-CN" w:bidi="ar"/>
        </w:rPr>
        <w:t>保支出。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312.7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271.91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40.79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w:t>
      </w:r>
      <w:r>
        <w:rPr>
          <w:rFonts w:hint="eastAsia" w:ascii="仿宋_GB2312" w:hAnsi="仿宋_GB2312" w:cs="仿宋_GB2312"/>
          <w:szCs w:val="32"/>
          <w:lang w:eastAsia="zh-CN"/>
        </w:rPr>
        <w:t>少</w:t>
      </w:r>
      <w:r>
        <w:rPr>
          <w:rFonts w:hint="eastAsia" w:ascii="仿宋_GB2312" w:hAnsi="仿宋_GB2312" w:cs="仿宋_GB2312"/>
          <w:szCs w:val="32"/>
          <w:u w:val="single"/>
          <w:lang w:val="en-US" w:eastAsia="zh-CN"/>
        </w:rPr>
        <w:t>0.44</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cs="仿宋_GB2312"/>
          <w:szCs w:val="32"/>
          <w:lang w:val="en-US" w:eastAsia="zh-CN"/>
        </w:rPr>
        <w:t>与</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相同</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0.4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本年度控制支出所以资金需求减少</w:t>
      </w:r>
      <w:r>
        <w:rPr>
          <w:rFonts w:hint="eastAsia" w:ascii="仿宋_GB2312" w:hAnsi="仿宋_GB2312" w:eastAsia="仿宋_GB2312" w:cs="仿宋_GB2312"/>
          <w:szCs w:val="32"/>
          <w:lang w:eastAsia="zh-CN"/>
        </w:rPr>
        <w:t>。</w:t>
      </w:r>
    </w:p>
    <w:p>
      <w:pPr>
        <w:ind w:firstLine="640" w:firstLineChars="200"/>
        <w:jc w:val="both"/>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cs="仿宋_GB2312"/>
          <w:szCs w:val="32"/>
          <w:lang w:val="en-US" w:eastAsia="zh-CN"/>
        </w:rPr>
        <w:t>与</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相同</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cs="仿宋_GB2312"/>
          <w:szCs w:val="32"/>
          <w:lang w:val="en-US" w:eastAsia="zh-CN"/>
        </w:rPr>
        <w:t>与</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相同。</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cs="仿宋_GB2312"/>
          <w:szCs w:val="32"/>
          <w:lang w:val="en-US" w:eastAsia="zh-CN"/>
        </w:rPr>
        <w:t>与</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相同。</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本部门无政府性基金预算拨款</w:t>
      </w:r>
      <w:r>
        <w:rPr>
          <w:rFonts w:hint="eastAsia" w:ascii="仿宋" w:hAnsi="仿宋" w:eastAsia="仿宋" w:cs="仿宋"/>
          <w:color w:val="000000"/>
          <w:kern w:val="0"/>
          <w:sz w:val="31"/>
          <w:szCs w:val="31"/>
          <w:lang w:val="en-US" w:eastAsia="zh-CN" w:bidi="ar"/>
        </w:rPr>
        <w:t>。</w:t>
      </w: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本部门无国有资本经营预算拨款</w:t>
      </w:r>
      <w:r>
        <w:rPr>
          <w:rFonts w:hint="eastAsia" w:ascii="仿宋" w:hAnsi="仿宋" w:eastAsia="仿宋" w:cs="仿宋"/>
          <w:color w:val="000000"/>
          <w:kern w:val="0"/>
          <w:sz w:val="31"/>
          <w:szCs w:val="31"/>
          <w:lang w:val="en-US" w:eastAsia="zh-CN" w:bidi="ar"/>
        </w:rPr>
        <w:t>。</w:t>
      </w:r>
    </w:p>
    <w:p>
      <w:pPr>
        <w:ind w:firstLine="640"/>
        <w:rPr>
          <w:szCs w:val="32"/>
        </w:rPr>
      </w:pPr>
    </w:p>
    <w:p>
      <w:pPr>
        <w:ind w:firstLine="320" w:firstLineChars="100"/>
        <w:rPr>
          <w:rFonts w:eastAsia="楷体"/>
          <w:szCs w:val="32"/>
        </w:rPr>
      </w:pPr>
    </w:p>
    <w:p>
      <w:pPr>
        <w:ind w:firstLine="320" w:firstLineChars="1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320" w:firstLineChars="1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ascii="仿宋" w:hAnsi="仿宋" w:eastAsia="仿宋" w:cs="仿宋"/>
          <w:color w:val="000000"/>
          <w:kern w:val="0"/>
          <w:sz w:val="31"/>
          <w:szCs w:val="31"/>
          <w:lang w:val="en-US" w:eastAsia="zh-CN" w:bidi="ar"/>
        </w:rPr>
        <w:t>年中国人民政治协商会议吉林省通榆县委员会等 1 家</w:t>
      </w:r>
      <w:r>
        <w:rPr>
          <w:rFonts w:hint="eastAsia" w:ascii="仿宋" w:hAnsi="仿宋" w:eastAsia="仿宋" w:cs="仿宋"/>
          <w:color w:val="000000"/>
          <w:kern w:val="0"/>
          <w:sz w:val="31"/>
          <w:szCs w:val="31"/>
          <w:lang w:val="en-US" w:eastAsia="zh-CN" w:bidi="ar"/>
        </w:rPr>
        <w:t>行政单位以及通榆县政协办公室综合保障中心等 1 家事业单位的机关运行经费财政拨款预算</w:t>
      </w:r>
      <w:r>
        <w:rPr>
          <w:rFonts w:hint="eastAsia" w:ascii="仿宋_GB2312" w:hAnsi="仿宋_GB2312" w:cs="仿宋_GB2312"/>
          <w:szCs w:val="32"/>
          <w:u w:val="single"/>
          <w:lang w:val="en-US" w:eastAsia="zh-CN"/>
        </w:rPr>
        <w:t>40.79</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8.15</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24.97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本年度业务增加所以费用增加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本单位 </w:t>
      </w:r>
      <w:r>
        <w:rPr>
          <w:rFonts w:hint="default" w:ascii="Times New Roman" w:hAnsi="Times New Roman" w:eastAsia="宋体" w:cs="Times New Roman"/>
          <w:color w:val="000000"/>
          <w:kern w:val="0"/>
          <w:sz w:val="31"/>
          <w:szCs w:val="31"/>
          <w:lang w:val="en-US" w:eastAsia="zh-CN" w:bidi="ar"/>
        </w:rPr>
        <w:t>202</w:t>
      </w:r>
      <w:r>
        <w:rPr>
          <w:rFonts w:hint="eastAsia" w:eastAsia="宋体" w:cs="Times New Roman"/>
          <w:color w:val="000000"/>
          <w:kern w:val="0"/>
          <w:sz w:val="31"/>
          <w:szCs w:val="31"/>
          <w:lang w:val="en-US" w:eastAsia="zh-CN" w:bidi="ar"/>
        </w:rPr>
        <w:t>4</w:t>
      </w:r>
      <w:r>
        <w:rPr>
          <w:rFonts w:hint="default" w:ascii="Times New Roman" w:hAnsi="Times New Roman" w:eastAsia="宋体" w:cs="Times New Roman"/>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年无政府采购预算。</w:t>
      </w:r>
    </w:p>
    <w:p>
      <w:pPr>
        <w:spacing w:line="540" w:lineRule="exact"/>
        <w:ind w:firstLine="640" w:firstLineChars="200"/>
        <w:rPr>
          <w:rFonts w:eastAsia="楷体"/>
          <w:szCs w:val="32"/>
        </w:rPr>
      </w:pPr>
      <w:r>
        <w:rPr>
          <w:rFonts w:eastAsia="楷体"/>
          <w:szCs w:val="32"/>
        </w:rPr>
        <w:t>（三）国有资产占有使用情况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截至 202</w:t>
      </w:r>
      <w:r>
        <w:rPr>
          <w:rFonts w:hint="eastAsia" w:ascii="仿宋" w:hAnsi="仿宋" w:eastAsia="仿宋" w:cs="仿宋"/>
          <w:color w:val="000000"/>
          <w:kern w:val="0"/>
          <w:sz w:val="31"/>
          <w:szCs w:val="31"/>
          <w:lang w:val="en-US" w:eastAsia="zh-CN" w:bidi="ar"/>
        </w:rPr>
        <w:t>3</w:t>
      </w:r>
      <w:r>
        <w:rPr>
          <w:rFonts w:ascii="仿宋" w:hAnsi="仿宋" w:eastAsia="仿宋" w:cs="仿宋"/>
          <w:color w:val="000000"/>
          <w:kern w:val="0"/>
          <w:sz w:val="31"/>
          <w:szCs w:val="31"/>
          <w:lang w:val="en-US" w:eastAsia="zh-CN" w:bidi="ar"/>
        </w:rPr>
        <w:t xml:space="preserve">年 8 月底，部门本级和所属各预算单位共有车辆 </w:t>
      </w:r>
    </w:p>
    <w:p>
      <w:pPr>
        <w:keepNext w:val="0"/>
        <w:keepLines w:val="0"/>
        <w:widowControl/>
        <w:suppressLineNumbers w:val="0"/>
        <w:jc w:val="left"/>
      </w:pPr>
      <w:r>
        <w:rPr>
          <w:rFonts w:hint="eastAsia" w:ascii="仿宋" w:hAnsi="仿宋" w:eastAsia="仿宋" w:cs="仿宋"/>
          <w:color w:val="000000"/>
          <w:kern w:val="0"/>
          <w:sz w:val="31"/>
          <w:szCs w:val="31"/>
          <w:u w:val="single"/>
          <w:lang w:val="en-US" w:eastAsia="zh-CN" w:bidi="ar"/>
        </w:rPr>
        <w:t>7</w:t>
      </w:r>
      <w:r>
        <w:rPr>
          <w:rFonts w:hint="eastAsia" w:ascii="仿宋" w:hAnsi="仿宋" w:eastAsia="仿宋" w:cs="仿宋"/>
          <w:color w:val="000000"/>
          <w:kern w:val="0"/>
          <w:sz w:val="31"/>
          <w:szCs w:val="31"/>
          <w:lang w:val="en-US" w:eastAsia="zh-CN" w:bidi="ar"/>
        </w:rPr>
        <w:t xml:space="preserve"> 辆，土地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平方米，房屋 </w:t>
      </w:r>
      <w:r>
        <w:rPr>
          <w:rFonts w:hint="eastAsia" w:ascii="仿宋" w:hAnsi="仿宋" w:eastAsia="仿宋" w:cs="仿宋"/>
          <w:color w:val="000000"/>
          <w:kern w:val="0"/>
          <w:sz w:val="31"/>
          <w:szCs w:val="31"/>
          <w:u w:val="single"/>
          <w:lang w:val="en-US" w:eastAsia="zh-CN" w:bidi="ar"/>
        </w:rPr>
        <w:t>1896.46</w:t>
      </w:r>
      <w:r>
        <w:rPr>
          <w:rFonts w:hint="eastAsia" w:ascii="仿宋" w:hAnsi="仿宋" w:eastAsia="仿宋" w:cs="仿宋"/>
          <w:color w:val="000000"/>
          <w:kern w:val="0"/>
          <w:sz w:val="31"/>
          <w:szCs w:val="31"/>
          <w:lang w:val="en-US" w:eastAsia="zh-CN" w:bidi="ar"/>
        </w:rPr>
        <w:t xml:space="preserve"> 平方米，单价 50 万元及以上的通用设备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台/套，单价 100 万元及以上的专用设备实有数</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台/套。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2023 年部门预算安排购置车辆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辆，安排购置土地 </w:t>
      </w:r>
      <w:r>
        <w:rPr>
          <w:rFonts w:hint="eastAsia" w:ascii="仿宋" w:hAnsi="仿宋" w:eastAsia="仿宋" w:cs="仿宋"/>
          <w:color w:val="000000"/>
          <w:kern w:val="0"/>
          <w:sz w:val="31"/>
          <w:szCs w:val="31"/>
          <w:u w:val="single"/>
          <w:lang w:val="en-US" w:eastAsia="zh-CN" w:bidi="ar"/>
        </w:rPr>
        <w:t xml:space="preserve">0 </w:t>
      </w:r>
      <w:r>
        <w:rPr>
          <w:rFonts w:hint="eastAsia" w:ascii="仿宋" w:hAnsi="仿宋" w:eastAsia="仿宋" w:cs="仿宋"/>
          <w:color w:val="000000"/>
          <w:kern w:val="0"/>
          <w:sz w:val="31"/>
          <w:szCs w:val="31"/>
          <w:lang w:val="en-US" w:eastAsia="zh-CN" w:bidi="ar"/>
        </w:rPr>
        <w:t xml:space="preserve">平方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米，安排购置房屋</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平方米，计划新增单价 50 万元及以上的通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用设备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台/套，计划新增单价 100 万元及以上的专用设备实有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数</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台/套。 </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320" w:firstLineChars="1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26.25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26.25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highlight w:val="none"/>
          <w:u w:val="single"/>
          <w:lang w:val="en-US" w:eastAsia="zh-CN"/>
        </w:rPr>
        <w:t>26.25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firstLineChars="200"/>
        <w:rPr>
          <w:szCs w:val="32"/>
        </w:rPr>
      </w:pP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Arial"/>
    <w:panose1 w:val="00000000000000000000"/>
    <w:charset w:val="01"/>
    <w:family w:val="swiss"/>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TXihei">
    <w:altName w:val="Segoe Print"/>
    <w:panose1 w:val="000000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5372" w:y="-73"/>
      <w:rPr>
        <w:rStyle w:val="14"/>
        <w:sz w:val="28"/>
      </w:rPr>
    </w:pPr>
    <w:r>
      <w:rPr>
        <w:rStyle w:val="14"/>
        <w:rFonts w:hint="eastAsia"/>
        <w:sz w:val="28"/>
      </w:rPr>
      <w:t>—</w:t>
    </w:r>
    <w:r>
      <w:rPr>
        <w:sz w:val="28"/>
      </w:rPr>
      <w:fldChar w:fldCharType="begin"/>
    </w:r>
    <w:r>
      <w:rPr>
        <w:rStyle w:val="14"/>
        <w:sz w:val="28"/>
      </w:rPr>
      <w:instrText xml:space="preserve">PAGE  </w:instrText>
    </w:r>
    <w:r>
      <w:rPr>
        <w:sz w:val="28"/>
      </w:rPr>
      <w:fldChar w:fldCharType="separate"/>
    </w:r>
    <w:r>
      <w:rPr>
        <w:rStyle w:val="14"/>
        <w:sz w:val="28"/>
      </w:rPr>
      <w:t>4</w:t>
    </w:r>
    <w:r>
      <w:rPr>
        <w:sz w:val="28"/>
      </w:rPr>
      <w:fldChar w:fldCharType="end"/>
    </w:r>
    <w:r>
      <w:rPr>
        <w:rStyle w:val="14"/>
        <w:rFonts w:hint="eastAsia"/>
        <w:sz w:val="28"/>
      </w:rPr>
      <w:t>—</w:t>
    </w:r>
  </w:p>
  <w:p>
    <w:pPr>
      <w:pStyle w:val="8"/>
      <w:framePr w:wrap="around" w:vAnchor="text" w:hAnchor="margin" w:xAlign="center" w:y="1"/>
      <w:ind w:right="360"/>
      <w:rPr>
        <w:rStyle w:val="14"/>
      </w:rPr>
    </w:pPr>
  </w:p>
  <w:p>
    <w:pPr>
      <w:pStyle w:val="8"/>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fldChar w:fldCharType="begin"/>
    </w:r>
    <w:r>
      <w:rPr>
        <w:rStyle w:val="14"/>
      </w:rPr>
      <w:instrText xml:space="preserve">PAGE  </w:instrText>
    </w:r>
    <w:r>
      <w:fldChar w:fldCharType="separate"/>
    </w:r>
    <w:r>
      <w:rPr>
        <w:rStyle w:val="14"/>
      </w:rPr>
      <w:t>0</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56459C"/>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5F7C34"/>
    <w:rsid w:val="17765BCA"/>
    <w:rsid w:val="17A027D8"/>
    <w:rsid w:val="1A817DF8"/>
    <w:rsid w:val="1ADC594E"/>
    <w:rsid w:val="1AEB5252"/>
    <w:rsid w:val="1C656470"/>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420F4C"/>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0C2FE8"/>
    <w:rsid w:val="42982B4E"/>
    <w:rsid w:val="436B1E42"/>
    <w:rsid w:val="43993170"/>
    <w:rsid w:val="44054362"/>
    <w:rsid w:val="449C5E6A"/>
    <w:rsid w:val="456D114B"/>
    <w:rsid w:val="45CE387D"/>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0EF5FF5"/>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9F4114"/>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autoRedefine/>
    <w:qFormat/>
    <w:uiPriority w:val="1"/>
    <w:pPr>
      <w:jc w:val="center"/>
      <w:outlineLvl w:val="1"/>
    </w:pPr>
    <w:rPr>
      <w:rFonts w:ascii="Arial Unicode MS" w:hAnsi="Arial Unicode MS" w:eastAsia="Arial Unicode MS" w:cs="Arial Unicode MS"/>
      <w:sz w:val="36"/>
      <w:szCs w:val="36"/>
      <w:lang w:val="en-US" w:eastAsia="zh-CN" w:bidi="ar-SA"/>
    </w:rPr>
  </w:style>
  <w:style w:type="character" w:default="1" w:styleId="13">
    <w:name w:val="Default Paragraph Font"/>
    <w:autoRedefine/>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en-US" w:eastAsia="zh-CN" w:bidi="ar-SA"/>
    </w:rPr>
  </w:style>
  <w:style w:type="paragraph" w:styleId="4">
    <w:name w:val="Body Text Indent"/>
    <w:basedOn w:val="1"/>
    <w:qFormat/>
    <w:uiPriority w:val="0"/>
    <w:pPr>
      <w:tabs>
        <w:tab w:val="left" w:pos="8372"/>
      </w:tabs>
      <w:spacing w:line="540" w:lineRule="exact"/>
      <w:ind w:firstLine="630"/>
    </w:pPr>
    <w:rPr>
      <w:rFonts w:eastAsia="黑体"/>
    </w:rPr>
  </w:style>
  <w:style w:type="paragraph" w:styleId="5">
    <w:name w:val="Date"/>
    <w:basedOn w:val="1"/>
    <w:next w:val="1"/>
    <w:autoRedefine/>
    <w:qFormat/>
    <w:uiPriority w:val="0"/>
  </w:style>
  <w:style w:type="paragraph" w:styleId="6">
    <w:name w:val="Body Text Indent 2"/>
    <w:basedOn w:val="1"/>
    <w:autoRedefine/>
    <w:qFormat/>
    <w:uiPriority w:val="0"/>
    <w:pPr>
      <w:tabs>
        <w:tab w:val="left" w:pos="8372"/>
      </w:tabs>
      <w:spacing w:line="540" w:lineRule="exact"/>
      <w:ind w:firstLine="630"/>
    </w:pPr>
    <w:rPr>
      <w:b/>
      <w:bCs/>
    </w:rPr>
  </w:style>
  <w:style w:type="paragraph" w:styleId="7">
    <w:name w:val="Balloon Text"/>
    <w:basedOn w:val="1"/>
    <w:link w:val="15"/>
    <w:autoRedefine/>
    <w:qFormat/>
    <w:uiPriority w:val="0"/>
    <w:rPr>
      <w:sz w:val="18"/>
      <w:szCs w:val="18"/>
    </w:rPr>
  </w:style>
  <w:style w:type="paragraph" w:styleId="8">
    <w:name w:val="footer"/>
    <w:basedOn w:val="1"/>
    <w:link w:val="16"/>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2">
    <w:name w:val="Table Grid"/>
    <w:basedOn w:val="11"/>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basedOn w:val="13"/>
    <w:qFormat/>
    <w:uiPriority w:val="0"/>
  </w:style>
  <w:style w:type="character" w:customStyle="1" w:styleId="15">
    <w:name w:val="批注框文本 字符"/>
    <w:link w:val="7"/>
    <w:autoRedefine/>
    <w:qFormat/>
    <w:uiPriority w:val="0"/>
    <w:rPr>
      <w:rFonts w:eastAsia="仿宋_GB2312"/>
      <w:kern w:val="2"/>
      <w:sz w:val="18"/>
      <w:szCs w:val="18"/>
    </w:rPr>
  </w:style>
  <w:style w:type="character" w:customStyle="1" w:styleId="16">
    <w:name w:val="页脚 字符"/>
    <w:link w:val="8"/>
    <w:autoRedefine/>
    <w:qFormat/>
    <w:uiPriority w:val="0"/>
    <w:rPr>
      <w:rFonts w:eastAsia="仿宋_GB2312"/>
      <w:kern w:val="2"/>
      <w:sz w:val="18"/>
    </w:rPr>
  </w:style>
  <w:style w:type="character" w:customStyle="1" w:styleId="17">
    <w:name w:val="font11"/>
    <w:autoRedefine/>
    <w:qFormat/>
    <w:uiPriority w:val="0"/>
    <w:rPr>
      <w:rFonts w:hint="default" w:ascii="Arial" w:hAnsi="Arial" w:cs="Arial"/>
      <w:color w:val="000000"/>
      <w:sz w:val="24"/>
      <w:szCs w:val="24"/>
      <w:u w:val="none"/>
    </w:rPr>
  </w:style>
  <w:style w:type="character" w:customStyle="1" w:styleId="18">
    <w:name w:val="font61"/>
    <w:autoRedefine/>
    <w:qFormat/>
    <w:uiPriority w:val="0"/>
    <w:rPr>
      <w:rFonts w:hint="eastAsia" w:ascii="宋体" w:hAnsi="宋体" w:eastAsia="宋体" w:cs="宋体"/>
      <w:color w:val="000000"/>
      <w:sz w:val="24"/>
      <w:szCs w:val="24"/>
      <w:u w:val="none"/>
    </w:rPr>
  </w:style>
  <w:style w:type="character" w:customStyle="1" w:styleId="19">
    <w:name w:val="font01"/>
    <w:autoRedefine/>
    <w:qFormat/>
    <w:uiPriority w:val="0"/>
    <w:rPr>
      <w:rFonts w:hint="default" w:ascii="Times New Roman" w:hAnsi="Times New Roman" w:cs="Times New Roman"/>
      <w:color w:val="000000"/>
      <w:sz w:val="24"/>
      <w:szCs w:val="24"/>
      <w:u w:val="none"/>
    </w:rPr>
  </w:style>
  <w:style w:type="character" w:customStyle="1" w:styleId="20">
    <w:name w:val="font41"/>
    <w:autoRedefine/>
    <w:qFormat/>
    <w:uiPriority w:val="0"/>
    <w:rPr>
      <w:rFonts w:hint="default" w:ascii="华文细黑" w:hAnsi="华文细黑" w:eastAsia="华文细黑" w:cs="华文细黑"/>
      <w:color w:val="000000"/>
      <w:sz w:val="20"/>
      <w:szCs w:val="20"/>
      <w:u w:val="none"/>
    </w:rPr>
  </w:style>
  <w:style w:type="character" w:customStyle="1" w:styleId="21">
    <w:name w:val="font21"/>
    <w:autoRedefine/>
    <w:qFormat/>
    <w:uiPriority w:val="0"/>
    <w:rPr>
      <w:rFonts w:hint="default" w:ascii="Arial" w:hAnsi="Arial" w:cs="Arial"/>
      <w:color w:val="000000"/>
      <w:sz w:val="20"/>
      <w:szCs w:val="20"/>
      <w:u w:val="none"/>
    </w:rPr>
  </w:style>
  <w:style w:type="paragraph" w:customStyle="1" w:styleId="22">
    <w:name w:val="Char"/>
    <w:basedOn w:val="1"/>
    <w:autoRedefine/>
    <w:qFormat/>
    <w:uiPriority w:val="0"/>
    <w:rPr>
      <w:rFonts w:eastAsia="宋体"/>
      <w:sz w:val="21"/>
      <w:szCs w:val="21"/>
    </w:rPr>
  </w:style>
  <w:style w:type="paragraph" w:customStyle="1" w:styleId="23">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9">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0">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6">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7">
    <w:name w:val="正文文本 21"/>
    <w:basedOn w:val="1"/>
    <w:autoRedefine/>
    <w:qFormat/>
    <w:uiPriority w:val="0"/>
    <w:pPr>
      <w:adjustRightInd w:val="0"/>
      <w:ind w:firstLine="630"/>
      <w:jc w:val="left"/>
      <w:textAlignment w:val="baseline"/>
    </w:pPr>
    <w:rPr>
      <w:rFonts w:eastAsia="黑体"/>
    </w:rPr>
  </w:style>
  <w:style w:type="paragraph" w:customStyle="1" w:styleId="38">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1">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2">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p0"/>
    <w:basedOn w:val="1"/>
    <w:qFormat/>
    <w:uiPriority w:val="0"/>
    <w:pPr>
      <w:widowControl/>
    </w:pPr>
    <w:rPr>
      <w:rFonts w:eastAsia="宋体"/>
      <w:kern w:val="0"/>
      <w:szCs w:val="32"/>
    </w:rPr>
  </w:style>
  <w:style w:type="paragraph" w:customStyle="1" w:styleId="54">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5">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眉 New New New New"/>
    <w:basedOn w:val="1"/>
    <w:autoRedefine/>
    <w:uiPriority w:val="0"/>
    <w:pPr>
      <w:pBdr>
        <w:bottom w:val="single" w:color="auto" w:sz="6" w:space="1"/>
      </w:pBdr>
      <w:tabs>
        <w:tab w:val="center" w:pos="4153"/>
        <w:tab w:val="right" w:pos="8306"/>
      </w:tabs>
      <w:snapToGrid w:val="0"/>
      <w:jc w:val="center"/>
    </w:pPr>
    <w:rPr>
      <w:sz w:val="18"/>
      <w:szCs w:val="18"/>
    </w:rPr>
  </w:style>
  <w:style w:type="paragraph" w:customStyle="1" w:styleId="79">
    <w:name w:val="页脚 New New"/>
    <w:basedOn w:val="1"/>
    <w:uiPriority w:val="0"/>
    <w:pPr>
      <w:tabs>
        <w:tab w:val="center" w:pos="4153"/>
        <w:tab w:val="right" w:pos="8306"/>
      </w:tabs>
      <w:snapToGrid w:val="0"/>
      <w:jc w:val="left"/>
    </w:pPr>
    <w:rPr>
      <w:rFonts w:eastAsia="仿宋_GB2312"/>
      <w:kern w:val="2"/>
      <w:sz w:val="18"/>
    </w:rPr>
  </w:style>
  <w:style w:type="paragraph" w:customStyle="1" w:styleId="80">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5">
    <w:name w:val="Table Paragraph"/>
    <w:basedOn w:val="1"/>
    <w:autoRedefine/>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2024-01-29T03:35:14Z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D8B5D7EFA27F40879DCEEC6E45E168F9_13</vt:lpwstr>
  </property>
</Properties>
</file>