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中共通榆县纪律检查委员会（汇总）</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hint="default" w:ascii="Times New Roman" w:hAnsi="Times New Roman" w:eastAsia="楷体_GB2312" w:cs="Times New Roman"/>
        </w:rPr>
      </w:pPr>
      <w:r>
        <w:rPr>
          <w:rFonts w:hint="default" w:ascii="Times New Roman" w:hAnsi="Times New Roman" w:eastAsia="楷体_GB2312" w:cs="Times New Roman"/>
        </w:rPr>
        <w:t>一、主要职能</w:t>
      </w:r>
    </w:p>
    <w:p>
      <w:pPr>
        <w:ind w:firstLine="640" w:firstLineChars="200"/>
        <w:rPr>
          <w:rFonts w:hint="eastAsia" w:cs="Times New Roman"/>
          <w:color w:val="000000"/>
          <w:szCs w:val="32"/>
          <w:lang w:val="en-US" w:eastAsia="zh-CN"/>
        </w:rPr>
      </w:pPr>
      <w:r>
        <w:rPr>
          <w:rFonts w:hint="eastAsia" w:cs="Times New Roman"/>
          <w:color w:val="000000"/>
          <w:szCs w:val="32"/>
          <w:lang w:val="en-US" w:eastAsia="zh-CN"/>
        </w:rPr>
        <w:t>本单位涉密不予公开</w:t>
      </w:r>
    </w:p>
    <w:p>
      <w:pPr>
        <w:ind w:firstLine="640" w:firstLineChars="200"/>
        <w:rPr>
          <w:rFonts w:hint="default" w:ascii="Times New Roman" w:hAnsi="Times New Roman" w:cs="Times New Roman"/>
        </w:rPr>
      </w:pPr>
      <w:r>
        <w:rPr>
          <w:rFonts w:hint="default" w:ascii="Times New Roman" w:hAnsi="Times New Roman" w:eastAsia="楷体_GB2312" w:cs="Times New Roman"/>
        </w:rPr>
        <w:t>二、机构设置</w:t>
      </w:r>
    </w:p>
    <w:p>
      <w:pPr>
        <w:ind w:firstLine="640" w:firstLineChars="200"/>
        <w:rPr>
          <w:rFonts w:hint="eastAsia" w:cs="Times New Roman"/>
          <w:color w:val="000000"/>
          <w:szCs w:val="32"/>
          <w:lang w:val="en-US" w:eastAsia="zh-CN"/>
        </w:rPr>
      </w:pPr>
      <w:r>
        <w:rPr>
          <w:rFonts w:hint="eastAsia" w:cs="Times New Roman"/>
          <w:color w:val="000000"/>
          <w:szCs w:val="32"/>
          <w:lang w:val="en-US" w:eastAsia="zh-CN"/>
        </w:rPr>
        <w:t>本单位涉密不予公开</w:t>
      </w:r>
    </w:p>
    <w:p>
      <w:pPr>
        <w:pStyle w:val="51"/>
        <w:ind w:firstLine="640" w:firstLineChars="200"/>
        <w:rPr>
          <w:rFonts w:hint="default" w:ascii="Times New Roman" w:hAnsi="Times New Roman" w:eastAsia="楷体" w:cs="Times New Roman"/>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482"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2263.31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2138.14</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125.17</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1961.44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1836.27</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125.17</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2263.31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2138.14</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125.17</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154.28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154.28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92.56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92.56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w:t>
            </w:r>
            <w:r>
              <w:rPr>
                <w:rFonts w:hint="eastAsia" w:ascii="仿宋_GB2312"/>
                <w:b w:val="0"/>
                <w:bCs/>
                <w:color w:val="000000"/>
                <w:kern w:val="0"/>
                <w:sz w:val="20"/>
                <w:lang w:val="en-US" w:eastAsia="zh-CN"/>
              </w:rPr>
              <w:t>卫生健康</w:t>
            </w:r>
            <w:r>
              <w:rPr>
                <w:rFonts w:hint="eastAsia" w:ascii="仿宋_GB2312"/>
                <w:b w:val="0"/>
                <w:bCs/>
                <w:color w:val="000000"/>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55.03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55.03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2263.31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2138.14</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bidi="ar-SA"/>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2263.31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2141.14</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125.17</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125.17</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2263.31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2138.14</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125.17</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kern w:val="0"/>
                <w:sz w:val="20"/>
                <w:lang w:val="en-US" w:eastAsia="zh-CN"/>
              </w:rPr>
              <w:t>2263.31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2141.14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125.17</w:t>
            </w: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中共通榆县纪律检查委员会</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1997.7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s="Times New Roman"/>
                <w:color w:val="000000"/>
                <w:kern w:val="2"/>
                <w:sz w:val="20"/>
                <w:lang w:val="en-US" w:eastAsia="zh-CN" w:bidi="ar-SA"/>
              </w:rPr>
              <w:t>1872.53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1872.53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125.17</w:t>
            </w: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125.17</w:t>
            </w: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eastAsia="宋体"/>
                <w:color w:val="000000"/>
                <w:sz w:val="20"/>
                <w:shd w:val="clear" w:color="auto" w:fill="FFFFFF"/>
                <w:lang w:val="en-US"/>
              </w:rPr>
            </w:pPr>
            <w:r>
              <w:rPr>
                <w:rFonts w:hint="eastAsia" w:eastAsia="宋体"/>
                <w:color w:val="000000"/>
                <w:sz w:val="20"/>
                <w:lang w:val="en-US" w:eastAsia="zh-CN"/>
              </w:rPr>
              <w:t>中共通榆县纪律检查委员会廉政教育中心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265.61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265.61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265.61</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2263.31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2138.131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2138.131</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125.17</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125.17</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hint="default" w:ascii="Times New Roman" w:hAnsi="Times New Roman" w:eastAsia="方正小标宋简体" w:cs="Times New Roman"/>
                <w:kern w:val="0"/>
                <w:sz w:val="36"/>
                <w:szCs w:val="36"/>
              </w:rPr>
            </w:pPr>
            <w:r>
              <w:rPr>
                <w:rFonts w:hint="default" w:ascii="Times New Roman" w:hAnsi="Times New Roman" w:eastAsia="方正小标宋简体" w:cs="Times New Roman"/>
                <w:kern w:val="0"/>
                <w:sz w:val="36"/>
                <w:szCs w:val="36"/>
              </w:rPr>
              <w:t>支出总表</w:t>
            </w:r>
          </w:p>
          <w:tbl>
            <w:tblPr>
              <w:tblStyle w:val="9"/>
              <w:tblW w:w="9843" w:type="dxa"/>
              <w:tblInd w:w="445" w:type="dxa"/>
              <w:tblLayout w:type="fixed"/>
              <w:tblCellMar>
                <w:top w:w="15" w:type="dxa"/>
                <w:left w:w="15" w:type="dxa"/>
                <w:bottom w:w="15" w:type="dxa"/>
                <w:right w:w="15" w:type="dxa"/>
              </w:tblCellMar>
            </w:tblPr>
            <w:tblGrid>
              <w:gridCol w:w="2214"/>
              <w:gridCol w:w="1203"/>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hint="default" w:ascii="Times New Roman" w:hAnsi="Times New Roman" w:eastAsia="华文细黑" w:cs="Times New Roman"/>
                      <w:color w:val="000000"/>
                      <w:kern w:val="0"/>
                      <w:sz w:val="20"/>
                    </w:rPr>
                  </w:pPr>
                </w:p>
              </w:tc>
              <w:tc>
                <w:tcPr>
                  <w:tcW w:w="1297" w:type="dxa"/>
                  <w:tcBorders>
                    <w:bottom w:val="single" w:color="000000" w:sz="4" w:space="0"/>
                  </w:tcBorders>
                  <w:noWrap w:val="0"/>
                  <w:vAlign w:val="center"/>
                </w:tcPr>
                <w:p>
                  <w:pPr>
                    <w:widowControl/>
                    <w:jc w:val="right"/>
                    <w:rPr>
                      <w:rFonts w:hint="default" w:ascii="Times New Roman" w:hAnsi="Times New Roman" w:eastAsia="华文细黑" w:cs="Times New Roman"/>
                      <w:color w:val="000000"/>
                      <w:kern w:val="0"/>
                      <w:sz w:val="20"/>
                    </w:rPr>
                  </w:pPr>
                </w:p>
              </w:tc>
              <w:tc>
                <w:tcPr>
                  <w:tcW w:w="1297" w:type="dxa"/>
                  <w:gridSpan w:val="2"/>
                  <w:tcBorders>
                    <w:bottom w:val="single" w:color="000000" w:sz="4" w:space="0"/>
                  </w:tcBorders>
                  <w:noWrap w:val="0"/>
                  <w:vAlign w:val="center"/>
                </w:tcPr>
                <w:p>
                  <w:pPr>
                    <w:widowControl/>
                    <w:jc w:val="right"/>
                    <w:rPr>
                      <w:rFonts w:hint="default" w:ascii="Times New Roman" w:hAnsi="Times New Roman" w:eastAsia="华文细黑" w:cs="Times New Roman"/>
                      <w:color w:val="000000"/>
                      <w:kern w:val="0"/>
                      <w:sz w:val="20"/>
                    </w:rPr>
                  </w:pPr>
                </w:p>
              </w:tc>
              <w:tc>
                <w:tcPr>
                  <w:tcW w:w="1297" w:type="dxa"/>
                  <w:tcBorders>
                    <w:bottom w:val="single" w:color="000000" w:sz="4" w:space="0"/>
                  </w:tcBorders>
                  <w:noWrap w:val="0"/>
                  <w:vAlign w:val="center"/>
                </w:tcPr>
                <w:p>
                  <w:pPr>
                    <w:widowControl/>
                    <w:jc w:val="right"/>
                    <w:rPr>
                      <w:rFonts w:hint="default" w:ascii="Times New Roman" w:hAnsi="Times New Roman" w:eastAsia="华文细黑" w:cs="Times New Roman"/>
                      <w:color w:val="000000"/>
                      <w:kern w:val="0"/>
                      <w:sz w:val="20"/>
                    </w:rPr>
                  </w:pPr>
                  <w:r>
                    <w:rPr>
                      <w:rFonts w:hint="default" w:ascii="Times New Roman" w:hAnsi="Times New Roman" w:eastAsia="华文细黑" w:cs="Times New Roman"/>
                      <w:color w:val="000000"/>
                      <w:kern w:val="0"/>
                      <w:sz w:val="20"/>
                    </w:rPr>
                    <w:t>单位：万元</w:t>
                  </w:r>
                </w:p>
              </w:tc>
            </w:tr>
            <w:tr>
              <w:tblPrEx>
                <w:tblCellMar>
                  <w:top w:w="15" w:type="dxa"/>
                  <w:left w:w="15" w:type="dxa"/>
                  <w:bottom w:w="15" w:type="dxa"/>
                  <w:right w:w="15" w:type="dxa"/>
                </w:tblCellMar>
              </w:tblPrEx>
              <w:trPr>
                <w:trHeight w:val="1420" w:hRule="atLeast"/>
              </w:trPr>
              <w:tc>
                <w:tcPr>
                  <w:tcW w:w="2214"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功能分类</w:t>
                  </w:r>
                </w:p>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科目名称</w:t>
                  </w:r>
                </w:p>
              </w:tc>
              <w:tc>
                <w:tcPr>
                  <w:tcW w:w="1203" w:type="dxa"/>
                  <w:tcBorders>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sz w:val="20"/>
                    </w:rPr>
                  </w:pPr>
                </w:p>
                <w:p>
                  <w:pPr>
                    <w:widowControl/>
                    <w:jc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基本</w:t>
                  </w:r>
                </w:p>
                <w:p>
                  <w:pPr>
                    <w:widowControl/>
                    <w:jc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支出</w:t>
                  </w:r>
                </w:p>
                <w:p>
                  <w:pPr>
                    <w:widowControl/>
                    <w:jc w:val="center"/>
                    <w:rPr>
                      <w:rFonts w:hint="default" w:ascii="Times New Roman" w:hAnsi="Times New Roman" w:eastAsia="华文细黑" w:cs="Times New Roman"/>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事业单位</w:t>
                  </w:r>
                </w:p>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华文细黑" w:cs="Times New Roman"/>
                      <w:color w:val="000000"/>
                      <w:kern w:val="0"/>
                      <w:sz w:val="20"/>
                    </w:rPr>
                  </w:pPr>
                  <w:r>
                    <w:rPr>
                      <w:rFonts w:hint="default" w:ascii="Times New Roman" w:hAnsi="Times New Roman" w:eastAsia="宋体" w:cs="Times New Roman"/>
                      <w:color w:val="000000"/>
                      <w:kern w:val="0"/>
                      <w:sz w:val="20"/>
                    </w:rPr>
                    <w:t>一、一般公共服务</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1961.44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1075.47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default" w:ascii="Times New Roman" w:hAnsi="Times New Roman" w:eastAsia="宋体" w:cs="Times New Roman"/>
                      <w:i w:val="0"/>
                      <w:iCs w:val="0"/>
                      <w:color w:val="000000"/>
                      <w:kern w:val="0"/>
                      <w:sz w:val="20"/>
                      <w:szCs w:val="20"/>
                      <w:u w:val="none"/>
                      <w:lang w:val="en-US" w:eastAsia="zh-CN" w:bidi="ar"/>
                    </w:rPr>
                    <w:t>885.97</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467"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color w:val="000000"/>
                      <w:kern w:val="0"/>
                      <w:sz w:val="20"/>
                      <w:lang w:val="en-US" w:eastAsia="zh-CN"/>
                    </w:rPr>
                    <w:t>纪检监察事务</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eastAsia" w:ascii="Arial" w:hAnsi="Arial" w:eastAsia="宋体" w:cs="Arial"/>
                      <w:i w:val="0"/>
                      <w:iCs w:val="0"/>
                      <w:color w:val="000000"/>
                      <w:kern w:val="0"/>
                      <w:sz w:val="20"/>
                      <w:szCs w:val="20"/>
                      <w:u w:val="none"/>
                      <w:lang w:val="en-US" w:eastAsia="zh-CN" w:bidi="ar"/>
                    </w:rPr>
                    <w:t>1961.44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eastAsia" w:ascii="Arial" w:hAnsi="Arial" w:eastAsia="宋体" w:cs="Arial"/>
                      <w:i w:val="0"/>
                      <w:iCs w:val="0"/>
                      <w:color w:val="000000"/>
                      <w:kern w:val="0"/>
                      <w:sz w:val="20"/>
                      <w:szCs w:val="20"/>
                      <w:u w:val="none"/>
                      <w:lang w:val="en-US" w:eastAsia="zh-CN" w:bidi="ar"/>
                    </w:rPr>
                    <w:t>1075.47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885.97</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行政运行</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1762.83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eastAsia" w:ascii="Arial" w:hAnsi="Arial" w:eastAsia="宋体" w:cs="Arial"/>
                      <w:i w:val="0"/>
                      <w:iCs w:val="0"/>
                      <w:color w:val="000000"/>
                      <w:kern w:val="0"/>
                      <w:sz w:val="20"/>
                      <w:szCs w:val="20"/>
                      <w:u w:val="none"/>
                      <w:lang w:val="en-US" w:eastAsia="zh-CN" w:bidi="ar"/>
                    </w:rPr>
                    <w:t>876.86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885.97</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rPr>
                  </w:pPr>
                  <w:r>
                    <w:rPr>
                      <w:rFonts w:hint="eastAsia" w:eastAsia="宋体" w:cs="Times New Roman"/>
                      <w:color w:val="000000"/>
                      <w:kern w:val="0"/>
                      <w:sz w:val="20"/>
                      <w:lang w:val="en-US" w:eastAsia="zh-CN"/>
                    </w:rPr>
                    <w:t>事业运行</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198.61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198.61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lang w:val="en-US" w:eastAsia="zh-CN"/>
                    </w:rPr>
                  </w:pPr>
                  <w:r>
                    <w:rPr>
                      <w:rFonts w:hint="default" w:ascii="Times New Roman" w:hAnsi="Times New Roman" w:eastAsia="宋体" w:cs="Times New Roman"/>
                      <w:i w:val="0"/>
                      <w:iCs w:val="0"/>
                      <w:color w:val="000000"/>
                      <w:kern w:val="0"/>
                      <w:sz w:val="20"/>
                      <w:szCs w:val="20"/>
                      <w:u w:val="none"/>
                      <w:lang w:val="en-US" w:eastAsia="zh-CN" w:bidi="ar"/>
                    </w:rPr>
                    <w:t>二、社会保障和就业支出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154.28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eastAsia" w:ascii="Arial" w:hAnsi="Arial" w:eastAsia="宋体" w:cs="Arial"/>
                      <w:i w:val="0"/>
                      <w:iCs w:val="0"/>
                      <w:color w:val="000000"/>
                      <w:kern w:val="0"/>
                      <w:sz w:val="20"/>
                      <w:szCs w:val="20"/>
                      <w:u w:val="none"/>
                      <w:lang w:val="en-US" w:eastAsia="zh-CN" w:bidi="ar"/>
                    </w:rPr>
                    <w:t>154.28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行政事业单位养老支出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eastAsia" w:ascii="Arial" w:hAnsi="Arial" w:eastAsia="宋体" w:cs="Arial"/>
                      <w:i w:val="0"/>
                      <w:iCs w:val="0"/>
                      <w:color w:val="000000"/>
                      <w:kern w:val="0"/>
                      <w:sz w:val="20"/>
                      <w:szCs w:val="20"/>
                      <w:u w:val="none"/>
                      <w:lang w:val="en-US" w:eastAsia="zh-CN" w:bidi="ar"/>
                    </w:rPr>
                    <w:t>154.28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eastAsia" w:ascii="Arial" w:hAnsi="Arial" w:eastAsia="宋体" w:cs="Arial"/>
                      <w:i w:val="0"/>
                      <w:iCs w:val="0"/>
                      <w:color w:val="000000"/>
                      <w:kern w:val="0"/>
                      <w:sz w:val="20"/>
                      <w:szCs w:val="20"/>
                      <w:u w:val="none"/>
                      <w:lang w:val="en-US" w:eastAsia="zh-CN" w:bidi="ar"/>
                    </w:rPr>
                    <w:t>154.28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机关事业单位基本养老保险缴费支出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123.41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123.41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机关事业单位职业年金缴费支出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29.65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29.65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其他行政事业单位养老支出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三、卫生健康支出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55.03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55.03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行政事业单位医疗</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55.03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eastAsia" w:ascii="Arial" w:hAnsi="Arial" w:eastAsia="宋体" w:cs="Arial"/>
                      <w:i w:val="0"/>
                      <w:iCs w:val="0"/>
                      <w:color w:val="000000"/>
                      <w:kern w:val="0"/>
                      <w:sz w:val="20"/>
                      <w:szCs w:val="20"/>
                      <w:u w:val="none"/>
                      <w:lang w:val="en-US" w:eastAsia="zh-CN" w:bidi="ar"/>
                    </w:rPr>
                    <w:t>55.03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行政单位医疗</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42.86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eastAsia" w:ascii="Arial" w:hAnsi="Arial" w:eastAsia="宋体" w:cs="Arial"/>
                      <w:i w:val="0"/>
                      <w:iCs w:val="0"/>
                      <w:color w:val="000000"/>
                      <w:kern w:val="0"/>
                      <w:sz w:val="20"/>
                      <w:szCs w:val="20"/>
                      <w:u w:val="none"/>
                      <w:lang w:val="en-US" w:eastAsia="zh-CN" w:bidi="ar"/>
                    </w:rPr>
                    <w:t>42.86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事业单位医疗</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11.23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11.23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其他行政事业单位医疗支出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0.94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ascii="Arial" w:hAnsi="Arial" w:eastAsia="宋体" w:cs="Arial"/>
                      <w:i w:val="0"/>
                      <w:iCs w:val="0"/>
                      <w:color w:val="000000"/>
                      <w:kern w:val="0"/>
                      <w:sz w:val="20"/>
                      <w:szCs w:val="20"/>
                      <w:u w:val="none"/>
                      <w:lang w:val="en-US" w:eastAsia="zh-CN" w:bidi="ar"/>
                    </w:rPr>
                    <w:t>0.94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四、住房保障支出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92.56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92.56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住房改革支出</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92.56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92.56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住房公积金</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eastAsia" w:ascii="Arial" w:hAnsi="Arial" w:eastAsia="宋体" w:cs="Arial"/>
                      <w:i w:val="0"/>
                      <w:iCs w:val="0"/>
                      <w:color w:val="000000"/>
                      <w:kern w:val="0"/>
                      <w:sz w:val="20"/>
                      <w:szCs w:val="20"/>
                      <w:u w:val="none"/>
                      <w:lang w:val="en-US" w:eastAsia="zh-CN" w:bidi="ar"/>
                    </w:rPr>
                    <w:t>92.56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rPr>
                  </w:pPr>
                  <w:r>
                    <w:rPr>
                      <w:rFonts w:hint="eastAsia" w:ascii="Arial" w:hAnsi="Arial" w:eastAsia="宋体" w:cs="Arial"/>
                      <w:i w:val="0"/>
                      <w:iCs w:val="0"/>
                      <w:color w:val="000000"/>
                      <w:kern w:val="0"/>
                      <w:sz w:val="20"/>
                      <w:szCs w:val="20"/>
                      <w:u w:val="none"/>
                      <w:lang w:val="en-US" w:eastAsia="zh-CN" w:bidi="ar"/>
                    </w:rPr>
                    <w:t>92.56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r>
              <w:tblPrEx>
                <w:tblCellMar>
                  <w:top w:w="15" w:type="dxa"/>
                  <w:left w:w="15" w:type="dxa"/>
                  <w:bottom w:w="15" w:type="dxa"/>
                  <w:right w:w="15" w:type="dxa"/>
                </w:tblCellMar>
              </w:tblPrEx>
              <w:trPr>
                <w:trHeight w:val="330" w:hRule="atLeast"/>
              </w:trPr>
              <w:tc>
                <w:tcPr>
                  <w:tcW w:w="2214"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rPr>
                  </w:pPr>
                  <w:r>
                    <w:rPr>
                      <w:rFonts w:hint="default" w:ascii="Times New Roman" w:hAnsi="Times New Roman" w:eastAsia="华文细黑" w:cs="Times New Roman"/>
                      <w:color w:val="000000"/>
                      <w:kern w:val="0"/>
                      <w:sz w:val="20"/>
                    </w:rPr>
                    <w:t>合计</w:t>
                  </w:r>
                </w:p>
              </w:tc>
              <w:tc>
                <w:tcPr>
                  <w:tcW w:w="1203"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color w:val="000000"/>
                      <w:kern w:val="0"/>
                      <w:sz w:val="20"/>
                      <w:lang w:val="en-US"/>
                    </w:rPr>
                  </w:pPr>
                  <w:r>
                    <w:rPr>
                      <w:rFonts w:hint="eastAsia" w:eastAsia="宋体" w:cs="Times New Roman"/>
                      <w:i w:val="0"/>
                      <w:iCs w:val="0"/>
                      <w:color w:val="000000"/>
                      <w:kern w:val="0"/>
                      <w:sz w:val="20"/>
                      <w:szCs w:val="20"/>
                      <w:u w:val="none"/>
                      <w:lang w:val="en-US" w:eastAsia="zh-CN" w:bidi="ar"/>
                    </w:rPr>
                    <w:t>2263.31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1377.34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885.97</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rPr>
                  </w:pPr>
                </w:p>
              </w:tc>
            </w:tr>
          </w:tbl>
          <w:p>
            <w:pPr>
              <w:widowControl/>
              <w:jc w:val="center"/>
              <w:rPr>
                <w:rFonts w:hint="default" w:ascii="Times New Roman" w:hAnsi="Times New Roman" w:eastAsia="方正小标宋简体" w:cs="Times New Roman"/>
                <w:kern w:val="0"/>
                <w:sz w:val="44"/>
                <w:szCs w:val="44"/>
              </w:rPr>
            </w:pPr>
          </w:p>
        </w:tc>
      </w:tr>
    </w:tbl>
    <w:p>
      <w:pPr>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注：</w:t>
      </w:r>
      <w:r>
        <w:rPr>
          <w:rFonts w:hint="default" w:ascii="Times New Roman" w:hAnsi="Times New Roman" w:eastAsia="楷体" w:cs="Times New Roman"/>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2263.31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2138.14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125.17</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color w:val="000000"/>
                      <w:kern w:val="0"/>
                      <w:sz w:val="20"/>
                      <w:lang w:val="en-US" w:eastAsia="zh-CN"/>
                    </w:rPr>
                    <w:t>1961.44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1836.27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125.17</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154.28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154.28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55.03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55.03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92.56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ascii="Arial" w:hAnsi="Arial" w:eastAsia="宋体" w:cs="Arial"/>
                      <w:i w:val="0"/>
                      <w:iCs w:val="0"/>
                      <w:color w:val="000000"/>
                      <w:kern w:val="0"/>
                      <w:sz w:val="20"/>
                      <w:szCs w:val="20"/>
                      <w:u w:val="none"/>
                      <w:lang w:val="en-US" w:eastAsia="zh-CN" w:bidi="ar"/>
                    </w:rPr>
                    <w:t>92.56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2263.31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2138.14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kern w:val="0"/>
                      <w:sz w:val="20"/>
                      <w:lang w:val="en-US" w:eastAsia="zh-CN"/>
                    </w:rPr>
                    <w:t>2263.31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2141.14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125.17</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125.17</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2138.14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2263.31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2138.14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125.17</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kern w:val="0"/>
                      <w:sz w:val="20"/>
                      <w:lang w:val="en-US" w:eastAsia="zh-CN"/>
                    </w:rPr>
                    <w:t>2263.31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2141.14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125.17</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default" w:ascii="Times New Roman" w:hAnsi="Times New Roman" w:eastAsia="宋体" w:cs="Times New Roman"/>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1961.44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1075.47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833.61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241.86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885.97</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default" w:ascii="Times New Roman" w:hAnsi="Times New Roman" w:eastAsia="宋体" w:cs="Times New Roman"/>
                      <w:color w:val="000000"/>
                      <w:kern w:val="0"/>
                      <w:sz w:val="20"/>
                      <w:lang w:val="en-US" w:eastAsia="zh-CN"/>
                    </w:rPr>
                    <w:t>纪检监察事务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1961.44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1075.47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833.61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241.86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885.97</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Times New Roman" w:hAnsi="Times New Roman" w:eastAsia="宋体" w:cs="Times New Roman"/>
                      <w:color w:val="000000"/>
                      <w:kern w:val="0"/>
                      <w:sz w:val="20"/>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1961.44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1075.47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833.61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241.86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885.97</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s="Times New Roman"/>
                      <w:color w:val="000000"/>
                      <w:kern w:val="0"/>
                      <w:sz w:val="20"/>
                      <w:lang w:val="en-US"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1961.44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1075.47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833.61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241.86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885.97</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eastAsia="宋体"/>
                      <w:color w:val="000000"/>
                      <w:kern w:val="0"/>
                      <w:sz w:val="20"/>
                      <w:lang w:val="en-US" w:eastAsia="zh-CN"/>
                    </w:rPr>
                    <w:t>154.28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154.28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123.41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123.41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123.41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29.65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29.65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29.65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55.03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55.03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55.03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55.03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55.03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55.03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42.86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42.86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42.86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11.23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11.23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0.94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0.94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0.94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92.56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92.56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92.56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default" w:ascii="Times New Roman" w:hAnsi="Times New Roman" w:eastAsia="宋体" w:cs="Times New Roman"/>
                      <w:i w:val="0"/>
                      <w:iCs w:val="0"/>
                      <w:color w:val="000000"/>
                      <w:kern w:val="0"/>
                      <w:sz w:val="20"/>
                      <w:szCs w:val="20"/>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92.56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92.56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92.56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default" w:ascii="Times New Roman" w:hAnsi="Times New Roman" w:eastAsia="宋体" w:cs="Times New Roman"/>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92.56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92.56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ascii="Times New Roman" w:hAnsi="Times New Roman" w:eastAsia="宋体" w:cs="Times New Roman"/>
                      <w:color w:val="000000"/>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92.56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2263.31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1377.34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1135.48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241.86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885.97</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hint="default" w:ascii="Times New Roman" w:hAnsi="Times New Roman" w:eastAsia="方正小标宋简体" w:cs="Times New Roman"/>
                <w:kern w:val="0"/>
                <w:sz w:val="44"/>
                <w:szCs w:val="44"/>
              </w:rPr>
            </w:pPr>
          </w:p>
          <w:p>
            <w:pPr>
              <w:widowControl/>
              <w:jc w:val="center"/>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36"/>
                <w:szCs w:val="36"/>
              </w:rPr>
              <w:t>一般公共预算基本支出表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2220" w:type="dxa"/>
            <w:tcBorders>
              <w:top w:val="nil"/>
              <w:left w:val="nil"/>
              <w:bottom w:val="single" w:color="auto" w:sz="4" w:space="0"/>
              <w:right w:val="nil"/>
            </w:tcBorders>
            <w:noWrap w:val="0"/>
            <w:vAlign w:val="center"/>
          </w:tcPr>
          <w:p>
            <w:pPr>
              <w:widowControl/>
              <w:jc w:val="right"/>
              <w:rPr>
                <w:rFonts w:hint="default" w:ascii="Times New Roman" w:hAnsi="Times New Roman" w:eastAsia="宋体" w:cs="Times New Roman"/>
                <w:kern w:val="0"/>
                <w:sz w:val="20"/>
              </w:rPr>
            </w:pPr>
            <w:r>
              <w:rPr>
                <w:rFonts w:hint="default" w:ascii="Times New Roman" w:hAnsi="Times New Roman" w:eastAsia="宋体" w:cs="Times New Roman"/>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hint="default" w:ascii="Times New Roman" w:hAnsi="Times New Roman" w:eastAsia="华文细黑" w:cs="Times New Roman"/>
                <w:kern w:val="0"/>
                <w:sz w:val="20"/>
              </w:rPr>
            </w:pPr>
            <w:r>
              <w:rPr>
                <w:rFonts w:hint="default" w:ascii="Times New Roman" w:hAnsi="Times New Roman" w:eastAsia="宋体" w:cs="Times New Roman"/>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rPr>
            </w:pPr>
            <w:r>
              <w:rPr>
                <w:rFonts w:hint="default" w:ascii="Times New Roman" w:hAnsi="Times New Roman" w:eastAsia="宋体" w:cs="Times New Roman"/>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宋体" w:cs="Times New Roman"/>
                <w:sz w:val="20"/>
                <w:szCs w:val="20"/>
              </w:rPr>
            </w:pPr>
            <w:r>
              <w:rPr>
                <w:rFonts w:hint="default" w:ascii="Times New Roman" w:hAnsi="Times New Roman" w:eastAsia="宋体" w:cs="Times New Roman"/>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sz w:val="20"/>
                <w:szCs w:val="20"/>
              </w:rPr>
            </w:pPr>
            <w:r>
              <w:rPr>
                <w:rFonts w:hint="default" w:ascii="Times New Roman" w:hAnsi="Times New Roman" w:eastAsia="宋体" w:cs="Times New Roman"/>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1377.34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1135.48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lang w:val="en-US" w:eastAsia="zh-CN"/>
              </w:rPr>
            </w:pPr>
            <w:r>
              <w:rPr>
                <w:rFonts w:hint="eastAsia" w:eastAsia="宋体" w:cs="Times New Roman"/>
                <w:kern w:val="0"/>
                <w:sz w:val="20"/>
                <w:lang w:val="en-US" w:eastAsia="zh-CN"/>
              </w:rPr>
              <w:t>241.86</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1129.1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eastAsia" w:eastAsia="宋体" w:cs="Times New Roman"/>
                <w:kern w:val="0"/>
                <w:sz w:val="20"/>
                <w:lang w:val="en-US" w:eastAsia="zh-CN"/>
              </w:rPr>
              <w:t>1129.1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374.39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eastAsia" w:eastAsia="宋体" w:cs="Times New Roman"/>
                <w:kern w:val="0"/>
                <w:sz w:val="20"/>
                <w:lang w:val="en-US" w:eastAsia="zh-CN"/>
              </w:rPr>
              <w:t>374.39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242.84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eastAsia" w:eastAsia="宋体" w:cs="Times New Roman"/>
                <w:kern w:val="0"/>
                <w:sz w:val="20"/>
                <w:lang w:val="en-US" w:eastAsia="zh-CN"/>
              </w:rPr>
              <w:t>242.84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145.99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eastAsia" w:eastAsia="宋体" w:cs="Times New Roman"/>
                <w:kern w:val="0"/>
                <w:sz w:val="20"/>
                <w:lang w:val="en-US" w:eastAsia="zh-CN"/>
              </w:rPr>
              <w:t>145.99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123.41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eastAsia" w:eastAsia="宋体" w:cs="Times New Roman"/>
                <w:kern w:val="0"/>
                <w:sz w:val="20"/>
                <w:lang w:val="en-US" w:eastAsia="zh-CN"/>
              </w:rPr>
              <w:t>123.41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29.65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eastAsia" w:eastAsia="宋体" w:cs="Times New Roman"/>
                <w:kern w:val="0"/>
                <w:sz w:val="20"/>
                <w:lang w:val="en-US" w:eastAsia="zh-CN"/>
              </w:rPr>
              <w:t>29.65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54.09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eastAsia" w:eastAsia="宋体" w:cs="Times New Roman"/>
                <w:kern w:val="0"/>
                <w:sz w:val="20"/>
                <w:lang w:val="en-US" w:eastAsia="zh-CN"/>
              </w:rPr>
              <w:t>54.09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eastAsia" w:eastAsia="宋体" w:cs="Times New Roman"/>
                <w:kern w:val="0"/>
                <w:sz w:val="20"/>
                <w:lang w:val="en-US" w:eastAsia="zh-CN"/>
              </w:rPr>
              <w:t>2.17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92.56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eastAsia" w:eastAsia="宋体" w:cs="Times New Roman"/>
                <w:kern w:val="0"/>
                <w:sz w:val="20"/>
                <w:lang w:val="en-US" w:eastAsia="zh-CN"/>
              </w:rPr>
              <w:t>92.56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10.45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eastAsia" w:eastAsia="宋体" w:cs="Times New Roman"/>
                <w:kern w:val="0"/>
                <w:sz w:val="20"/>
                <w:lang w:val="en-US" w:eastAsia="zh-CN"/>
              </w:rPr>
              <w:t>10.45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241.86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eastAsia" w:eastAsia="宋体" w:cs="Times New Roman"/>
                <w:kern w:val="0"/>
                <w:sz w:val="20"/>
                <w:lang w:val="en-US" w:eastAsia="zh-CN"/>
              </w:rPr>
              <w:t>241.86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eastAsia="zh-CN"/>
              </w:rPr>
            </w:pPr>
            <w:r>
              <w:rPr>
                <w:rFonts w:hint="eastAsia" w:eastAsia="宋体" w:cs="Times New Roman"/>
                <w:kern w:val="0"/>
                <w:sz w:val="20"/>
                <w:lang w:val="en-US" w:eastAsia="zh-CN"/>
              </w:rPr>
              <w:t>1</w:t>
            </w:r>
            <w:r>
              <w:rPr>
                <w:rFonts w:hint="default" w:ascii="Times New Roman" w:hAnsi="Times New Roman" w:eastAsia="宋体" w:cs="Times New Roman"/>
                <w:kern w:val="0"/>
                <w:sz w:val="20"/>
                <w:lang w:val="en-US" w:eastAsia="zh-CN"/>
              </w:rPr>
              <w:t>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cs="Times New Roman"/>
              </w:rPr>
            </w:pPr>
            <w:r>
              <w:rPr>
                <w:rFonts w:hint="eastAsia" w:eastAsia="宋体" w:cs="Times New Roman"/>
                <w:kern w:val="0"/>
                <w:sz w:val="20"/>
                <w:lang w:val="en-US" w:eastAsia="zh-CN"/>
              </w:rPr>
              <w:t>1</w:t>
            </w:r>
            <w:r>
              <w:rPr>
                <w:rFonts w:hint="default" w:ascii="Times New Roman" w:hAnsi="Times New Roman" w:eastAsia="宋体" w:cs="Times New Roman"/>
                <w:kern w:val="0"/>
                <w:sz w:val="20"/>
                <w:lang w:val="en-US"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eastAsia"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eastAsia"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11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11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51.96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51.96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4.5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4.5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kern w:val="0"/>
                <w:sz w:val="20"/>
              </w:rPr>
            </w:pPr>
            <w:r>
              <w:rPr>
                <w:rFonts w:hint="default" w:ascii="Times New Roman" w:hAnsi="Times New Roman" w:eastAsia="宋体" w:cs="Times New Roman"/>
                <w:kern w:val="0"/>
                <w:sz w:val="20"/>
              </w:rPr>
              <w:t>培训费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10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委托业务费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19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19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52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52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default" w:ascii="Times New Roman" w:hAnsi="Times New Roman" w:eastAsia="宋体" w:cs="Times New Roman"/>
                <w:kern w:val="0"/>
                <w:sz w:val="20"/>
                <w:lang w:val="en-US" w:eastAsia="zh-CN"/>
              </w:rPr>
              <w:t>48.9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48.9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eastAsia="zh-CN"/>
              </w:rPr>
            </w:pPr>
            <w:r>
              <w:rPr>
                <w:rFonts w:hint="default" w:ascii="Times New Roman" w:hAnsi="Times New Roman" w:eastAsia="宋体" w:cs="Times New Roman"/>
                <w:kern w:val="0"/>
                <w:sz w:val="20"/>
                <w:lang w:val="en-US" w:eastAsia="zh-CN"/>
              </w:rPr>
              <w:t>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r>
              <w:rPr>
                <w:rFonts w:hint="default" w:ascii="Times New Roman" w:hAnsi="Times New Roman" w:eastAsia="宋体" w:cs="Times New Roman"/>
                <w:kern w:val="0"/>
                <w:sz w:val="20"/>
                <w:lang w:val="en-US" w:eastAsia="zh-CN"/>
              </w:rPr>
              <w:t>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6.38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6.38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r>
              <w:rPr>
                <w:rFonts w:hint="default" w:ascii="Times New Roman" w:hAnsi="Times New Roman" w:eastAsia="宋体" w:cs="Times New Roman"/>
                <w:color w:val="000000"/>
                <w:kern w:val="0"/>
                <w:sz w:val="20"/>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rPr>
            </w:pPr>
            <w:r>
              <w:rPr>
                <w:rFonts w:hint="eastAsia" w:eastAsia="宋体" w:cs="Times New Roman"/>
                <w:kern w:val="0"/>
                <w:sz w:val="20"/>
                <w:lang w:val="en-US" w:eastAsia="zh-CN"/>
              </w:rPr>
              <w:t>6.38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lang w:val="en-US"/>
              </w:rPr>
            </w:pPr>
            <w:r>
              <w:rPr>
                <w:rFonts w:hint="eastAsia" w:eastAsia="宋体" w:cs="Times New Roman"/>
                <w:kern w:val="0"/>
                <w:sz w:val="20"/>
                <w:lang w:val="en-US" w:eastAsia="zh-CN"/>
              </w:rPr>
              <w:t>6.38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cs="Times New Roma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Times New Roman" w:hAnsi="Times New Roman" w:eastAsia="宋体" w:cs="Times New Roman"/>
                <w:color w:val="000000"/>
                <w:kern w:val="0"/>
                <w:sz w:val="20"/>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cs="Times New Roma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cs="Times New Roman"/>
              </w:rPr>
            </w:pPr>
          </w:p>
        </w:tc>
      </w:tr>
    </w:tbl>
    <w:p>
      <w:pPr>
        <w:ind w:firstLine="480" w:firstLineChars="200"/>
        <w:rPr>
          <w:rFonts w:hint="eastAsia" w:ascii="楷体" w:hAnsi="楷体" w:eastAsia="楷体" w:cs="楷体"/>
          <w:sz w:val="24"/>
          <w:szCs w:val="24"/>
        </w:rPr>
      </w:pPr>
      <w:r>
        <w:rPr>
          <w:rFonts w:hint="default" w:ascii="Times New Roman" w:hAnsi="Times New Roman" w:eastAsia="楷体" w:cs="Times New Roman"/>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hint="default"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int="default" w:ascii="Times New Roman" w:hAnsi="Times New Roman" w:eastAsia="华文细黑" w:cs="Times New Roman"/>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default" w:ascii="Times New Roman" w:hAnsi="Times New Roman" w:eastAsia="华文细黑" w:cs="Times New Roman"/>
                <w:color w:val="000000"/>
                <w:kern w:val="0"/>
                <w:sz w:val="20"/>
              </w:rPr>
              <w:t>项    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default" w:ascii="Times New Roman" w:hAnsi="Times New Roman" w:eastAsia="华文细黑" w:cs="Times New Roman"/>
                <w:color w:val="000000"/>
                <w:kern w:val="0"/>
                <w:sz w:val="20"/>
                <w:lang w:eastAsia="zh-CN"/>
              </w:rPr>
              <w:t>2024</w:t>
            </w:r>
            <w:r>
              <w:rPr>
                <w:rFonts w:hint="default" w:ascii="Times New Roman" w:hAnsi="Times New Roman" w:eastAsia="华文细黑" w:cs="Times New Roman"/>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default" w:ascii="Times New Roman" w:hAnsi="Times New Roman" w:eastAsia="华文细黑" w:cs="Times New Roman"/>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default" w:ascii="Times New Roman" w:hAnsi="Times New Roman" w:eastAsia="华文细黑" w:cs="Times New Roman"/>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default" w:ascii="Times New Roman" w:hAnsi="Times New Roman" w:eastAsia="宋体" w:cs="Times New Roman"/>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cs="Times New Roman"/>
                <w:lang w:val="en-US" w:eastAsia="zh-CN"/>
              </w:rPr>
              <w:t>99</w:t>
            </w:r>
          </w:p>
        </w:tc>
        <w:tc>
          <w:tcPr>
            <w:tcW w:w="1378"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cs="Times New Roman"/>
                <w:lang w:val="en-US" w:eastAsia="zh-CN"/>
              </w:rPr>
              <w:t>99</w:t>
            </w:r>
            <w:r>
              <w:rPr>
                <w:rFonts w:hint="default" w:ascii="Times New Roman" w:hAnsi="Times New Roman" w:cs="Times New Roman"/>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hint="default" w:ascii="Times New Roman" w:hAnsi="Times New Roman" w:eastAsia="宋体" w:cs="Times New Roman"/>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cs="Times New Roman"/>
                <w:lang w:val="en-US" w:eastAsia="zh-CN"/>
              </w:rPr>
              <w:t>0</w:t>
            </w:r>
          </w:p>
        </w:tc>
        <w:tc>
          <w:tcPr>
            <w:tcW w:w="1378"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cs="Times New Roman"/>
                <w:lang w:val="en-US" w:eastAsia="zh-CN"/>
              </w:rPr>
              <w:t>0</w:t>
            </w:r>
            <w:r>
              <w:rPr>
                <w:rFonts w:hint="default" w:ascii="Times New Roman" w:hAnsi="Times New Roman" w:cs="Times New Roman"/>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hint="default" w:ascii="Times New Roman" w:hAnsi="Times New Roman" w:eastAsia="宋体" w:cs="Times New Roman"/>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cs="Times New Roman"/>
                <w:lang w:val="en-US" w:eastAsia="zh-CN"/>
              </w:rPr>
              <w:t>7</w:t>
            </w:r>
          </w:p>
        </w:tc>
        <w:tc>
          <w:tcPr>
            <w:tcW w:w="1378"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cs="Times New Roman"/>
                <w:lang w:val="en-US" w:eastAsia="zh-CN"/>
              </w:rPr>
              <w:t>7</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hint="default" w:ascii="Times New Roman" w:hAnsi="Times New Roman" w:eastAsia="宋体" w:cs="Times New Roman"/>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cs="Times New Roman"/>
                <w:lang w:val="en-US" w:eastAsia="zh-CN"/>
              </w:rPr>
              <w:t>9</w:t>
            </w:r>
            <w:r>
              <w:rPr>
                <w:rFonts w:hint="default" w:ascii="Times New Roman" w:hAnsi="Times New Roman" w:cs="Times New Roman"/>
              </w:rPr>
              <w:t>2</w:t>
            </w:r>
          </w:p>
        </w:tc>
        <w:tc>
          <w:tcPr>
            <w:tcW w:w="1378"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cs="Times New Roman"/>
                <w:lang w:val="en-US" w:eastAsia="zh-CN"/>
              </w:rPr>
              <w:t>9</w:t>
            </w:r>
            <w:r>
              <w:rPr>
                <w:rFonts w:hint="default" w:ascii="Times New Roman" w:hAnsi="Times New Roman" w:cs="Times New Roman"/>
              </w:rPr>
              <w:t>2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hint="default" w:ascii="Times New Roman" w:hAnsi="Times New Roman" w:eastAsia="宋体" w:cs="Times New Roman"/>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cs="Times New Roman"/>
                <w:lang w:val="en-US" w:eastAsia="zh-CN"/>
              </w:rPr>
              <w:t>9</w:t>
            </w:r>
            <w:r>
              <w:rPr>
                <w:rFonts w:hint="default" w:ascii="Times New Roman" w:hAnsi="Times New Roman" w:cs="Times New Roman"/>
              </w:rPr>
              <w:t>2</w:t>
            </w:r>
          </w:p>
        </w:tc>
        <w:tc>
          <w:tcPr>
            <w:tcW w:w="1378"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cs="Times New Roman"/>
                <w:lang w:val="en-US" w:eastAsia="zh-CN"/>
              </w:rPr>
              <w:t>9</w:t>
            </w:r>
            <w:r>
              <w:rPr>
                <w:rFonts w:hint="default" w:ascii="Times New Roman" w:hAnsi="Times New Roman" w:cs="Times New Roman"/>
              </w:rPr>
              <w:t>2</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default" w:ascii="Times New Roman" w:hAnsi="Times New Roman" w:eastAsia="宋体" w:cs="Times New Roman"/>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ascii="Times New Roman" w:hAnsi="Times New Roman" w:cs="Times New Roman"/>
                <w:lang w:val="en-US" w:eastAsia="zh-CN"/>
              </w:rPr>
              <w:t>0</w:t>
            </w:r>
          </w:p>
        </w:tc>
        <w:tc>
          <w:tcPr>
            <w:tcW w:w="1378"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ascii="Times New Roman" w:hAnsi="Times New Roman" w:cs="Times New Roman"/>
                <w:lang w:val="en-US" w:eastAsia="zh-CN"/>
              </w:rPr>
              <w:t>0</w:t>
            </w:r>
            <w:r>
              <w:rPr>
                <w:rFonts w:hint="default" w:ascii="Times New Roman" w:hAnsi="Times New Roman" w:cs="Times New Roman"/>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2</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101</w:t>
            </w:r>
            <w:r>
              <w:rPr>
                <w:color w:val="000000"/>
                <w:kern w:val="0"/>
                <w:sz w:val="28"/>
                <w:szCs w:val="28"/>
              </w:rPr>
              <w:t>人，其中：在职人员</w:t>
            </w:r>
            <w:r>
              <w:rPr>
                <w:rFonts w:hint="eastAsia" w:eastAsia="宋体"/>
                <w:color w:val="000000"/>
                <w:kern w:val="0"/>
                <w:sz w:val="28"/>
                <w:szCs w:val="28"/>
                <w:u w:val="single"/>
                <w:lang w:val="en-US" w:eastAsia="zh-CN"/>
              </w:rPr>
              <w:t>91</w:t>
            </w:r>
            <w:r>
              <w:rPr>
                <w:color w:val="000000"/>
                <w:kern w:val="0"/>
                <w:sz w:val="28"/>
                <w:szCs w:val="28"/>
              </w:rPr>
              <w:t>人，离退休人员</w:t>
            </w:r>
            <w:r>
              <w:rPr>
                <w:rFonts w:hint="eastAsia" w:eastAsia="宋体"/>
                <w:color w:val="000000"/>
                <w:kern w:val="0"/>
                <w:sz w:val="28"/>
                <w:szCs w:val="28"/>
                <w:u w:val="single"/>
                <w:lang w:val="en-US" w:eastAsia="zh-CN"/>
              </w:rPr>
              <w:t>10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397"/>
        <w:gridCol w:w="1397"/>
        <w:gridCol w:w="856"/>
        <w:gridCol w:w="794"/>
        <w:gridCol w:w="819"/>
        <w:gridCol w:w="432"/>
        <w:gridCol w:w="440"/>
        <w:gridCol w:w="424"/>
        <w:gridCol w:w="432"/>
        <w:gridCol w:w="456"/>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0" w:type="auto"/>
            <w:gridSpan w:val="13"/>
            <w:tcBorders>
              <w:top w:val="nil"/>
              <w:left w:val="nil"/>
              <w:bottom w:val="nil"/>
              <w:right w:val="nil"/>
            </w:tcBorders>
            <w:noWrap w:val="0"/>
            <w:vAlign w:val="center"/>
          </w:tcPr>
          <w:p>
            <w:pPr>
              <w:widowControl/>
              <w:jc w:val="center"/>
              <w:rPr>
                <w:rFonts w:hint="default" w:ascii="Times New Roman" w:hAnsi="Times New Roman" w:eastAsia="方正小标宋简体" w:cs="Times New Roman"/>
                <w:kern w:val="0"/>
                <w:sz w:val="36"/>
                <w:szCs w:val="36"/>
              </w:rPr>
            </w:pPr>
            <w:r>
              <w:rPr>
                <w:rFonts w:hint="default" w:ascii="Times New Roman" w:hAnsi="Times New Roman" w:eastAsia="方正小标宋简体" w:cs="Times New Roman"/>
                <w:kern w:val="0"/>
                <w:sz w:val="36"/>
                <w:szCs w:val="36"/>
              </w:rPr>
              <w:t>项目支出表</w:t>
            </w:r>
          </w:p>
          <w:p>
            <w:pPr>
              <w:autoSpaceDN w:val="0"/>
              <w:jc w:val="center"/>
              <w:textAlignment w:val="center"/>
              <w:rPr>
                <w:rFonts w:hint="default" w:ascii="Times New Roman" w:hAnsi="Times New Roman" w:eastAsia="华文细黑" w:cs="Times New Roman"/>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20"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1397"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0" w:type="auto"/>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856"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794" w:type="dxa"/>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0" w:type="auto"/>
            <w:gridSpan w:val="3"/>
            <w:tcBorders>
              <w:top w:val="nil"/>
              <w:left w:val="nil"/>
              <w:right w:val="nil"/>
            </w:tcBorders>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0" w:type="auto"/>
            <w:gridSpan w:val="5"/>
            <w:tcBorders>
              <w:top w:val="nil"/>
              <w:left w:val="nil"/>
              <w:right w:val="nil"/>
            </w:tcBorders>
            <w:noWrap w:val="0"/>
            <w:vAlign w:val="center"/>
          </w:tcPr>
          <w:p>
            <w:pPr>
              <w:autoSpaceDN w:val="0"/>
              <w:jc w:val="right"/>
              <w:textAlignment w:val="center"/>
              <w:rPr>
                <w:rFonts w:hint="default" w:ascii="Times New Roman" w:hAnsi="Times New Roman" w:eastAsia="华文细黑" w:cs="Times New Roman"/>
                <w:color w:val="000000"/>
                <w:sz w:val="20"/>
                <w:szCs w:val="22"/>
              </w:rPr>
            </w:pPr>
            <w:r>
              <w:rPr>
                <w:rFonts w:hint="default" w:ascii="Times New Roman" w:hAnsi="Times New Roman" w:eastAsia="宋体" w:cs="Times New Roman"/>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20"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类型</w:t>
            </w:r>
          </w:p>
        </w:tc>
        <w:tc>
          <w:tcPr>
            <w:tcW w:w="2794" w:type="dxa"/>
            <w:gridSpan w:val="2"/>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项目名称</w:t>
            </w:r>
          </w:p>
        </w:tc>
        <w:tc>
          <w:tcPr>
            <w:tcW w:w="856"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项目</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单位</w:t>
            </w:r>
          </w:p>
        </w:tc>
        <w:tc>
          <w:tcPr>
            <w:tcW w:w="794" w:type="dxa"/>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合计</w:t>
            </w:r>
          </w:p>
        </w:tc>
        <w:tc>
          <w:tcPr>
            <w:tcW w:w="0" w:type="auto"/>
            <w:gridSpan w:val="3"/>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本年财政拨款</w:t>
            </w:r>
          </w:p>
        </w:tc>
        <w:tc>
          <w:tcPr>
            <w:tcW w:w="0" w:type="auto"/>
            <w:gridSpan w:val="3"/>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财政拨款结转</w:t>
            </w:r>
          </w:p>
        </w:tc>
        <w:tc>
          <w:tcPr>
            <w:tcW w:w="0" w:type="auto"/>
            <w:vMerge w:val="restart"/>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财政专户</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管理资金</w:t>
            </w:r>
          </w:p>
        </w:tc>
        <w:tc>
          <w:tcPr>
            <w:tcW w:w="0" w:type="auto"/>
            <w:vMerge w:val="restart"/>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20" w:type="dxa"/>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1397" w:type="dxa"/>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一级项目</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二级项目</w:t>
            </w:r>
          </w:p>
        </w:tc>
        <w:tc>
          <w:tcPr>
            <w:tcW w:w="856" w:type="dxa"/>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794" w:type="dxa"/>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一般公共预算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政府性</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基金</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国有资本</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经营预算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一般</w:t>
            </w:r>
          </w:p>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公共</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政府性</w:t>
            </w:r>
          </w:p>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基金</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0" w:type="auto"/>
            <w:noWrap w:val="0"/>
            <w:vAlign w:val="center"/>
          </w:tcPr>
          <w:p>
            <w:pPr>
              <w:autoSpaceDN w:val="0"/>
              <w:jc w:val="center"/>
              <w:textAlignment w:val="center"/>
              <w:rPr>
                <w:rFonts w:hint="default" w:ascii="Times New Roman" w:hAnsi="Times New Roman" w:eastAsia="宋体" w:cs="Times New Roman"/>
                <w:color w:val="000000"/>
                <w:sz w:val="20"/>
                <w:szCs w:val="22"/>
                <w:lang w:eastAsia="zh-CN"/>
              </w:rPr>
            </w:pPr>
            <w:r>
              <w:rPr>
                <w:rFonts w:hint="default" w:ascii="Times New Roman" w:hAnsi="Times New Roman" w:eastAsia="宋体" w:cs="Times New Roman"/>
                <w:color w:val="000000"/>
                <w:sz w:val="20"/>
                <w:szCs w:val="22"/>
              </w:rPr>
              <w:t>国有资本经营</w:t>
            </w:r>
          </w:p>
          <w:p>
            <w:pPr>
              <w:autoSpaceDN w:val="0"/>
              <w:jc w:val="center"/>
              <w:textAlignment w:val="center"/>
              <w:rPr>
                <w:rFonts w:hint="default" w:ascii="Times New Roman" w:hAnsi="Times New Roman" w:eastAsia="宋体" w:cs="Times New Roman"/>
                <w:color w:val="000000"/>
                <w:sz w:val="20"/>
                <w:szCs w:val="22"/>
              </w:rPr>
            </w:pPr>
            <w:r>
              <w:rPr>
                <w:rFonts w:hint="default" w:ascii="Times New Roman" w:hAnsi="Times New Roman" w:eastAsia="宋体" w:cs="Times New Roman"/>
                <w:color w:val="000000"/>
                <w:sz w:val="20"/>
                <w:szCs w:val="22"/>
              </w:rPr>
              <w:t>预算</w:t>
            </w:r>
          </w:p>
        </w:tc>
        <w:tc>
          <w:tcPr>
            <w:tcW w:w="0" w:type="auto"/>
            <w:vMerge w:val="continue"/>
            <w:noWrap w:val="0"/>
            <w:vAlign w:val="center"/>
          </w:tcPr>
          <w:p>
            <w:pPr>
              <w:autoSpaceDN w:val="0"/>
              <w:jc w:val="center"/>
              <w:textAlignment w:val="center"/>
              <w:rPr>
                <w:rFonts w:hint="default" w:ascii="Times New Roman" w:hAnsi="Times New Roman" w:eastAsia="宋体" w:cs="Times New Roman"/>
                <w:color w:val="000000"/>
                <w:sz w:val="20"/>
                <w:szCs w:val="22"/>
              </w:rPr>
            </w:pPr>
          </w:p>
        </w:tc>
        <w:tc>
          <w:tcPr>
            <w:tcW w:w="0" w:type="auto"/>
            <w:vMerge w:val="continue"/>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exact"/>
          <w:jc w:val="center"/>
        </w:trPr>
        <w:tc>
          <w:tcPr>
            <w:tcW w:w="620" w:type="dxa"/>
            <w:noWrap w:val="0"/>
            <w:vAlign w:val="center"/>
          </w:tcPr>
          <w:p>
            <w:pPr>
              <w:spacing w:line="240" w:lineRule="auto"/>
              <w:jc w:val="center"/>
              <w:rPr>
                <w:rFonts w:hint="default" w:ascii="Times New Roman" w:hAnsi="Times New Roman" w:eastAsia="楷体" w:cs="Times New Roman"/>
                <w:kern w:val="0"/>
                <w:sz w:val="21"/>
                <w:szCs w:val="21"/>
                <w:lang w:val="en-US" w:eastAsia="zh-CN"/>
              </w:rPr>
            </w:pPr>
            <w:r>
              <w:rPr>
                <w:rFonts w:hint="eastAsia" w:eastAsia="楷体" w:cs="Times New Roman"/>
                <w:kern w:val="0"/>
                <w:sz w:val="21"/>
                <w:szCs w:val="21"/>
                <w:lang w:val="en-US" w:eastAsia="zh-CN"/>
              </w:rPr>
              <w:t>专项业务支出</w:t>
            </w:r>
          </w:p>
        </w:tc>
        <w:tc>
          <w:tcPr>
            <w:tcW w:w="1397" w:type="dxa"/>
            <w:noWrap w:val="0"/>
            <w:vAlign w:val="center"/>
          </w:tcPr>
          <w:p>
            <w:pPr>
              <w:spacing w:line="240" w:lineRule="auto"/>
              <w:jc w:val="center"/>
              <w:rPr>
                <w:rFonts w:hint="default" w:ascii="Times New Roman" w:hAnsi="Times New Roman" w:eastAsia="楷体" w:cs="Times New Roman"/>
                <w:kern w:val="0"/>
                <w:sz w:val="21"/>
                <w:szCs w:val="21"/>
              </w:rPr>
            </w:pPr>
            <w:r>
              <w:rPr>
                <w:rFonts w:hint="default" w:ascii="Times New Roman" w:hAnsi="Times New Roman" w:eastAsia="楷体" w:cs="Times New Roman"/>
                <w:kern w:val="0"/>
                <w:sz w:val="21"/>
                <w:szCs w:val="21"/>
              </w:rPr>
              <w:t>中共通榆县纪律检查委员会2024年行政运行经费</w:t>
            </w:r>
          </w:p>
        </w:tc>
        <w:tc>
          <w:tcPr>
            <w:tcW w:w="0" w:type="auto"/>
            <w:noWrap w:val="0"/>
            <w:vAlign w:val="center"/>
          </w:tcPr>
          <w:p>
            <w:pPr>
              <w:spacing w:line="240" w:lineRule="auto"/>
              <w:jc w:val="center"/>
              <w:rPr>
                <w:rFonts w:hint="default" w:ascii="Times New Roman" w:hAnsi="Times New Roman" w:eastAsia="楷体" w:cs="Times New Roman"/>
                <w:kern w:val="0"/>
                <w:sz w:val="21"/>
                <w:szCs w:val="21"/>
              </w:rPr>
            </w:pPr>
            <w:r>
              <w:rPr>
                <w:rFonts w:hint="default" w:ascii="Times New Roman" w:hAnsi="Times New Roman" w:eastAsia="楷体" w:cs="Times New Roman"/>
                <w:kern w:val="0"/>
                <w:sz w:val="21"/>
                <w:szCs w:val="21"/>
              </w:rPr>
              <w:t>中共通榆县纪律检查委员会2024年行政运行经费</w:t>
            </w:r>
          </w:p>
        </w:tc>
        <w:tc>
          <w:tcPr>
            <w:tcW w:w="856" w:type="dxa"/>
            <w:noWrap w:val="0"/>
            <w:vAlign w:val="center"/>
          </w:tcPr>
          <w:p>
            <w:pPr>
              <w:spacing w:line="240" w:lineRule="auto"/>
              <w:jc w:val="center"/>
              <w:rPr>
                <w:rFonts w:hint="default" w:ascii="Times New Roman" w:hAnsi="Times New Roman" w:eastAsia="楷体" w:cs="Times New Roman"/>
                <w:kern w:val="0"/>
                <w:sz w:val="21"/>
                <w:szCs w:val="21"/>
              </w:rPr>
            </w:pPr>
            <w:r>
              <w:rPr>
                <w:rFonts w:hint="default" w:ascii="Times New Roman" w:hAnsi="Times New Roman" w:eastAsia="楷体" w:cs="Times New Roman"/>
                <w:kern w:val="0"/>
                <w:sz w:val="21"/>
                <w:szCs w:val="21"/>
              </w:rPr>
              <w:t>中共通榆县纪律检查委员会</w:t>
            </w:r>
          </w:p>
        </w:tc>
        <w:tc>
          <w:tcPr>
            <w:tcW w:w="794" w:type="dxa"/>
            <w:noWrap w:val="0"/>
            <w:vAlign w:val="center"/>
          </w:tcPr>
          <w:p>
            <w:pPr>
              <w:spacing w:line="700" w:lineRule="exact"/>
              <w:jc w:val="center"/>
              <w:rPr>
                <w:rFonts w:hint="default" w:ascii="Times New Roman" w:hAnsi="Times New Roman" w:eastAsia="楷体" w:cs="Times New Roman"/>
                <w:kern w:val="0"/>
                <w:sz w:val="21"/>
                <w:szCs w:val="21"/>
                <w:lang w:val="en-US" w:eastAsia="zh-CN"/>
              </w:rPr>
            </w:pPr>
            <w:r>
              <w:rPr>
                <w:rFonts w:hint="eastAsia" w:eastAsia="楷体" w:cs="Times New Roman"/>
                <w:kern w:val="0"/>
                <w:sz w:val="21"/>
                <w:szCs w:val="21"/>
                <w:lang w:val="en-US" w:eastAsia="zh-CN"/>
              </w:rPr>
              <w:t>750</w:t>
            </w:r>
          </w:p>
        </w:tc>
        <w:tc>
          <w:tcPr>
            <w:tcW w:w="0" w:type="auto"/>
            <w:noWrap w:val="0"/>
            <w:vAlign w:val="center"/>
          </w:tcPr>
          <w:p>
            <w:pPr>
              <w:spacing w:line="700" w:lineRule="exact"/>
              <w:jc w:val="center"/>
              <w:rPr>
                <w:rFonts w:hint="default" w:ascii="Times New Roman" w:hAnsi="Times New Roman" w:eastAsia="楷体" w:cs="Times New Roman"/>
                <w:kern w:val="0"/>
                <w:sz w:val="21"/>
                <w:szCs w:val="21"/>
                <w:lang w:val="en-US" w:eastAsia="zh-CN"/>
              </w:rPr>
            </w:pPr>
            <w:r>
              <w:rPr>
                <w:rFonts w:hint="eastAsia" w:eastAsia="楷体" w:cs="Times New Roman"/>
                <w:kern w:val="0"/>
                <w:sz w:val="21"/>
                <w:szCs w:val="21"/>
                <w:lang w:val="en-US" w:eastAsia="zh-CN"/>
              </w:rPr>
              <w:t>750</w:t>
            </w: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9" w:hRule="exact"/>
          <w:jc w:val="center"/>
        </w:trPr>
        <w:tc>
          <w:tcPr>
            <w:tcW w:w="620" w:type="dxa"/>
            <w:noWrap w:val="0"/>
            <w:vAlign w:val="center"/>
          </w:tcPr>
          <w:p>
            <w:pPr>
              <w:spacing w:line="240" w:lineRule="auto"/>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专项业务支出</w:t>
            </w:r>
          </w:p>
        </w:tc>
        <w:tc>
          <w:tcPr>
            <w:tcW w:w="1397" w:type="dxa"/>
            <w:noWrap w:val="0"/>
            <w:vAlign w:val="center"/>
          </w:tcPr>
          <w:p>
            <w:pPr>
              <w:spacing w:line="240" w:lineRule="auto"/>
              <w:jc w:val="center"/>
              <w:rPr>
                <w:rFonts w:hint="default" w:eastAsia="楷体" w:cs="Times New Roman"/>
                <w:kern w:val="0"/>
                <w:sz w:val="21"/>
                <w:szCs w:val="21"/>
                <w:lang w:val="en-US" w:eastAsia="zh-CN"/>
              </w:rPr>
            </w:pPr>
            <w:r>
              <w:rPr>
                <w:rFonts w:hint="default" w:eastAsia="楷体" w:cs="Times New Roman"/>
                <w:kern w:val="0"/>
                <w:sz w:val="21"/>
                <w:szCs w:val="21"/>
                <w:lang w:val="en-US" w:eastAsia="zh-CN"/>
              </w:rPr>
              <w:t>县纪委2023年部门预算（调剂）</w:t>
            </w:r>
          </w:p>
        </w:tc>
        <w:tc>
          <w:tcPr>
            <w:tcW w:w="1397" w:type="dxa"/>
            <w:noWrap w:val="0"/>
            <w:vAlign w:val="center"/>
          </w:tcPr>
          <w:p>
            <w:pPr>
              <w:spacing w:line="240" w:lineRule="auto"/>
              <w:jc w:val="center"/>
              <w:rPr>
                <w:rFonts w:hint="default" w:eastAsia="楷体" w:cs="Times New Roman"/>
                <w:kern w:val="0"/>
                <w:sz w:val="21"/>
                <w:szCs w:val="21"/>
                <w:lang w:val="en-US" w:eastAsia="zh-CN"/>
              </w:rPr>
            </w:pPr>
            <w:r>
              <w:rPr>
                <w:rFonts w:hint="default" w:eastAsia="楷体" w:cs="Times New Roman"/>
                <w:kern w:val="0"/>
                <w:sz w:val="21"/>
                <w:szCs w:val="21"/>
                <w:lang w:val="en-US" w:eastAsia="zh-CN"/>
              </w:rPr>
              <w:t>县纪委2023年纪检监察内网实施安可替代工程资金费</w:t>
            </w:r>
          </w:p>
        </w:tc>
        <w:tc>
          <w:tcPr>
            <w:tcW w:w="856" w:type="dxa"/>
            <w:noWrap w:val="0"/>
            <w:vAlign w:val="center"/>
          </w:tcPr>
          <w:p>
            <w:pPr>
              <w:spacing w:line="240" w:lineRule="auto"/>
              <w:jc w:val="center"/>
              <w:rPr>
                <w:rFonts w:hint="default" w:eastAsia="楷体" w:cs="Times New Roman"/>
                <w:kern w:val="0"/>
                <w:sz w:val="21"/>
                <w:szCs w:val="21"/>
                <w:lang w:val="en-US" w:eastAsia="zh-CN"/>
              </w:rPr>
            </w:pPr>
            <w:r>
              <w:rPr>
                <w:rFonts w:hint="default" w:ascii="Times New Roman" w:hAnsi="Times New Roman" w:eastAsia="楷体" w:cs="Times New Roman"/>
                <w:kern w:val="0"/>
                <w:sz w:val="21"/>
                <w:szCs w:val="21"/>
              </w:rPr>
              <w:t>中共通榆县纪律检查委员会</w:t>
            </w:r>
          </w:p>
        </w:tc>
        <w:tc>
          <w:tcPr>
            <w:tcW w:w="794" w:type="dxa"/>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125.17</w:t>
            </w:r>
          </w:p>
        </w:tc>
        <w:tc>
          <w:tcPr>
            <w:tcW w:w="0" w:type="auto"/>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125.17</w:t>
            </w: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9" w:hRule="exact"/>
          <w:jc w:val="center"/>
        </w:trPr>
        <w:tc>
          <w:tcPr>
            <w:tcW w:w="620" w:type="dxa"/>
            <w:noWrap w:val="0"/>
            <w:vAlign w:val="center"/>
          </w:tcPr>
          <w:p>
            <w:pPr>
              <w:spacing w:line="240" w:lineRule="auto"/>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专项业务支出</w:t>
            </w:r>
          </w:p>
        </w:tc>
        <w:tc>
          <w:tcPr>
            <w:tcW w:w="1397" w:type="dxa"/>
            <w:noWrap w:val="0"/>
            <w:vAlign w:val="center"/>
          </w:tcPr>
          <w:p>
            <w:pPr>
              <w:spacing w:line="240" w:lineRule="auto"/>
              <w:jc w:val="center"/>
              <w:rPr>
                <w:rFonts w:hint="default" w:eastAsia="楷体" w:cs="Times New Roman"/>
                <w:kern w:val="0"/>
                <w:sz w:val="21"/>
                <w:szCs w:val="21"/>
                <w:lang w:val="en-US" w:eastAsia="zh-CN"/>
              </w:rPr>
            </w:pPr>
            <w:r>
              <w:rPr>
                <w:rFonts w:hint="default" w:eastAsia="楷体" w:cs="Times New Roman"/>
                <w:kern w:val="0"/>
                <w:sz w:val="21"/>
                <w:szCs w:val="21"/>
                <w:lang w:val="en-US" w:eastAsia="zh-CN"/>
              </w:rPr>
              <w:t>中共通榆县纪律检查委员会2024年驻村工作队生活补贴</w:t>
            </w:r>
          </w:p>
        </w:tc>
        <w:tc>
          <w:tcPr>
            <w:tcW w:w="1397" w:type="dxa"/>
            <w:noWrap w:val="0"/>
            <w:vAlign w:val="center"/>
          </w:tcPr>
          <w:p>
            <w:pPr>
              <w:spacing w:line="240" w:lineRule="auto"/>
              <w:jc w:val="center"/>
              <w:rPr>
                <w:rFonts w:hint="default" w:eastAsia="楷体" w:cs="Times New Roman"/>
                <w:kern w:val="0"/>
                <w:sz w:val="21"/>
                <w:szCs w:val="21"/>
                <w:lang w:val="en-US" w:eastAsia="zh-CN"/>
              </w:rPr>
            </w:pPr>
            <w:r>
              <w:rPr>
                <w:rFonts w:hint="default" w:eastAsia="楷体" w:cs="Times New Roman"/>
                <w:kern w:val="0"/>
                <w:sz w:val="21"/>
                <w:szCs w:val="21"/>
                <w:lang w:val="en-US" w:eastAsia="zh-CN"/>
              </w:rPr>
              <w:t>中共通榆县纪律检查委员会2024年驻村生活补贴</w:t>
            </w:r>
          </w:p>
        </w:tc>
        <w:tc>
          <w:tcPr>
            <w:tcW w:w="856" w:type="dxa"/>
            <w:noWrap w:val="0"/>
            <w:vAlign w:val="center"/>
          </w:tcPr>
          <w:p>
            <w:pPr>
              <w:spacing w:line="240" w:lineRule="auto"/>
              <w:jc w:val="center"/>
              <w:rPr>
                <w:rFonts w:hint="default" w:eastAsia="楷体" w:cs="Times New Roman"/>
                <w:kern w:val="0"/>
                <w:sz w:val="21"/>
                <w:szCs w:val="21"/>
                <w:lang w:val="en-US" w:eastAsia="zh-CN"/>
              </w:rPr>
            </w:pPr>
            <w:r>
              <w:rPr>
                <w:rFonts w:hint="default" w:ascii="Times New Roman" w:hAnsi="Times New Roman" w:eastAsia="楷体" w:cs="Times New Roman"/>
                <w:kern w:val="0"/>
                <w:sz w:val="21"/>
                <w:szCs w:val="21"/>
              </w:rPr>
              <w:t>中共通榆县纪律检查委员会</w:t>
            </w:r>
          </w:p>
        </w:tc>
        <w:tc>
          <w:tcPr>
            <w:tcW w:w="794" w:type="dxa"/>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10.8</w:t>
            </w:r>
          </w:p>
        </w:tc>
        <w:tc>
          <w:tcPr>
            <w:tcW w:w="0" w:type="auto"/>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10.8</w:t>
            </w: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c>
          <w:tcPr>
            <w:tcW w:w="0" w:type="auto"/>
            <w:noWrap w:val="0"/>
            <w:vAlign w:val="center"/>
          </w:tcPr>
          <w:p>
            <w:pPr>
              <w:spacing w:line="700" w:lineRule="exact"/>
              <w:jc w:val="center"/>
              <w:rPr>
                <w:rFonts w:hint="default" w:ascii="Times New Roman" w:hAnsi="Times New Roman" w:eastAsia="楷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jc w:val="center"/>
        </w:trPr>
        <w:tc>
          <w:tcPr>
            <w:tcW w:w="620" w:type="dxa"/>
            <w:noWrap w:val="0"/>
            <w:vAlign w:val="center"/>
          </w:tcPr>
          <w:p>
            <w:pPr>
              <w:autoSpaceDN w:val="0"/>
              <w:jc w:val="center"/>
              <w:textAlignment w:val="center"/>
              <w:rPr>
                <w:rFonts w:hint="default" w:ascii="Times New Roman" w:hAnsi="Times New Roman" w:eastAsia="华文细黑" w:cs="Times New Roman"/>
                <w:color w:val="000000"/>
                <w:sz w:val="20"/>
                <w:szCs w:val="22"/>
              </w:rPr>
            </w:pPr>
            <w:r>
              <w:rPr>
                <w:rFonts w:hint="default" w:ascii="Times New Roman" w:hAnsi="Times New Roman" w:eastAsia="华文细黑" w:cs="Times New Roman"/>
                <w:color w:val="000000"/>
                <w:sz w:val="20"/>
                <w:szCs w:val="22"/>
              </w:rPr>
              <w:t>合计</w:t>
            </w:r>
          </w:p>
        </w:tc>
        <w:tc>
          <w:tcPr>
            <w:tcW w:w="1397" w:type="dxa"/>
            <w:noWrap w:val="0"/>
            <w:vAlign w:val="center"/>
          </w:tcPr>
          <w:p>
            <w:pPr>
              <w:autoSpaceDN w:val="0"/>
              <w:jc w:val="center"/>
              <w:textAlignment w:val="center"/>
              <w:rPr>
                <w:rFonts w:hint="default" w:ascii="Times New Roman" w:hAnsi="Times New Roman" w:eastAsia="华文细黑" w:cs="Times New Roman"/>
                <w:color w:val="000000"/>
                <w:sz w:val="20"/>
                <w:szCs w:val="2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856" w:type="dxa"/>
            <w:noWrap w:val="0"/>
            <w:vAlign w:val="center"/>
          </w:tcPr>
          <w:p>
            <w:pPr>
              <w:spacing w:line="700" w:lineRule="exact"/>
              <w:jc w:val="center"/>
              <w:rPr>
                <w:rFonts w:hint="default" w:ascii="Times New Roman" w:hAnsi="Times New Roman" w:eastAsia="楷体" w:cs="Times New Roman"/>
                <w:kern w:val="0"/>
                <w:szCs w:val="32"/>
              </w:rPr>
            </w:pPr>
          </w:p>
        </w:tc>
        <w:tc>
          <w:tcPr>
            <w:tcW w:w="794" w:type="dxa"/>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885.97</w:t>
            </w:r>
          </w:p>
        </w:tc>
        <w:tc>
          <w:tcPr>
            <w:tcW w:w="0" w:type="auto"/>
            <w:noWrap w:val="0"/>
            <w:vAlign w:val="center"/>
          </w:tcPr>
          <w:p>
            <w:pPr>
              <w:spacing w:line="700" w:lineRule="exact"/>
              <w:jc w:val="center"/>
              <w:rPr>
                <w:rFonts w:hint="default" w:eastAsia="楷体" w:cs="Times New Roman"/>
                <w:kern w:val="0"/>
                <w:sz w:val="21"/>
                <w:szCs w:val="21"/>
                <w:lang w:val="en-US" w:eastAsia="zh-CN"/>
              </w:rPr>
            </w:pPr>
            <w:r>
              <w:rPr>
                <w:rFonts w:hint="eastAsia" w:eastAsia="楷体" w:cs="Times New Roman"/>
                <w:kern w:val="0"/>
                <w:sz w:val="21"/>
                <w:szCs w:val="21"/>
                <w:lang w:val="en-US" w:eastAsia="zh-CN"/>
              </w:rPr>
              <w:t>885.97</w:t>
            </w:r>
          </w:p>
        </w:tc>
        <w:tc>
          <w:tcPr>
            <w:tcW w:w="0" w:type="auto"/>
            <w:noWrap w:val="0"/>
            <w:vAlign w:val="center"/>
          </w:tcPr>
          <w:p>
            <w:pPr>
              <w:spacing w:line="700" w:lineRule="exact"/>
              <w:jc w:val="center"/>
              <w:rPr>
                <w:rFonts w:hint="default" w:eastAsia="楷体" w:cs="Times New Roman"/>
                <w:kern w:val="0"/>
                <w:sz w:val="21"/>
                <w:szCs w:val="21"/>
                <w:lang w:val="en-US" w:eastAsia="zh-CN"/>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c>
          <w:tcPr>
            <w:tcW w:w="0" w:type="auto"/>
            <w:noWrap w:val="0"/>
            <w:vAlign w:val="center"/>
          </w:tcPr>
          <w:p>
            <w:pPr>
              <w:spacing w:line="700" w:lineRule="exact"/>
              <w:jc w:val="center"/>
              <w:rPr>
                <w:rFonts w:hint="default" w:ascii="Times New Roman" w:hAnsi="Times New Roman" w:eastAsia="楷体" w:cs="Times New Roman"/>
                <w:kern w:val="0"/>
                <w:szCs w:val="32"/>
              </w:rPr>
            </w:pP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default" w:ascii="Times New Roman" w:hAnsi="Times New Roman" w:eastAsia="黑体" w:cs="Times New Roman"/>
                <w:color w:val="000000"/>
                <w:szCs w:val="32"/>
              </w:rPr>
            </w:pPr>
            <w:r>
              <w:rPr>
                <w:rFonts w:hint="default" w:ascii="Times New Roman" w:hAnsi="Times New Roman" w:eastAsia="方正小标宋简体" w:cs="Times New Roman"/>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lang w:val="en-US" w:eastAsia="zh-CN"/>
              </w:rPr>
              <w:t>中共通榆县纪律检查委员会2024年驻村生活补贴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eastAsia" w:eastAsia="宋体" w:cs="Times New Roman"/>
                <w:color w:val="000000"/>
                <w:sz w:val="20"/>
                <w:lang w:val="en-US" w:eastAsia="zh-CN"/>
              </w:rPr>
              <w:t>一</w:t>
            </w:r>
            <w:r>
              <w:rPr>
                <w:rFonts w:hint="default" w:ascii="Times New Roman" w:hAnsi="Times New Roman" w:eastAsia="宋体" w:cs="Times New Roman"/>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项目资金</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年度绩效</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根据《关于明确驻村干部工作有关问题的通知要求》，通榆县纪委选派驻村第一书记一人，工作队员两人开展乡村振兴工作；保证驻村工作队生活补贴的发放工作。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驻村人数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迎检合格率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驻村干部生活补贴标准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=100元/天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驻村生活补贴发放及时率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党风廉政建设普及率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≥99%</w:t>
            </w:r>
          </w:p>
        </w:tc>
      </w:tr>
    </w:tbl>
    <w:p>
      <w:pPr>
        <w:spacing w:line="700" w:lineRule="exact"/>
        <w:rPr>
          <w:rFonts w:hint="default" w:ascii="Times New Roman" w:hAnsi="Times New Roman" w:eastAsia="楷体" w:cs="Times New Roman"/>
          <w:kern w:val="0"/>
          <w:szCs w:val="32"/>
        </w:rPr>
      </w:pPr>
      <w:r>
        <w:rPr>
          <w:rFonts w:hint="default" w:ascii="Times New Roman" w:hAnsi="Times New Roman" w:eastAsia="楷体" w:cs="Times New Roman"/>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default" w:ascii="Times New Roman" w:hAnsi="Times New Roman" w:eastAsia="黑体" w:cs="Times New Roman"/>
                <w:color w:val="000000"/>
                <w:szCs w:val="32"/>
              </w:rPr>
            </w:pPr>
            <w:r>
              <w:rPr>
                <w:rFonts w:hint="default" w:ascii="Times New Roman" w:hAnsi="Times New Roman" w:eastAsia="方正小标宋简体" w:cs="Times New Roman"/>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lang w:val="en-US" w:eastAsia="zh-CN"/>
              </w:rPr>
              <w:t>中共通榆县纪律检查委员会2024年行政运行经费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eastAsia" w:eastAsia="宋体" w:cs="Times New Roman"/>
                <w:color w:val="000000"/>
                <w:sz w:val="20"/>
                <w:lang w:val="en-US" w:eastAsia="zh-CN"/>
              </w:rPr>
              <w:t>一</w:t>
            </w:r>
            <w:r>
              <w:rPr>
                <w:rFonts w:hint="default" w:ascii="Times New Roman" w:hAnsi="Times New Roman" w:eastAsia="宋体" w:cs="Times New Roman"/>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项目资金</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750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750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0"/>
              </w:rPr>
              <w:t>年度绩效</w:t>
            </w:r>
          </w:p>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left"/>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1.中共通榆县纪律检查委员会承担全县纪检监察工作、党风廉政建设工作及反腐败相关工作，该项目资金保证大案要案经费支出、办公设备购置等工作，保障案件查办、纪检监察机关正常运行。</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问题线索处置数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≤100件/年</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问题线索立案率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≤65%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案件办理平均成本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≤10000元/件</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案件查办时限</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党风廉政建设普及率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rPr>
            </w:pPr>
            <w:r>
              <w:rPr>
                <w:rFonts w:hint="default" w:ascii="Times New Roman" w:hAnsi="Times New Roman" w:eastAsia="宋体" w:cs="Times New Roman"/>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sz w:val="20"/>
                <w:lang w:val="en-US" w:eastAsia="zh-CN"/>
              </w:rPr>
            </w:pPr>
            <w:r>
              <w:rPr>
                <w:rFonts w:hint="eastAsia" w:eastAsia="宋体" w:cs="Times New Roman"/>
                <w:color w:val="000000"/>
                <w:sz w:val="20"/>
                <w:lang w:val="en-US" w:eastAsia="zh-CN"/>
              </w:rPr>
              <w:t>≥99%</w:t>
            </w:r>
          </w:p>
        </w:tc>
      </w:tr>
    </w:tbl>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spacing w:line="700" w:lineRule="exact"/>
        <w:ind w:firstLine="640" w:firstLineChars="200"/>
        <w:rPr>
          <w:rFonts w:hint="default" w:ascii="Times New Roman" w:hAnsi="Times New Roman" w:eastAsia="楷体" w:cs="Times New Roman"/>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2263.31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2138.14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125.17</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852.99</w:t>
      </w:r>
      <w:r>
        <w:rPr>
          <w:rFonts w:hint="eastAsia" w:ascii="仿宋_GB2312" w:hAnsi="仿宋_GB2312" w:eastAsia="仿宋_GB2312" w:cs="仿宋_GB2312"/>
          <w:szCs w:val="32"/>
        </w:rPr>
        <w:t>万元，主要原因是</w:t>
      </w:r>
      <w:r>
        <w:rPr>
          <w:rFonts w:hint="eastAsia" w:cs="Times New Roman"/>
          <w:szCs w:val="32"/>
          <w:lang w:val="en-US" w:eastAsia="zh-CN"/>
        </w:rPr>
        <w:t>工作人员增加，办案经费增多，大案要案经费增多</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2263.31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2138.14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94.47</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125.17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5.53</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2138.14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万元。上年结转中，一般公共预算拨款结转</w:t>
      </w:r>
      <w:r>
        <w:rPr>
          <w:rFonts w:hint="eastAsia" w:ascii="仿宋_GB2312" w:hAnsi="仿宋_GB2312" w:cs="仿宋_GB2312"/>
          <w:szCs w:val="32"/>
          <w:lang w:val="en-US" w:eastAsia="zh-CN"/>
        </w:rPr>
        <w:t>125.17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万元；财政专户管理资金结转结余_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2263.31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1377.34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60.86</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885.97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39.14</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2263.31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2138.14</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125.17</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1961.44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154.28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55.03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92.56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2263.31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1377.34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60.86</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885.97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39.14</w:t>
      </w:r>
      <w:r>
        <w:rPr>
          <w:rFonts w:hint="eastAsia" w:ascii="仿宋_GB2312" w:hAnsi="仿宋_GB2312" w:eastAsia="仿宋_GB2312" w:cs="仿宋_GB2312"/>
          <w:szCs w:val="32"/>
        </w:rPr>
        <w:t>%。基本支出中，人员经费</w:t>
      </w:r>
      <w:r>
        <w:rPr>
          <w:rFonts w:hint="eastAsia" w:ascii="仿宋_GB2312" w:hAnsi="仿宋_GB2312" w:eastAsia="仿宋_GB2312" w:cs="仿宋_GB2312"/>
          <w:szCs w:val="32"/>
          <w:lang w:val="en-US" w:eastAsia="zh-CN"/>
        </w:rPr>
        <w:t>1135.48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82.4</w:t>
      </w:r>
      <w:r>
        <w:rPr>
          <w:rFonts w:hint="eastAsia" w:ascii="仿宋_GB2312" w:hAnsi="仿宋_GB2312" w:eastAsia="仿宋_GB2312" w:cs="仿宋_GB2312"/>
          <w:szCs w:val="32"/>
        </w:rPr>
        <w:t>%；公用经费</w:t>
      </w:r>
      <w:r>
        <w:rPr>
          <w:rFonts w:hint="eastAsia" w:ascii="仿宋_GB2312" w:hAnsi="仿宋_GB2312" w:eastAsia="仿宋_GB2312" w:cs="仿宋_GB2312"/>
          <w:szCs w:val="32"/>
          <w:lang w:val="en-US" w:eastAsia="zh-CN"/>
        </w:rPr>
        <w:t>241.86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17.6</w:t>
      </w:r>
      <w:r>
        <w:rPr>
          <w:rFonts w:hint="eastAsia" w:ascii="仿宋_GB2312" w:hAnsi="仿宋_GB2312" w:eastAsia="仿宋_GB2312" w:cs="仿宋_GB2312"/>
          <w:szCs w:val="32"/>
        </w:rPr>
        <w:t>%。</w:t>
      </w:r>
    </w:p>
    <w:p>
      <w:pPr>
        <w:spacing w:line="520" w:lineRule="exact"/>
        <w:ind w:firstLine="640" w:firstLineChars="200"/>
        <w:rPr>
          <w:rFonts w:hint="default" w:ascii="Times New Roman" w:hAnsi="Times New Roman" w:eastAsia="仿宋_GB2312" w:cs="Times New Roman"/>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1075.47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78.1</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行政事业单位工作</w:t>
      </w:r>
      <w:r>
        <w:rPr>
          <w:rFonts w:hint="eastAsia" w:cs="Times New Roman"/>
          <w:szCs w:val="32"/>
          <w:lang w:val="en-US" w:eastAsia="zh-CN"/>
        </w:rPr>
        <w:t>人员工资、机构运行经费及纪检监察事务方面的项目支出</w:t>
      </w:r>
      <w:r>
        <w:rPr>
          <w:rFonts w:hint="default" w:ascii="Times New Roman" w:hAnsi="Times New Roman" w:eastAsia="仿宋_GB2312" w:cs="Times New Roman"/>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154.28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11.2</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行政事业</w:t>
      </w:r>
      <w:r>
        <w:rPr>
          <w:rFonts w:hint="default" w:ascii="Times New Roman" w:hAnsi="Times New Roman" w:eastAsia="仿宋_GB2312" w:cs="Times New Roman"/>
          <w:szCs w:val="32"/>
        </w:rPr>
        <w:t>单位人员基本养老保险等支出</w:t>
      </w:r>
      <w:r>
        <w:rPr>
          <w:rFonts w:hint="eastAsia" w:ascii="仿宋_GB2312" w:hAnsi="仿宋_GB2312" w:eastAsia="仿宋_GB2312" w:cs="仿宋_GB2312"/>
          <w:szCs w:val="32"/>
        </w:rPr>
        <w:t>。</w:t>
      </w:r>
    </w:p>
    <w:p>
      <w:pPr>
        <w:spacing w:line="520" w:lineRule="exact"/>
        <w:ind w:firstLine="640" w:firstLineChars="200"/>
        <w:rPr>
          <w:rFonts w:hint="eastAsia" w:cs="Times New Roman"/>
          <w:szCs w:val="32"/>
          <w:lang w:eastAsia="zh-CN"/>
        </w:rPr>
      </w:pPr>
      <w:r>
        <w:rPr>
          <w:rFonts w:hint="eastAsia" w:cs="Times New Roman"/>
          <w:szCs w:val="32"/>
          <w:lang w:val="en-US" w:eastAsia="zh-CN"/>
        </w:rPr>
        <w:t>卫生健康</w:t>
      </w:r>
      <w:r>
        <w:rPr>
          <w:rFonts w:hint="default" w:ascii="Times New Roman" w:hAnsi="Times New Roman" w:eastAsia="仿宋_GB2312" w:cs="Times New Roman"/>
          <w:szCs w:val="32"/>
        </w:rPr>
        <w:t>（类）支出</w:t>
      </w:r>
      <w:r>
        <w:rPr>
          <w:rFonts w:hint="eastAsia" w:cs="Times New Roman"/>
          <w:kern w:val="0"/>
          <w:szCs w:val="32"/>
          <w:lang w:val="en-US" w:eastAsia="zh-CN"/>
        </w:rPr>
        <w:t>55.03</w:t>
      </w:r>
      <w:r>
        <w:rPr>
          <w:rFonts w:hint="default" w:ascii="Times New Roman" w:hAnsi="Times New Roman" w:eastAsia="仿宋_GB2312" w:cs="Times New Roman"/>
          <w:szCs w:val="32"/>
        </w:rPr>
        <w:t>万元，占</w:t>
      </w:r>
      <w:r>
        <w:rPr>
          <w:rFonts w:hint="eastAsia" w:cs="Times New Roman"/>
          <w:szCs w:val="32"/>
          <w:lang w:val="en-US" w:eastAsia="zh-CN"/>
        </w:rPr>
        <w:t>4</w:t>
      </w:r>
      <w:r>
        <w:rPr>
          <w:rFonts w:hint="default" w:ascii="Times New Roman" w:hAnsi="Times New Roman" w:eastAsia="仿宋_GB2312" w:cs="Times New Roman"/>
          <w:szCs w:val="32"/>
        </w:rPr>
        <w:t>%，主要用于单位人员医疗保险等支出</w:t>
      </w:r>
      <w:r>
        <w:rPr>
          <w:rFonts w:hint="eastAsia" w:cs="Times New Roman"/>
          <w:szCs w:val="32"/>
          <w:lang w:eastAsia="zh-CN"/>
        </w:rPr>
        <w:t>。</w:t>
      </w:r>
    </w:p>
    <w:p>
      <w:pPr>
        <w:spacing w:line="520" w:lineRule="exact"/>
        <w:ind w:firstLine="640" w:firstLineChars="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92.56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6.7</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行政事业</w:t>
      </w:r>
      <w:r>
        <w:rPr>
          <w:rFonts w:hint="default" w:ascii="Times New Roman" w:hAnsi="Times New Roman" w:eastAsia="仿宋_GB2312" w:cs="Times New Roman"/>
          <w:szCs w:val="32"/>
        </w:rPr>
        <w:t>单位人员住房公积金支出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1377.34</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1135.48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241.86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default" w:ascii="Times New Roman" w:hAnsi="Times New Roman" w:eastAsia="仿宋_GB2312" w:cs="Times New Roman"/>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年“三公”经费预算数为</w:t>
      </w:r>
      <w:r>
        <w:rPr>
          <w:rFonts w:hint="eastAsia" w:cs="Times New Roman"/>
          <w:szCs w:val="32"/>
          <w:lang w:val="en-US" w:eastAsia="zh-CN"/>
        </w:rPr>
        <w:t>99</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w:t>
      </w:r>
      <w:r>
        <w:rPr>
          <w:rFonts w:hint="default" w:ascii="Times New Roman" w:hAnsi="Times New Roman" w:eastAsia="仿宋_GB2312" w:cs="Times New Roman"/>
          <w:szCs w:val="32"/>
          <w:lang w:val="en-US" w:eastAsia="zh-CN"/>
        </w:rPr>
        <w:t>:</w:t>
      </w:r>
      <w:r>
        <w:rPr>
          <w:rFonts w:hint="default" w:ascii="Times New Roman" w:hAnsi="Times New Roman" w:eastAsia="仿宋_GB2312" w:cs="Times New Roman"/>
          <w:szCs w:val="32"/>
          <w:lang w:eastAsia="zh-CN"/>
        </w:rPr>
        <w:t>当年预算</w:t>
      </w:r>
      <w:r>
        <w:rPr>
          <w:rFonts w:hint="eastAsia" w:cs="Times New Roman"/>
          <w:szCs w:val="32"/>
          <w:lang w:val="en-US" w:eastAsia="zh-CN"/>
        </w:rPr>
        <w:t>99</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0</w:t>
      </w:r>
      <w:r>
        <w:rPr>
          <w:rFonts w:hint="default" w:ascii="Times New Roman" w:hAnsi="Times New Roman" w:eastAsia="仿宋_GB2312" w:cs="Times New Roman"/>
          <w:szCs w:val="32"/>
          <w:lang w:eastAsia="zh-CN"/>
        </w:rPr>
        <w:t>万元。</w:t>
      </w:r>
      <w:r>
        <w:rPr>
          <w:rFonts w:hint="default" w:ascii="Times New Roman" w:hAnsi="Times New Roman" w:cs="Times New Roman"/>
          <w:szCs w:val="32"/>
          <w:lang w:val="en-US" w:eastAsia="zh-CN"/>
        </w:rPr>
        <w:t>2024</w:t>
      </w:r>
      <w:r>
        <w:rPr>
          <w:rFonts w:hint="default" w:ascii="Times New Roman" w:hAnsi="Times New Roman" w:eastAsia="仿宋_GB2312" w:cs="Times New Roman"/>
          <w:szCs w:val="32"/>
          <w:lang w:val="en-US" w:eastAsia="zh-CN"/>
        </w:rPr>
        <w:t>年当年预算数</w:t>
      </w:r>
      <w:r>
        <w:rPr>
          <w:rFonts w:hint="default" w:ascii="Times New Roman" w:hAnsi="Times New Roman" w:eastAsia="仿宋_GB2312" w:cs="Times New Roman"/>
          <w:szCs w:val="32"/>
        </w:rPr>
        <w:t>比</w:t>
      </w:r>
      <w:r>
        <w:rPr>
          <w:rFonts w:hint="default" w:ascii="Times New Roman" w:hAnsi="Times New Roman" w:cs="Times New Roman"/>
          <w:szCs w:val="32"/>
          <w:lang w:eastAsia="zh-CN"/>
        </w:rPr>
        <w:t>202</w:t>
      </w:r>
      <w:r>
        <w:rPr>
          <w:rFonts w:hint="eastAsia" w:cs="Times New Roman"/>
          <w:szCs w:val="32"/>
          <w:lang w:val="en-US" w:eastAsia="zh-CN"/>
        </w:rPr>
        <w:t>3</w:t>
      </w:r>
      <w:r>
        <w:rPr>
          <w:rFonts w:hint="default" w:ascii="Times New Roman" w:hAnsi="Times New Roman" w:eastAsia="仿宋_GB2312" w:cs="Times New Roman"/>
          <w:szCs w:val="32"/>
        </w:rPr>
        <w:t>年预算数减少</w:t>
      </w:r>
      <w:r>
        <w:rPr>
          <w:rFonts w:hint="eastAsia" w:cs="Times New Roman"/>
          <w:szCs w:val="32"/>
          <w:lang w:val="en-US" w:eastAsia="zh-CN"/>
        </w:rPr>
        <w:t>8</w:t>
      </w:r>
      <w:r>
        <w:rPr>
          <w:rFonts w:hint="default" w:ascii="Times New Roman" w:hAnsi="Times New Roman" w:eastAsia="仿宋_GB2312" w:cs="Times New Roman"/>
          <w:szCs w:val="32"/>
        </w:rPr>
        <w:t>万元。其中：</w:t>
      </w:r>
    </w:p>
    <w:p>
      <w:pPr>
        <w:ind w:firstLine="640" w:firstLineChars="200"/>
        <w:jc w:val="both"/>
        <w:rPr>
          <w:rFonts w:hint="default" w:ascii="Times New Roman" w:hAnsi="Times New Roman" w:eastAsia="仿宋_GB2312" w:cs="Times New Roman"/>
          <w:szCs w:val="32"/>
          <w:lang w:val="en-US" w:eastAsia="zh-CN"/>
        </w:rPr>
      </w:pPr>
      <w:r>
        <w:rPr>
          <w:rFonts w:hint="default" w:ascii="Times New Roman" w:hAnsi="Times New Roman" w:eastAsia="仿宋_GB2312" w:cs="Times New Roman"/>
          <w:szCs w:val="32"/>
        </w:rPr>
        <w:t>1.因公出国（境）费</w:t>
      </w:r>
      <w:r>
        <w:rPr>
          <w:rFonts w:hint="eastAsia" w:cs="Times New Roman"/>
          <w:szCs w:val="32"/>
          <w:lang w:val="en-US" w:eastAsia="zh-CN"/>
        </w:rPr>
        <w:t>0</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w:t>
      </w:r>
    </w:p>
    <w:p>
      <w:pPr>
        <w:ind w:firstLine="640" w:firstLineChars="200"/>
        <w:rPr>
          <w:rFonts w:hint="default" w:ascii="Times New Roman" w:hAnsi="Times New Roman" w:eastAsia="仿宋_GB2312" w:cs="Times New Roman"/>
          <w:szCs w:val="32"/>
          <w:lang w:eastAsia="zh-CN"/>
        </w:rPr>
      </w:pPr>
      <w:r>
        <w:rPr>
          <w:rFonts w:hint="default" w:ascii="Times New Roman" w:hAnsi="Times New Roman" w:eastAsia="仿宋_GB2312" w:cs="Times New Roman"/>
          <w:szCs w:val="32"/>
        </w:rPr>
        <w:t>2.公务接待费</w:t>
      </w:r>
      <w:r>
        <w:rPr>
          <w:rFonts w:hint="eastAsia" w:cs="Times New Roman"/>
          <w:szCs w:val="32"/>
          <w:lang w:val="en-US" w:eastAsia="zh-CN"/>
        </w:rPr>
        <w:t>7</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其中：当年预算</w:t>
      </w:r>
      <w:r>
        <w:rPr>
          <w:rFonts w:hint="eastAsia" w:cs="Times New Roman"/>
          <w:szCs w:val="32"/>
          <w:lang w:val="en-US" w:eastAsia="zh-CN"/>
        </w:rPr>
        <w:t>7</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0</w:t>
      </w:r>
      <w:r>
        <w:rPr>
          <w:rFonts w:hint="default" w:ascii="Times New Roman" w:hAnsi="Times New Roman" w:eastAsia="仿宋_GB2312" w:cs="Times New Roman"/>
          <w:szCs w:val="32"/>
          <w:lang w:eastAsia="zh-CN"/>
        </w:rPr>
        <w:t>万元。</w:t>
      </w:r>
      <w:r>
        <w:rPr>
          <w:rFonts w:hint="default" w:ascii="Times New Roman" w:hAnsi="Times New Roman" w:cs="Times New Roman"/>
          <w:szCs w:val="32"/>
          <w:lang w:val="en-US" w:eastAsia="zh-CN"/>
        </w:rPr>
        <w:t>2024</w:t>
      </w:r>
      <w:r>
        <w:rPr>
          <w:rFonts w:hint="default" w:ascii="Times New Roman" w:hAnsi="Times New Roman" w:eastAsia="仿宋_GB2312" w:cs="Times New Roman"/>
          <w:szCs w:val="32"/>
          <w:lang w:val="en-US" w:eastAsia="zh-CN"/>
        </w:rPr>
        <w:t>年当年预算数</w:t>
      </w:r>
      <w:r>
        <w:rPr>
          <w:rFonts w:hint="default" w:ascii="Times New Roman" w:hAnsi="Times New Roman" w:eastAsia="仿宋_GB2312" w:cs="Times New Roman"/>
          <w:szCs w:val="32"/>
        </w:rPr>
        <w:t>比</w:t>
      </w:r>
      <w:r>
        <w:rPr>
          <w:rFonts w:hint="default" w:ascii="Times New Roman" w:hAnsi="Times New Roman" w:cs="Times New Roman"/>
          <w:szCs w:val="32"/>
          <w:lang w:eastAsia="zh-CN"/>
        </w:rPr>
        <w:t>202</w:t>
      </w:r>
      <w:r>
        <w:rPr>
          <w:rFonts w:hint="eastAsia" w:cs="Times New Roman"/>
          <w:szCs w:val="32"/>
          <w:lang w:val="en-US" w:eastAsia="zh-CN"/>
        </w:rPr>
        <w:t>3</w:t>
      </w:r>
      <w:r>
        <w:rPr>
          <w:rFonts w:hint="default" w:ascii="Times New Roman" w:hAnsi="Times New Roman" w:eastAsia="仿宋_GB2312" w:cs="Times New Roman"/>
          <w:szCs w:val="32"/>
        </w:rPr>
        <w:t>年预算数</w:t>
      </w:r>
      <w:r>
        <w:rPr>
          <w:rFonts w:hint="eastAsia" w:cs="Times New Roman"/>
          <w:szCs w:val="32"/>
          <w:lang w:val="en-US" w:eastAsia="zh-CN"/>
        </w:rPr>
        <w:t>增加5</w:t>
      </w:r>
      <w:r>
        <w:rPr>
          <w:rFonts w:hint="default" w:ascii="Times New Roman" w:hAnsi="Times New Roman" w:eastAsia="仿宋_GB2312" w:cs="Times New Roman"/>
          <w:szCs w:val="32"/>
        </w:rPr>
        <w:t>万元，主要原因是</w:t>
      </w:r>
      <w:r>
        <w:rPr>
          <w:rFonts w:hint="eastAsia" w:cs="Times New Roman"/>
          <w:szCs w:val="32"/>
          <w:lang w:val="en-US" w:eastAsia="zh-CN"/>
        </w:rPr>
        <w:t>按照2023年终决算数确定预算2024年接待费</w:t>
      </w:r>
      <w:r>
        <w:rPr>
          <w:rFonts w:hint="default" w:ascii="Times New Roman" w:hAnsi="Times New Roman" w:eastAsia="仿宋_GB2312" w:cs="Times New Roman"/>
          <w:szCs w:val="32"/>
          <w:lang w:eastAsia="zh-CN"/>
        </w:rPr>
        <w:t>。</w:t>
      </w:r>
    </w:p>
    <w:p>
      <w:pPr>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Cs w:val="32"/>
        </w:rPr>
        <w:t>3.公务用车购置及运行费</w:t>
      </w:r>
      <w:r>
        <w:rPr>
          <w:rFonts w:hint="eastAsia" w:cs="Times New Roman"/>
          <w:szCs w:val="32"/>
          <w:lang w:val="en-US" w:eastAsia="zh-CN"/>
        </w:rPr>
        <w:t>92</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其中：当年预算</w:t>
      </w:r>
      <w:r>
        <w:rPr>
          <w:rFonts w:hint="eastAsia" w:cs="Times New Roman"/>
          <w:szCs w:val="32"/>
          <w:lang w:val="en-US" w:eastAsia="zh-CN"/>
        </w:rPr>
        <w:t>92</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0</w:t>
      </w:r>
      <w:r>
        <w:rPr>
          <w:rFonts w:hint="default" w:ascii="Times New Roman" w:hAnsi="Times New Roman" w:eastAsia="仿宋_GB2312" w:cs="Times New Roman"/>
          <w:szCs w:val="32"/>
          <w:lang w:eastAsia="zh-CN"/>
        </w:rPr>
        <w:t>万元。</w:t>
      </w:r>
      <w:r>
        <w:rPr>
          <w:rFonts w:hint="default" w:ascii="Times New Roman" w:hAnsi="Times New Roman" w:cs="Times New Roman"/>
          <w:szCs w:val="32"/>
          <w:lang w:val="en-US" w:eastAsia="zh-CN"/>
        </w:rPr>
        <w:t>2024</w:t>
      </w:r>
      <w:r>
        <w:rPr>
          <w:rFonts w:hint="default" w:ascii="Times New Roman" w:hAnsi="Times New Roman" w:eastAsia="仿宋_GB2312" w:cs="Times New Roman"/>
          <w:szCs w:val="32"/>
          <w:lang w:val="en-US" w:eastAsia="zh-CN"/>
        </w:rPr>
        <w:t>年当年预算数</w:t>
      </w:r>
      <w:r>
        <w:rPr>
          <w:rFonts w:hint="default" w:ascii="Times New Roman" w:hAnsi="Times New Roman" w:eastAsia="仿宋_GB2312" w:cs="Times New Roman"/>
          <w:szCs w:val="32"/>
        </w:rPr>
        <w:t>比</w:t>
      </w:r>
      <w:r>
        <w:rPr>
          <w:rFonts w:hint="default" w:ascii="Times New Roman" w:hAnsi="Times New Roman" w:cs="Times New Roman"/>
          <w:szCs w:val="32"/>
          <w:lang w:eastAsia="zh-CN"/>
        </w:rPr>
        <w:t>202</w:t>
      </w:r>
      <w:r>
        <w:rPr>
          <w:rFonts w:hint="eastAsia" w:cs="Times New Roman"/>
          <w:szCs w:val="32"/>
          <w:lang w:val="en-US" w:eastAsia="zh-CN"/>
        </w:rPr>
        <w:t>3</w:t>
      </w:r>
      <w:r>
        <w:rPr>
          <w:rFonts w:hint="default" w:ascii="Times New Roman" w:hAnsi="Times New Roman" w:eastAsia="仿宋_GB2312" w:cs="Times New Roman"/>
          <w:szCs w:val="32"/>
        </w:rPr>
        <w:t>年预算数增加</w:t>
      </w:r>
      <w:r>
        <w:rPr>
          <w:rFonts w:hint="eastAsia" w:cs="Times New Roman"/>
          <w:szCs w:val="32"/>
          <w:lang w:val="en-US" w:eastAsia="zh-CN"/>
        </w:rPr>
        <w:t>32</w:t>
      </w:r>
      <w:r>
        <w:rPr>
          <w:rFonts w:hint="default" w:ascii="Times New Roman" w:hAnsi="Times New Roman" w:eastAsia="仿宋_GB2312" w:cs="Times New Roman"/>
          <w:szCs w:val="32"/>
        </w:rPr>
        <w:t>万元。公务用车运行维护费</w:t>
      </w:r>
      <w:r>
        <w:rPr>
          <w:rFonts w:hint="eastAsia" w:cs="Times New Roman"/>
          <w:szCs w:val="32"/>
          <w:lang w:val="en-US" w:eastAsia="zh-CN"/>
        </w:rPr>
        <w:t>92</w:t>
      </w:r>
      <w:r>
        <w:rPr>
          <w:rFonts w:hint="default" w:ascii="Times New Roman" w:hAnsi="Times New Roman" w:eastAsia="仿宋_GB2312" w:cs="Times New Roman"/>
          <w:szCs w:val="32"/>
        </w:rPr>
        <w:t>万元，</w:t>
      </w:r>
      <w:r>
        <w:rPr>
          <w:rFonts w:hint="default" w:ascii="Times New Roman" w:hAnsi="Times New Roman" w:eastAsia="仿宋_GB2312" w:cs="Times New Roman"/>
          <w:szCs w:val="32"/>
          <w:lang w:eastAsia="zh-CN"/>
        </w:rPr>
        <w:t>其中：当年预算</w:t>
      </w:r>
      <w:r>
        <w:rPr>
          <w:rFonts w:hint="eastAsia" w:cs="Times New Roman"/>
          <w:szCs w:val="32"/>
          <w:lang w:val="en-US" w:eastAsia="zh-CN"/>
        </w:rPr>
        <w:t>92</w:t>
      </w:r>
      <w:r>
        <w:rPr>
          <w:rFonts w:hint="default" w:ascii="Times New Roman" w:hAnsi="Times New Roman" w:eastAsia="仿宋_GB2312" w:cs="Times New Roman"/>
          <w:szCs w:val="32"/>
          <w:lang w:eastAsia="zh-CN"/>
        </w:rPr>
        <w:t>万元；上年结转</w:t>
      </w:r>
      <w:r>
        <w:rPr>
          <w:rFonts w:hint="eastAsia" w:cs="Times New Roman"/>
          <w:szCs w:val="32"/>
          <w:lang w:val="en-US" w:eastAsia="zh-CN"/>
        </w:rPr>
        <w:t>92</w:t>
      </w:r>
      <w:r>
        <w:rPr>
          <w:rFonts w:hint="default" w:ascii="Times New Roman" w:hAnsi="Times New Roman" w:eastAsia="仿宋_GB2312" w:cs="Times New Roman"/>
          <w:szCs w:val="32"/>
          <w:lang w:eastAsia="zh-CN"/>
        </w:rPr>
        <w:t>万元。</w:t>
      </w:r>
      <w:r>
        <w:rPr>
          <w:rFonts w:hint="default" w:ascii="Times New Roman" w:hAnsi="Times New Roman" w:cs="Times New Roman"/>
          <w:szCs w:val="32"/>
          <w:lang w:val="en-US" w:eastAsia="zh-CN"/>
        </w:rPr>
        <w:t>2024</w:t>
      </w:r>
      <w:r>
        <w:rPr>
          <w:rFonts w:hint="default" w:ascii="Times New Roman" w:hAnsi="Times New Roman" w:eastAsia="仿宋_GB2312" w:cs="Times New Roman"/>
          <w:szCs w:val="32"/>
          <w:lang w:val="en-US" w:eastAsia="zh-CN"/>
        </w:rPr>
        <w:t>年当年预算数</w:t>
      </w:r>
      <w:r>
        <w:rPr>
          <w:rFonts w:hint="default" w:ascii="Times New Roman" w:hAnsi="Times New Roman" w:eastAsia="仿宋_GB2312" w:cs="Times New Roman"/>
          <w:szCs w:val="32"/>
        </w:rPr>
        <w:t>比</w:t>
      </w:r>
      <w:r>
        <w:rPr>
          <w:rFonts w:hint="default" w:ascii="Times New Roman" w:hAnsi="Times New Roman" w:cs="Times New Roman"/>
          <w:szCs w:val="32"/>
          <w:lang w:eastAsia="zh-CN"/>
        </w:rPr>
        <w:t>202</w:t>
      </w:r>
      <w:r>
        <w:rPr>
          <w:rFonts w:hint="eastAsia" w:cs="Times New Roman"/>
          <w:szCs w:val="32"/>
          <w:lang w:val="en-US" w:eastAsia="zh-CN"/>
        </w:rPr>
        <w:t>3</w:t>
      </w:r>
      <w:r>
        <w:rPr>
          <w:rFonts w:hint="default" w:ascii="Times New Roman" w:hAnsi="Times New Roman" w:eastAsia="仿宋_GB2312" w:cs="Times New Roman"/>
          <w:szCs w:val="32"/>
        </w:rPr>
        <w:t>年预算数减少</w:t>
      </w:r>
      <w:r>
        <w:rPr>
          <w:rFonts w:hint="eastAsia" w:cs="Times New Roman"/>
          <w:szCs w:val="32"/>
          <w:lang w:val="en-US" w:eastAsia="zh-CN"/>
        </w:rPr>
        <w:t>8</w:t>
      </w:r>
      <w:r>
        <w:rPr>
          <w:rFonts w:hint="default" w:ascii="Times New Roman" w:hAnsi="Times New Roman" w:eastAsia="仿宋_GB2312" w:cs="Times New Roman"/>
          <w:szCs w:val="32"/>
        </w:rPr>
        <w:t>万元，主要原因是</w:t>
      </w:r>
      <w:r>
        <w:rPr>
          <w:rFonts w:hint="eastAsia" w:cs="Times New Roman"/>
          <w:szCs w:val="32"/>
          <w:lang w:val="en-US" w:eastAsia="zh-CN"/>
        </w:rPr>
        <w:t>按照2023年终决算数确定预算2024年公务用车运行维护费</w:t>
      </w:r>
      <w:r>
        <w:rPr>
          <w:rFonts w:hint="default" w:ascii="Times New Roman" w:hAnsi="Times New Roman" w:eastAsia="仿宋_GB2312" w:cs="Times New Roman"/>
          <w:szCs w:val="32"/>
        </w:rPr>
        <w:t>；公务用车购置费</w:t>
      </w:r>
      <w:r>
        <w:rPr>
          <w:rFonts w:hint="eastAsia" w:cs="Times New Roman"/>
          <w:szCs w:val="32"/>
          <w:lang w:val="en-US" w:eastAsia="zh-CN"/>
        </w:rPr>
        <w:t>0</w:t>
      </w:r>
      <w:r>
        <w:rPr>
          <w:rFonts w:hint="default" w:ascii="Times New Roman" w:hAnsi="Times New Roman" w:eastAsia="仿宋_GB2312" w:cs="Times New Roman"/>
          <w:szCs w:val="32"/>
        </w:rPr>
        <w:t>万元。</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中共通榆县纪律检查委员会廉政教育中心1</w:t>
      </w:r>
      <w:r>
        <w:rPr>
          <w:rFonts w:hint="eastAsia" w:ascii="仿宋_GB2312" w:hAnsi="仿宋_GB2312" w:eastAsia="仿宋_GB2312" w:cs="仿宋_GB2312"/>
          <w:szCs w:val="32"/>
        </w:rPr>
        <w:t>家行政单位以及</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家事业单位的机关运行经费财政拨款预算</w:t>
      </w:r>
      <w:r>
        <w:rPr>
          <w:rFonts w:hint="eastAsia" w:ascii="仿宋_GB2312" w:hAnsi="仿宋_GB2312" w:cs="仿宋_GB2312"/>
          <w:szCs w:val="32"/>
          <w:lang w:val="en-US" w:eastAsia="zh-CN"/>
        </w:rPr>
        <w:t>241.86</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default" w:ascii="Times New Roman" w:hAnsi="Times New Roman" w:cs="Times New Roman"/>
          <w:szCs w:val="32"/>
          <w:lang w:eastAsia="zh-CN"/>
        </w:rPr>
        <w:t>2024</w:t>
      </w:r>
      <w:r>
        <w:rPr>
          <w:rFonts w:hint="default" w:ascii="Times New Roman" w:hAnsi="Times New Roman" w:eastAsia="仿宋_GB2312" w:cs="Times New Roman"/>
          <w:szCs w:val="32"/>
        </w:rPr>
        <w:t>年政府采购预算总额</w:t>
      </w:r>
      <w:r>
        <w:rPr>
          <w:rFonts w:hint="eastAsia" w:cs="Times New Roman"/>
          <w:szCs w:val="32"/>
          <w:lang w:val="en-US" w:eastAsia="zh-CN"/>
        </w:rPr>
        <w:t>125.17</w:t>
      </w:r>
      <w:r>
        <w:rPr>
          <w:rFonts w:hint="default" w:ascii="Times New Roman" w:hAnsi="Times New Roman" w:eastAsia="仿宋_GB2312" w:cs="Times New Roman"/>
          <w:szCs w:val="32"/>
        </w:rPr>
        <w:t>万元，其中：政府采购货物预算</w:t>
      </w:r>
      <w:r>
        <w:rPr>
          <w:rFonts w:hint="eastAsia" w:cs="Times New Roman"/>
          <w:szCs w:val="32"/>
          <w:lang w:val="en-US" w:eastAsia="zh-CN"/>
        </w:rPr>
        <w:t>125.17</w:t>
      </w:r>
      <w:r>
        <w:rPr>
          <w:rFonts w:hint="default" w:ascii="Times New Roman" w:hAnsi="Times New Roman" w:eastAsia="仿宋_GB2312" w:cs="Times New Roman"/>
          <w:szCs w:val="32"/>
        </w:rPr>
        <w:t>万元、政府采购工程预算</w:t>
      </w:r>
      <w:r>
        <w:rPr>
          <w:rFonts w:hint="eastAsia" w:cs="Times New Roman"/>
          <w:szCs w:val="32"/>
          <w:lang w:val="en-US" w:eastAsia="zh-CN"/>
        </w:rPr>
        <w:t>0</w:t>
      </w:r>
      <w:r>
        <w:rPr>
          <w:rFonts w:hint="default" w:ascii="Times New Roman" w:hAnsi="Times New Roman" w:eastAsia="仿宋_GB2312" w:cs="Times New Roman"/>
          <w:szCs w:val="32"/>
        </w:rPr>
        <w:t>万元、政府采购服务预算</w:t>
      </w:r>
      <w:r>
        <w:rPr>
          <w:rFonts w:hint="eastAsia" w:cs="Times New Roman"/>
          <w:szCs w:val="32"/>
          <w:lang w:val="en-US" w:eastAsia="zh-CN"/>
        </w:rPr>
        <w:t>0</w:t>
      </w:r>
      <w:r>
        <w:rPr>
          <w:rFonts w:hint="default" w:ascii="Times New Roman" w:hAnsi="Times New Roman" w:eastAsia="仿宋_GB2312" w:cs="Times New Roman"/>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8</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121.6</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default" w:ascii="Times New Roman" w:hAnsi="Times New Roman" w:eastAsia="仿宋_GB2312" w:cs="Times New Roman"/>
          <w:highlight w:val="none"/>
        </w:rPr>
      </w:pPr>
      <w:r>
        <w:rPr>
          <w:rFonts w:hint="default" w:ascii="Times New Roman" w:hAnsi="Times New Roman" w:cs="Times New Roman"/>
          <w:highlight w:val="none"/>
          <w:lang w:eastAsia="zh-CN"/>
        </w:rPr>
        <w:t>2024</w:t>
      </w:r>
      <w:r>
        <w:rPr>
          <w:rFonts w:hint="default" w:ascii="Times New Roman" w:hAnsi="Times New Roman" w:eastAsia="仿宋_GB2312" w:cs="Times New Roman"/>
          <w:highlight w:val="none"/>
        </w:rPr>
        <w:t>年部门项目支出</w:t>
      </w:r>
      <w:r>
        <w:rPr>
          <w:rFonts w:hint="default" w:ascii="Times New Roman" w:hAnsi="Times New Roman" w:eastAsia="仿宋_GB2312" w:cs="Times New Roman"/>
          <w:highlight w:val="none"/>
          <w:lang w:val="en-US" w:eastAsia="zh-CN"/>
        </w:rPr>
        <w:t>885.97</w:t>
      </w:r>
      <w:r>
        <w:rPr>
          <w:rFonts w:hint="default" w:ascii="Times New Roman" w:hAnsi="Times New Roman" w:eastAsia="仿宋_GB2312" w:cs="Times New Roman"/>
          <w:szCs w:val="32"/>
          <w:highlight w:val="none"/>
        </w:rPr>
        <w:t>万元，其中：一级项目</w:t>
      </w:r>
      <w:r>
        <w:rPr>
          <w:rFonts w:hint="eastAsia" w:cs="Times New Roman"/>
          <w:szCs w:val="32"/>
          <w:highlight w:val="none"/>
          <w:lang w:val="en-US" w:eastAsia="zh-CN"/>
        </w:rPr>
        <w:t>3</w:t>
      </w:r>
      <w:r>
        <w:rPr>
          <w:rFonts w:hint="default" w:ascii="Times New Roman" w:hAnsi="Times New Roman" w:eastAsia="仿宋_GB2312" w:cs="Times New Roman"/>
          <w:szCs w:val="32"/>
          <w:highlight w:val="none"/>
        </w:rPr>
        <w:t>个，二级项目</w:t>
      </w:r>
      <w:r>
        <w:rPr>
          <w:rFonts w:hint="eastAsia" w:cs="Times New Roman"/>
          <w:szCs w:val="32"/>
          <w:highlight w:val="none"/>
          <w:lang w:val="en-US" w:eastAsia="zh-CN"/>
        </w:rPr>
        <w:t>3</w:t>
      </w:r>
      <w:r>
        <w:rPr>
          <w:rFonts w:hint="default" w:ascii="Times New Roman" w:hAnsi="Times New Roman" w:eastAsia="仿宋_GB2312" w:cs="Times New Roman"/>
          <w:szCs w:val="32"/>
          <w:highlight w:val="none"/>
        </w:rPr>
        <w:t>个；使用本年拨款</w:t>
      </w:r>
      <w:r>
        <w:rPr>
          <w:rFonts w:hint="eastAsia" w:cs="Times New Roman"/>
          <w:szCs w:val="32"/>
          <w:highlight w:val="none"/>
          <w:lang w:val="en-US" w:eastAsia="zh-CN"/>
        </w:rPr>
        <w:t>760.8</w:t>
      </w:r>
      <w:r>
        <w:rPr>
          <w:rFonts w:hint="default" w:ascii="Times New Roman" w:hAnsi="Times New Roman" w:eastAsia="仿宋_GB2312" w:cs="Times New Roman"/>
          <w:szCs w:val="32"/>
          <w:highlight w:val="none"/>
        </w:rPr>
        <w:t>万元，财政拨款结转</w:t>
      </w:r>
      <w:r>
        <w:rPr>
          <w:rFonts w:hint="eastAsia" w:cs="Times New Roman"/>
          <w:szCs w:val="32"/>
          <w:highlight w:val="none"/>
          <w:lang w:val="en-US" w:eastAsia="zh-CN"/>
        </w:rPr>
        <w:t>125.17</w:t>
      </w:r>
      <w:r>
        <w:rPr>
          <w:rFonts w:hint="default" w:ascii="Times New Roman" w:hAnsi="Times New Roman" w:eastAsia="仿宋_GB2312" w:cs="Times New Roman"/>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default" w:ascii="Times New Roman" w:hAnsi="Times New Roman" w:eastAsia="仿宋_GB2312" w:cs="Times New Roman"/>
        </w:rPr>
        <w:t>按照全面实施预算绩效管理的要求，结合本部门职能和重点工作，</w:t>
      </w:r>
      <w:r>
        <w:rPr>
          <w:rFonts w:hint="default" w:ascii="Times New Roman" w:hAnsi="Times New Roman" w:cs="Times New Roman"/>
          <w:lang w:eastAsia="zh-CN"/>
        </w:rPr>
        <w:t>2024</w:t>
      </w:r>
      <w:r>
        <w:rPr>
          <w:rFonts w:hint="default" w:ascii="Times New Roman" w:hAnsi="Times New Roman" w:eastAsia="仿宋_GB2312" w:cs="Times New Roman"/>
        </w:rPr>
        <w:t>年确定</w:t>
      </w:r>
      <w:r>
        <w:rPr>
          <w:rFonts w:hint="eastAsia" w:cs="Times New Roman"/>
          <w:szCs w:val="32"/>
          <w:lang w:val="en-US" w:eastAsia="zh-CN"/>
        </w:rPr>
        <w:t>2</w:t>
      </w:r>
      <w:r>
        <w:rPr>
          <w:rFonts w:hint="default" w:ascii="Times New Roman" w:hAnsi="Times New Roman" w:eastAsia="仿宋_GB2312" w:cs="Times New Roman"/>
        </w:rPr>
        <w:t>个一级项目支出的绩效目标和指标向社会公开，涉及金额</w:t>
      </w:r>
      <w:r>
        <w:rPr>
          <w:rFonts w:hint="eastAsia" w:cs="Times New Roman"/>
          <w:szCs w:val="32"/>
          <w:lang w:val="en-US" w:eastAsia="zh-CN"/>
        </w:rPr>
        <w:t>760.8</w:t>
      </w:r>
      <w:r>
        <w:rPr>
          <w:rFonts w:hint="default" w:ascii="Times New Roman" w:hAnsi="Times New Roman" w:eastAsia="仿宋_GB2312" w:cs="Times New Roman"/>
        </w:rPr>
        <w:t>万元。</w:t>
      </w: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3NGYxYzY0ZGI0M2M0MjcyYWJlYzkzMWZhY2I1ODg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0573D0"/>
    <w:rsid w:val="0C2A5C84"/>
    <w:rsid w:val="0DA001B0"/>
    <w:rsid w:val="0DB6446C"/>
    <w:rsid w:val="0DEB170B"/>
    <w:rsid w:val="0E4C7841"/>
    <w:rsid w:val="0F3E0406"/>
    <w:rsid w:val="0F8B592F"/>
    <w:rsid w:val="0FD62F63"/>
    <w:rsid w:val="107728C7"/>
    <w:rsid w:val="10AE7F82"/>
    <w:rsid w:val="10C93B35"/>
    <w:rsid w:val="11177619"/>
    <w:rsid w:val="112605C8"/>
    <w:rsid w:val="12E711B7"/>
    <w:rsid w:val="1329717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3C124C"/>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940F3C"/>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E283F22"/>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9D1747D"/>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심 장</cp:lastModifiedBy>
  <cp:lastPrinted>2022-02-21T08:08:00Z</cp:lastPrinted>
  <dcterms:modified xsi:type="dcterms:W3CDTF">2024-01-30T07:40:41Z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