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val="en-US" w:eastAsia="zh-CN"/>
        </w:rPr>
        <w:t>中共通榆县直属机关工作委员会</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20" w:firstLineChars="200"/>
        <w:rPr>
          <w:rFonts w:ascii="仿宋" w:hAnsi="仿宋" w:eastAsia="仿宋" w:cs="仿宋"/>
          <w:b w:val="0"/>
          <w:bCs w:val="0"/>
          <w:color w:val="auto"/>
          <w:sz w:val="31"/>
          <w:szCs w:val="31"/>
        </w:rPr>
      </w:pPr>
      <w:r>
        <w:rPr>
          <w:rFonts w:ascii="仿宋" w:hAnsi="仿宋" w:eastAsia="仿宋" w:cs="仿宋"/>
          <w:b w:val="0"/>
          <w:bCs w:val="0"/>
          <w:color w:val="auto"/>
          <w:sz w:val="31"/>
          <w:szCs w:val="31"/>
        </w:rPr>
        <w:t>中共通榆县直属机关工作委员会有行政编制 8 名，工勤编 制 1 名。领导职数为书记 1 人，副书记 1 人。</w:t>
      </w:r>
    </w:p>
    <w:p>
      <w:pPr>
        <w:numPr>
          <w:ilvl w:val="0"/>
          <w:numId w:val="1"/>
        </w:numPr>
        <w:ind w:firstLine="620" w:firstLineChars="200"/>
        <w:rPr>
          <w:rFonts w:ascii="仿宋" w:hAnsi="仿宋" w:eastAsia="仿宋" w:cs="仿宋"/>
          <w:b w:val="0"/>
          <w:bCs w:val="0"/>
          <w:color w:val="000000"/>
          <w:sz w:val="31"/>
          <w:szCs w:val="31"/>
        </w:rPr>
      </w:pPr>
      <w:r>
        <w:rPr>
          <w:rFonts w:ascii="仿宋" w:hAnsi="仿宋" w:eastAsia="仿宋" w:cs="仿宋"/>
          <w:b w:val="0"/>
          <w:bCs w:val="0"/>
          <w:color w:val="000000"/>
          <w:sz w:val="31"/>
          <w:szCs w:val="31"/>
        </w:rPr>
        <w:t>组织党员干部认真学习、宣传和贯彻党的路线、方 针和政策，确保党的路线、方针和政策的贯彻执行。</w:t>
      </w:r>
    </w:p>
    <w:p>
      <w:pPr>
        <w:numPr>
          <w:ilvl w:val="0"/>
          <w:numId w:val="1"/>
        </w:numPr>
        <w:ind w:left="0" w:leftChars="0" w:firstLine="620" w:firstLineChars="200"/>
        <w:rPr>
          <w:rFonts w:ascii="仿宋" w:hAnsi="仿宋" w:eastAsia="仿宋" w:cs="仿宋"/>
          <w:b w:val="0"/>
          <w:bCs w:val="0"/>
          <w:color w:val="000000"/>
          <w:sz w:val="31"/>
          <w:szCs w:val="31"/>
        </w:rPr>
      </w:pPr>
      <w:r>
        <w:rPr>
          <w:rFonts w:ascii="仿宋" w:hAnsi="仿宋" w:eastAsia="仿宋" w:cs="仿宋"/>
          <w:b w:val="0"/>
          <w:bCs w:val="0"/>
          <w:color w:val="000000"/>
          <w:sz w:val="31"/>
          <w:szCs w:val="31"/>
        </w:rPr>
        <w:t>加强对县直机关党员特别是党员领导干部的监督， 使之按时参加组织生活。</w:t>
      </w:r>
    </w:p>
    <w:p>
      <w:pPr>
        <w:numPr>
          <w:ilvl w:val="0"/>
          <w:numId w:val="1"/>
        </w:numPr>
        <w:ind w:left="0" w:leftChars="0" w:firstLine="620" w:firstLineChars="200"/>
        <w:rPr>
          <w:rFonts w:ascii="仿宋" w:hAnsi="仿宋" w:eastAsia="仿宋" w:cs="仿宋"/>
          <w:b w:val="0"/>
          <w:bCs w:val="0"/>
          <w:color w:val="000000"/>
          <w:sz w:val="31"/>
          <w:szCs w:val="31"/>
        </w:rPr>
      </w:pPr>
      <w:r>
        <w:rPr>
          <w:rFonts w:ascii="仿宋" w:hAnsi="仿宋" w:eastAsia="仿宋" w:cs="仿宋"/>
          <w:b w:val="0"/>
          <w:bCs w:val="0"/>
          <w:color w:val="000000"/>
          <w:sz w:val="31"/>
          <w:szCs w:val="31"/>
        </w:rPr>
        <w:t>加强对党员的管理教育，提高党员的队伍素质，充 分发挥党员的先锋模范作用。</w:t>
      </w:r>
    </w:p>
    <w:p>
      <w:pPr>
        <w:numPr>
          <w:ilvl w:val="0"/>
          <w:numId w:val="1"/>
        </w:numPr>
        <w:ind w:left="0" w:leftChars="0" w:firstLine="620" w:firstLineChars="200"/>
        <w:rPr>
          <w:rFonts w:ascii="仿宋" w:hAnsi="仿宋" w:eastAsia="仿宋" w:cs="仿宋"/>
          <w:b w:val="0"/>
          <w:bCs w:val="0"/>
          <w:color w:val="000000"/>
          <w:sz w:val="31"/>
          <w:szCs w:val="31"/>
        </w:rPr>
      </w:pPr>
      <w:r>
        <w:rPr>
          <w:rFonts w:ascii="仿宋" w:hAnsi="仿宋" w:eastAsia="仿宋" w:cs="仿宋"/>
          <w:b w:val="0"/>
          <w:bCs w:val="0"/>
          <w:color w:val="000000"/>
          <w:sz w:val="31"/>
          <w:szCs w:val="31"/>
        </w:rPr>
        <w:t>抓好机关的思想作风整顿，特别注重抓好后进支部 的思想作风建设，广泛深入地开展机关的思想政治工作，大力 加强机关的精神文明建设。</w:t>
      </w:r>
    </w:p>
    <w:p>
      <w:pPr>
        <w:numPr>
          <w:ilvl w:val="0"/>
          <w:numId w:val="1"/>
        </w:numPr>
        <w:ind w:left="0" w:leftChars="0" w:firstLine="620" w:firstLineChars="200"/>
        <w:rPr>
          <w:rFonts w:ascii="仿宋" w:hAnsi="仿宋" w:eastAsia="仿宋" w:cs="仿宋"/>
          <w:b w:val="0"/>
          <w:bCs w:val="0"/>
          <w:color w:val="000000"/>
          <w:sz w:val="31"/>
          <w:szCs w:val="31"/>
        </w:rPr>
      </w:pPr>
      <w:r>
        <w:rPr>
          <w:rFonts w:ascii="仿宋" w:hAnsi="仿宋" w:eastAsia="仿宋" w:cs="仿宋"/>
          <w:b w:val="0"/>
          <w:bCs w:val="0"/>
          <w:color w:val="000000"/>
          <w:sz w:val="31"/>
          <w:szCs w:val="31"/>
        </w:rPr>
        <w:t>建立健全机关党建工作的各项制度，加强对机关组 织生活的检查和监督，逐步使机关党建工作走向科学化、制度 化、规范化。</w:t>
      </w:r>
    </w:p>
    <w:p>
      <w:pPr>
        <w:numPr>
          <w:ilvl w:val="0"/>
          <w:numId w:val="1"/>
        </w:numPr>
        <w:ind w:left="0" w:leftChars="0" w:firstLine="620" w:firstLineChars="200"/>
        <w:rPr>
          <w:rFonts w:ascii="仿宋" w:hAnsi="仿宋" w:eastAsia="仿宋" w:cs="仿宋"/>
          <w:b w:val="0"/>
          <w:bCs w:val="0"/>
          <w:color w:val="000000"/>
          <w:sz w:val="31"/>
          <w:szCs w:val="31"/>
        </w:rPr>
      </w:pPr>
      <w:r>
        <w:rPr>
          <w:rFonts w:ascii="仿宋" w:hAnsi="仿宋" w:eastAsia="仿宋" w:cs="仿宋"/>
          <w:b w:val="0"/>
          <w:bCs w:val="0"/>
          <w:color w:val="000000"/>
          <w:sz w:val="31"/>
          <w:szCs w:val="31"/>
        </w:rPr>
        <w:t>按新时期发展党员方针，做好发展新党员工作。</w:t>
      </w:r>
    </w:p>
    <w:p>
      <w:pPr>
        <w:numPr>
          <w:ilvl w:val="0"/>
          <w:numId w:val="1"/>
        </w:numPr>
        <w:ind w:left="0" w:leftChars="0" w:firstLine="620" w:firstLineChars="200"/>
        <w:rPr>
          <w:rFonts w:ascii="仿宋" w:hAnsi="仿宋" w:eastAsia="仿宋" w:cs="仿宋"/>
          <w:b w:val="0"/>
          <w:bCs w:val="0"/>
          <w:color w:val="000000"/>
          <w:sz w:val="31"/>
          <w:szCs w:val="31"/>
        </w:rPr>
      </w:pPr>
      <w:r>
        <w:rPr>
          <w:rFonts w:ascii="仿宋" w:hAnsi="仿宋" w:eastAsia="仿宋" w:cs="仿宋"/>
          <w:b w:val="0"/>
          <w:bCs w:val="0"/>
          <w:color w:val="000000"/>
          <w:sz w:val="31"/>
          <w:szCs w:val="31"/>
        </w:rPr>
        <w:t>加强专兼职党委干部的管理，充分发挥他们在机关 党建工作中的作用。</w:t>
      </w:r>
    </w:p>
    <w:p>
      <w:pPr>
        <w:numPr>
          <w:ilvl w:val="0"/>
          <w:numId w:val="0"/>
        </w:numPr>
        <w:ind w:firstLine="620" w:firstLineChars="200"/>
        <w:rPr>
          <w:rFonts w:hint="eastAsia" w:ascii="仿宋_GB2312" w:hAnsi="仿宋_GB2312" w:eastAsia="仿宋_GB2312" w:cs="仿宋_GB2312"/>
          <w:color w:val="000000"/>
          <w:sz w:val="21"/>
          <w:szCs w:val="21"/>
        </w:rPr>
      </w:pPr>
      <w:r>
        <w:rPr>
          <w:rFonts w:ascii="仿宋" w:hAnsi="仿宋" w:eastAsia="仿宋" w:cs="仿宋"/>
          <w:b w:val="0"/>
          <w:bCs w:val="0"/>
          <w:color w:val="000000"/>
          <w:sz w:val="31"/>
          <w:szCs w:val="31"/>
        </w:rPr>
        <w:t>（八）完成县委交办的其它各项工作任务。</w:t>
      </w:r>
      <w:r>
        <w:rPr>
          <w:rFonts w:hint="eastAsia" w:ascii="仿宋_GB2312" w:hAnsi="仿宋_GB2312" w:eastAsia="仿宋_GB2312" w:cs="仿宋_GB2312"/>
          <w:color w:val="000000"/>
          <w:szCs w:val="32"/>
        </w:rPr>
        <w:t>（按照部门“三定”方案表述）</w:t>
      </w:r>
    </w:p>
    <w:p>
      <w:pPr>
        <w:ind w:firstLine="640" w:firstLineChars="200"/>
      </w:pPr>
      <w:r>
        <w:rPr>
          <w:rFonts w:eastAsia="楷体_GB2312"/>
        </w:rPr>
        <w:t>二、机构设置</w:t>
      </w:r>
    </w:p>
    <w:p>
      <w:pPr>
        <w:pStyle w:val="51"/>
        <w:ind w:firstLine="620" w:firstLineChars="200"/>
        <w:rPr>
          <w:rFonts w:eastAsia="楷体"/>
        </w:rPr>
      </w:pPr>
      <w:r>
        <w:rPr>
          <w:rFonts w:ascii="仿宋" w:hAnsi="仿宋" w:eastAsia="仿宋" w:cs="仿宋"/>
          <w:b w:val="0"/>
          <w:bCs w:val="0"/>
          <w:color w:val="000000"/>
          <w:sz w:val="31"/>
          <w:szCs w:val="31"/>
        </w:rPr>
        <w:t>根据上述职责，中共通榆县直属机关工作委员会无内设机构。</w:t>
      </w: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支        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lang w:eastAsia="zh-CN"/>
              </w:rPr>
              <w:t>2024</w:t>
            </w:r>
            <w:r>
              <w:rPr>
                <w:rFonts w:hint="eastAsia" w:ascii="宋体" w:hAnsi="宋体" w:eastAsia="宋体" w:cs="宋体"/>
                <w:kern w:val="0"/>
                <w:sz w:val="20"/>
                <w:szCs w:val="20"/>
              </w:rPr>
              <w:t>年预算数</w:t>
            </w:r>
          </w:p>
        </w:tc>
        <w:tc>
          <w:tcPr>
            <w:tcW w:w="1073"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lang w:eastAsia="zh-CN"/>
              </w:rPr>
              <w:t>2024</w:t>
            </w:r>
            <w:r>
              <w:rPr>
                <w:rFonts w:hint="eastAsia" w:ascii="宋体" w:hAnsi="宋体" w:eastAsia="宋体" w:cs="宋体"/>
                <w:kern w:val="0"/>
                <w:sz w:val="20"/>
                <w:szCs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当年预算</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一、财政拨款收入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106.46 </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106.46 </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ascii="宋体" w:hAnsi="宋体" w:eastAsia="宋体" w:cs="宋体"/>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000000"/>
                <w:kern w:val="0"/>
                <w:sz w:val="20"/>
                <w:szCs w:val="20"/>
              </w:rPr>
            </w:pPr>
            <w:r>
              <w:rPr>
                <w:rFonts w:hint="eastAsia" w:ascii="宋体" w:hAnsi="宋体" w:eastAsia="宋体" w:cs="宋体"/>
                <w:b w:val="0"/>
                <w:bCs/>
                <w:color w:val="000000"/>
                <w:kern w:val="0"/>
                <w:sz w:val="20"/>
                <w:szCs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87.76 </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87.76 </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一般公共预算拨款收入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106.46 </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106.46 </w:t>
            </w:r>
          </w:p>
        </w:tc>
        <w:tc>
          <w:tcPr>
            <w:tcW w:w="1200" w:type="dxa"/>
            <w:tcBorders>
              <w:top w:val="nil"/>
              <w:left w:val="single" w:color="auto" w:sz="4" w:space="0"/>
              <w:bottom w:val="single" w:color="auto" w:sz="4" w:space="0"/>
              <w:right w:val="nil"/>
            </w:tcBorders>
            <w:noWrap w:val="0"/>
            <w:vAlign w:val="center"/>
          </w:tcPr>
          <w:p>
            <w:pPr>
              <w:jc w:val="center"/>
              <w:rPr>
                <w:rFonts w:hint="eastAsia" w:ascii="宋体" w:hAnsi="宋体" w:eastAsia="宋体" w:cs="宋体"/>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b w:val="0"/>
                <w:bCs/>
                <w:color w:val="000000"/>
                <w:kern w:val="0"/>
                <w:sz w:val="20"/>
                <w:szCs w:val="20"/>
              </w:rPr>
            </w:pPr>
            <w:r>
              <w:rPr>
                <w:rFonts w:hint="eastAsia" w:ascii="宋体" w:hAnsi="宋体" w:eastAsia="宋体" w:cs="宋体"/>
                <w:b w:val="0"/>
                <w:bCs/>
                <w:color w:val="000000"/>
                <w:sz w:val="20"/>
                <w:szCs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kern w:val="0"/>
                <w:sz w:val="20"/>
                <w:szCs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ascii="宋体" w:hAnsi="宋体" w:eastAsia="宋体" w:cs="宋体"/>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b w:val="0"/>
                <w:bCs/>
                <w:color w:val="000000"/>
                <w:kern w:val="0"/>
                <w:sz w:val="20"/>
                <w:szCs w:val="20"/>
              </w:rPr>
            </w:pPr>
            <w:r>
              <w:rPr>
                <w:rFonts w:hint="eastAsia" w:ascii="宋体" w:hAnsi="宋体" w:eastAsia="宋体" w:cs="宋体"/>
                <w:b w:val="0"/>
                <w:bCs/>
                <w:color w:val="000000"/>
                <w:kern w:val="0"/>
                <w:sz w:val="20"/>
                <w:szCs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kern w:val="0"/>
                <w:sz w:val="20"/>
                <w:szCs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ascii="宋体" w:hAnsi="宋体" w:eastAsia="宋体" w:cs="宋体"/>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b w:val="0"/>
                <w:bCs/>
                <w:color w:val="000000"/>
                <w:kern w:val="0"/>
                <w:sz w:val="20"/>
                <w:szCs w:val="20"/>
              </w:rPr>
            </w:pPr>
            <w:r>
              <w:rPr>
                <w:rFonts w:hint="eastAsia" w:ascii="宋体" w:hAnsi="宋体" w:eastAsia="宋体" w:cs="宋体"/>
                <w:b w:val="0"/>
                <w:bCs/>
                <w:color w:val="000000"/>
                <w:kern w:val="0"/>
                <w:sz w:val="20"/>
                <w:szCs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kern w:val="0"/>
                <w:sz w:val="20"/>
                <w:szCs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hint="eastAsia" w:ascii="宋体" w:hAnsi="宋体" w:eastAsia="宋体" w:cs="宋体"/>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color w:val="000000"/>
                <w:kern w:val="0"/>
                <w:sz w:val="20"/>
                <w:szCs w:val="20"/>
              </w:rPr>
            </w:pPr>
            <w:r>
              <w:rPr>
                <w:rFonts w:hint="eastAsia" w:ascii="宋体" w:hAnsi="宋体" w:eastAsia="宋体" w:cs="宋体"/>
                <w:b w:val="0"/>
                <w:bCs/>
                <w:color w:val="000000"/>
                <w:kern w:val="0"/>
                <w:sz w:val="20"/>
                <w:szCs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hint="eastAsia" w:ascii="宋体" w:hAnsi="宋体" w:eastAsia="宋体" w:cs="宋体"/>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color w:val="000000"/>
                <w:kern w:val="0"/>
                <w:sz w:val="20"/>
                <w:szCs w:val="20"/>
              </w:rPr>
            </w:pPr>
            <w:r>
              <w:rPr>
                <w:rFonts w:hint="eastAsia" w:ascii="宋体" w:hAnsi="宋体" w:eastAsia="宋体" w:cs="宋体"/>
                <w:b w:val="0"/>
                <w:bCs/>
                <w:color w:val="000000"/>
                <w:kern w:val="0"/>
                <w:sz w:val="20"/>
                <w:szCs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360" w:hRule="atLeast"/>
        </w:trPr>
        <w:tc>
          <w:tcPr>
            <w:tcW w:w="1753" w:type="dxa"/>
            <w:vMerge w:val="restart"/>
            <w:tcBorders>
              <w:top w:val="nil"/>
              <w:left w:val="single" w:color="auto" w:sz="4" w:space="0"/>
              <w:righ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事业收入</w:t>
            </w:r>
          </w:p>
        </w:tc>
        <w:tc>
          <w:tcPr>
            <w:tcW w:w="1044" w:type="dxa"/>
            <w:vMerge w:val="restart"/>
            <w:tcBorders>
              <w:top w:val="nil"/>
              <w:left w:val="nil"/>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073" w:type="dxa"/>
            <w:vMerge w:val="restart"/>
            <w:tcBorders>
              <w:top w:val="nil"/>
              <w:left w:val="nil"/>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200" w:type="dxa"/>
            <w:vMerge w:val="restart"/>
            <w:tcBorders>
              <w:top w:val="nil"/>
              <w:left w:val="single" w:color="auto" w:sz="4" w:space="0"/>
              <w:right w:val="nil"/>
            </w:tcBorders>
            <w:noWrap w:val="0"/>
            <w:vAlign w:val="center"/>
          </w:tcPr>
          <w:p>
            <w:pPr>
              <w:widowControl/>
              <w:jc w:val="center"/>
              <w:rPr>
                <w:rFonts w:hint="eastAsia" w:ascii="宋体" w:hAnsi="宋体" w:eastAsia="宋体" w:cs="宋体"/>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color w:val="000000"/>
                <w:kern w:val="0"/>
                <w:sz w:val="20"/>
                <w:szCs w:val="20"/>
              </w:rPr>
            </w:pPr>
            <w:r>
              <w:rPr>
                <w:rFonts w:hint="eastAsia" w:ascii="宋体" w:hAnsi="宋体" w:eastAsia="宋体" w:cs="宋体"/>
                <w:b w:val="0"/>
                <w:bCs/>
                <w:color w:val="000000"/>
                <w:kern w:val="0"/>
                <w:sz w:val="20"/>
                <w:szCs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9.54 </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9.54 </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360" w:hRule="atLeast"/>
        </w:trPr>
        <w:tc>
          <w:tcPr>
            <w:tcW w:w="1753" w:type="dxa"/>
            <w:vMerge w:val="continue"/>
            <w:tcBorders>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0"/>
                <w:szCs w:val="20"/>
              </w:rPr>
            </w:pPr>
          </w:p>
        </w:tc>
        <w:tc>
          <w:tcPr>
            <w:tcW w:w="1044" w:type="dxa"/>
            <w:vMerge w:val="continue"/>
            <w:tcBorders>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073" w:type="dxa"/>
            <w:vMerge w:val="continue"/>
            <w:tcBorders>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200" w:type="dxa"/>
            <w:vMerge w:val="continue"/>
            <w:tcBorders>
              <w:left w:val="single" w:color="auto" w:sz="4" w:space="0"/>
              <w:bottom w:val="single" w:color="auto" w:sz="4" w:space="0"/>
              <w:right w:val="nil"/>
            </w:tcBorders>
            <w:noWrap w:val="0"/>
            <w:vAlign w:val="center"/>
          </w:tcPr>
          <w:p>
            <w:pPr>
              <w:widowControl/>
              <w:jc w:val="center"/>
              <w:rPr>
                <w:rFonts w:hint="eastAsia" w:ascii="宋体" w:hAnsi="宋体" w:eastAsia="宋体" w:cs="宋体"/>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color w:val="000000"/>
                <w:kern w:val="0"/>
                <w:sz w:val="20"/>
                <w:szCs w:val="20"/>
                <w:lang w:val="en-US" w:eastAsia="zh-CN"/>
              </w:rPr>
            </w:pPr>
            <w:r>
              <w:rPr>
                <w:rFonts w:hint="eastAsia" w:ascii="宋体" w:hAnsi="宋体" w:eastAsia="宋体" w:cs="宋体"/>
                <w:b w:val="0"/>
                <w:bCs/>
                <w:color w:val="000000"/>
                <w:kern w:val="0"/>
                <w:sz w:val="20"/>
                <w:szCs w:val="20"/>
                <w:lang w:val="en-US" w:eastAsia="zh-CN"/>
              </w:rPr>
              <w:t>八、卫生健康支出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3.37 </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3.37 </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ascii="宋体" w:hAnsi="宋体" w:eastAsia="宋体" w:cs="宋体"/>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color w:val="000000"/>
                <w:kern w:val="0"/>
                <w:sz w:val="20"/>
                <w:szCs w:val="20"/>
              </w:rPr>
            </w:pPr>
            <w:r>
              <w:rPr>
                <w:rFonts w:hint="eastAsia" w:ascii="宋体" w:hAnsi="宋体" w:eastAsia="宋体" w:cs="宋体"/>
                <w:b w:val="0"/>
                <w:bCs/>
                <w:color w:val="000000"/>
                <w:kern w:val="0"/>
                <w:sz w:val="20"/>
                <w:szCs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ascii="宋体" w:hAnsi="宋体" w:eastAsia="宋体" w:cs="宋体"/>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color w:val="000000"/>
                <w:kern w:val="0"/>
                <w:sz w:val="20"/>
                <w:szCs w:val="20"/>
              </w:rPr>
            </w:pPr>
            <w:r>
              <w:rPr>
                <w:rFonts w:hint="eastAsia" w:ascii="宋体" w:hAnsi="宋体" w:eastAsia="宋体" w:cs="宋体"/>
                <w:b w:val="0"/>
                <w:bCs/>
                <w:color w:val="000000"/>
                <w:kern w:val="0"/>
                <w:sz w:val="20"/>
                <w:szCs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5.77 </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5.77 </w:t>
            </w:r>
          </w:p>
        </w:tc>
        <w:tc>
          <w:tcPr>
            <w:tcW w:w="1158"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ascii="宋体" w:hAnsi="宋体" w:eastAsia="宋体" w:cs="宋体"/>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color w:val="000000"/>
                <w:kern w:val="0"/>
                <w:sz w:val="20"/>
                <w:szCs w:val="20"/>
              </w:rPr>
            </w:pPr>
            <w:r>
              <w:rPr>
                <w:rFonts w:hint="eastAsia" w:ascii="宋体" w:hAnsi="宋体" w:eastAsia="宋体" w:cs="宋体"/>
                <w:b w:val="0"/>
                <w:bCs/>
                <w:color w:val="000000"/>
                <w:kern w:val="0"/>
                <w:sz w:val="20"/>
                <w:szCs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sz w:val="20"/>
                <w:szCs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sz w:val="20"/>
                <w:szCs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ascii="宋体" w:hAnsi="宋体" w:eastAsia="宋体" w:cs="宋体"/>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val="0"/>
                <w:bCs/>
                <w:sz w:val="20"/>
                <w:szCs w:val="20"/>
              </w:rPr>
            </w:pPr>
            <w:r>
              <w:rPr>
                <w:rFonts w:hint="eastAsia" w:ascii="宋体" w:hAnsi="宋体" w:eastAsia="宋体" w:cs="宋体"/>
                <w:b w:val="0"/>
                <w:bCs/>
                <w:color w:val="000000"/>
                <w:kern w:val="0"/>
                <w:sz w:val="20"/>
                <w:szCs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0"/>
                <w:szCs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宋体" w:hAnsi="宋体" w:eastAsia="宋体" w:cs="宋体"/>
                <w:sz w:val="20"/>
                <w:szCs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106.46 </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 xml:space="preserve">106.46 </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106.46 </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 xml:space="preserve">106.46 </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106.46 </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 xml:space="preserve">106.46 </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106.46 </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 xml:space="preserve">106.46 </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sz w:val="20"/>
                <w:szCs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sz w:val="20"/>
                <w:szCs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hint="eastAsia" w:ascii="宋体" w:hAnsi="宋体" w:eastAsia="宋体" w:cs="宋体"/>
                <w:sz w:val="20"/>
                <w:szCs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宋体" w:hAnsi="宋体" w:eastAsia="宋体" w:cs="宋体"/>
                <w:sz w:val="20"/>
                <w:szCs w:val="20"/>
              </w:rPr>
            </w:pPr>
            <w:r>
              <w:rPr>
                <w:rFonts w:hint="eastAsia" w:ascii="宋体" w:hAnsi="宋体" w:eastAsia="宋体" w:cs="宋体"/>
                <w:sz w:val="20"/>
                <w:szCs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宋体" w:hAnsi="宋体" w:eastAsia="宋体" w:cs="宋体"/>
                <w:sz w:val="20"/>
                <w:szCs w:val="20"/>
                <w:lang w:eastAsia="zh-CN"/>
              </w:rPr>
            </w:pPr>
            <w:r>
              <w:rPr>
                <w:rFonts w:hint="eastAsia" w:ascii="宋体" w:hAnsi="宋体" w:eastAsia="宋体" w:cs="宋体"/>
                <w:sz w:val="20"/>
                <w:szCs w:val="20"/>
              </w:rPr>
              <w:t>一般公</w:t>
            </w:r>
          </w:p>
          <w:p>
            <w:pPr>
              <w:autoSpaceDN w:val="0"/>
              <w:jc w:val="center"/>
              <w:rPr>
                <w:rFonts w:hint="eastAsia" w:ascii="宋体" w:hAnsi="宋体" w:eastAsia="宋体" w:cs="宋体"/>
                <w:sz w:val="20"/>
                <w:szCs w:val="20"/>
              </w:rPr>
            </w:pPr>
            <w:r>
              <w:rPr>
                <w:rFonts w:hint="eastAsia" w:ascii="宋体" w:hAnsi="宋体" w:eastAsia="宋体" w:cs="宋体"/>
                <w:sz w:val="20"/>
                <w:szCs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宋体" w:hAnsi="宋体" w:eastAsia="宋体" w:cs="宋体"/>
                <w:sz w:val="20"/>
                <w:szCs w:val="20"/>
                <w:lang w:eastAsia="zh-CN"/>
              </w:rPr>
            </w:pPr>
            <w:r>
              <w:rPr>
                <w:rFonts w:hint="eastAsia" w:ascii="宋体" w:hAnsi="宋体" w:eastAsia="宋体" w:cs="宋体"/>
                <w:sz w:val="20"/>
                <w:szCs w:val="20"/>
              </w:rPr>
              <w:t>政府性基</w:t>
            </w:r>
          </w:p>
          <w:p>
            <w:pPr>
              <w:autoSpaceDN w:val="0"/>
              <w:jc w:val="center"/>
              <w:rPr>
                <w:rFonts w:hint="eastAsia" w:ascii="宋体" w:hAnsi="宋体" w:eastAsia="宋体" w:cs="宋体"/>
                <w:sz w:val="20"/>
                <w:szCs w:val="20"/>
              </w:rPr>
            </w:pPr>
            <w:r>
              <w:rPr>
                <w:rFonts w:hint="eastAsia" w:ascii="宋体" w:hAnsi="宋体" w:eastAsia="宋体" w:cs="宋体"/>
                <w:sz w:val="20"/>
                <w:szCs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宋体" w:hAnsi="宋体" w:eastAsia="宋体" w:cs="宋体"/>
                <w:sz w:val="20"/>
                <w:szCs w:val="20"/>
                <w:lang w:eastAsia="zh-CN"/>
              </w:rPr>
            </w:pPr>
            <w:r>
              <w:rPr>
                <w:rFonts w:hint="eastAsia" w:ascii="宋体" w:hAnsi="宋体" w:eastAsia="宋体" w:cs="宋体"/>
                <w:sz w:val="20"/>
                <w:szCs w:val="20"/>
              </w:rPr>
              <w:t>国有资本</w:t>
            </w:r>
          </w:p>
          <w:p>
            <w:pPr>
              <w:autoSpaceDN w:val="0"/>
              <w:jc w:val="center"/>
              <w:rPr>
                <w:rFonts w:hint="eastAsia" w:ascii="宋体" w:hAnsi="宋体" w:eastAsia="宋体" w:cs="宋体"/>
                <w:sz w:val="20"/>
                <w:szCs w:val="20"/>
              </w:rPr>
            </w:pPr>
            <w:r>
              <w:rPr>
                <w:rFonts w:hint="eastAsia" w:ascii="宋体" w:hAnsi="宋体" w:eastAsia="宋体" w:cs="宋体"/>
                <w:sz w:val="20"/>
                <w:szCs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宋体" w:hAnsi="宋体" w:eastAsia="宋体" w:cs="宋体"/>
                <w:sz w:val="20"/>
                <w:szCs w:val="20"/>
                <w:lang w:eastAsia="zh-CN"/>
              </w:rPr>
            </w:pPr>
            <w:r>
              <w:rPr>
                <w:rFonts w:hint="eastAsia" w:ascii="宋体" w:hAnsi="宋体" w:eastAsia="宋体" w:cs="宋体"/>
                <w:sz w:val="20"/>
                <w:szCs w:val="20"/>
              </w:rPr>
              <w:t>财政专户</w:t>
            </w:r>
          </w:p>
          <w:p>
            <w:pPr>
              <w:autoSpaceDN w:val="0"/>
              <w:jc w:val="center"/>
              <w:rPr>
                <w:rFonts w:hint="eastAsia" w:ascii="宋体" w:hAnsi="宋体" w:eastAsia="宋体" w:cs="宋体"/>
                <w:sz w:val="20"/>
                <w:szCs w:val="20"/>
              </w:rPr>
            </w:pPr>
            <w:r>
              <w:rPr>
                <w:rFonts w:hint="eastAsia" w:ascii="宋体" w:hAnsi="宋体" w:eastAsia="宋体" w:cs="宋体"/>
                <w:sz w:val="20"/>
                <w:szCs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宋体" w:hAnsi="宋体" w:eastAsia="宋体" w:cs="宋体"/>
                <w:sz w:val="20"/>
                <w:szCs w:val="20"/>
              </w:rPr>
            </w:pPr>
            <w:r>
              <w:rPr>
                <w:rFonts w:hint="eastAsia" w:ascii="宋体" w:hAnsi="宋体" w:eastAsia="宋体" w:cs="宋体"/>
                <w:sz w:val="20"/>
                <w:szCs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宋体" w:hAnsi="宋体" w:eastAsia="宋体" w:cs="宋体"/>
                <w:sz w:val="20"/>
                <w:szCs w:val="20"/>
                <w:lang w:eastAsia="zh-CN"/>
              </w:rPr>
            </w:pPr>
            <w:r>
              <w:rPr>
                <w:rFonts w:hint="eastAsia" w:ascii="宋体" w:hAnsi="宋体" w:eastAsia="宋体" w:cs="宋体"/>
                <w:sz w:val="20"/>
                <w:szCs w:val="20"/>
              </w:rPr>
              <w:t>事业单位</w:t>
            </w:r>
          </w:p>
          <w:p>
            <w:pPr>
              <w:autoSpaceDN w:val="0"/>
              <w:jc w:val="center"/>
              <w:rPr>
                <w:rFonts w:hint="eastAsia" w:ascii="宋体" w:hAnsi="宋体" w:eastAsia="宋体" w:cs="宋体"/>
                <w:sz w:val="20"/>
                <w:szCs w:val="20"/>
              </w:rPr>
            </w:pPr>
            <w:r>
              <w:rPr>
                <w:rFonts w:hint="eastAsia" w:ascii="宋体" w:hAnsi="宋体" w:eastAsia="宋体" w:cs="宋体"/>
                <w:sz w:val="20"/>
                <w:szCs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宋体" w:hAnsi="宋体" w:eastAsia="宋体" w:cs="宋体"/>
                <w:sz w:val="20"/>
                <w:szCs w:val="20"/>
                <w:lang w:eastAsia="zh-CN"/>
              </w:rPr>
            </w:pPr>
            <w:r>
              <w:rPr>
                <w:rFonts w:hint="eastAsia" w:ascii="宋体" w:hAnsi="宋体" w:eastAsia="宋体" w:cs="宋体"/>
                <w:sz w:val="20"/>
                <w:szCs w:val="20"/>
              </w:rPr>
              <w:t>上级</w:t>
            </w:r>
          </w:p>
          <w:p>
            <w:pPr>
              <w:autoSpaceDN w:val="0"/>
              <w:jc w:val="center"/>
              <w:rPr>
                <w:rFonts w:hint="eastAsia" w:ascii="宋体" w:hAnsi="宋体" w:eastAsia="宋体" w:cs="宋体"/>
                <w:sz w:val="20"/>
                <w:szCs w:val="20"/>
                <w:lang w:eastAsia="zh-CN"/>
              </w:rPr>
            </w:pPr>
            <w:r>
              <w:rPr>
                <w:rFonts w:hint="eastAsia" w:ascii="宋体" w:hAnsi="宋体" w:eastAsia="宋体" w:cs="宋体"/>
                <w:sz w:val="20"/>
                <w:szCs w:val="20"/>
              </w:rPr>
              <w:t>补助</w:t>
            </w:r>
          </w:p>
          <w:p>
            <w:pPr>
              <w:autoSpaceDN w:val="0"/>
              <w:jc w:val="center"/>
              <w:rPr>
                <w:rFonts w:hint="eastAsia" w:ascii="宋体" w:hAnsi="宋体" w:eastAsia="宋体" w:cs="宋体"/>
                <w:sz w:val="20"/>
                <w:szCs w:val="20"/>
              </w:rPr>
            </w:pPr>
            <w:r>
              <w:rPr>
                <w:rFonts w:hint="eastAsia" w:ascii="宋体" w:hAnsi="宋体" w:eastAsia="宋体" w:cs="宋体"/>
                <w:sz w:val="20"/>
                <w:szCs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宋体" w:hAnsi="宋体" w:eastAsia="宋体" w:cs="宋体"/>
                <w:sz w:val="20"/>
                <w:szCs w:val="20"/>
                <w:lang w:eastAsia="zh-CN"/>
              </w:rPr>
            </w:pPr>
            <w:r>
              <w:rPr>
                <w:rFonts w:hint="eastAsia" w:ascii="宋体" w:hAnsi="宋体" w:eastAsia="宋体" w:cs="宋体"/>
                <w:sz w:val="20"/>
                <w:szCs w:val="20"/>
              </w:rPr>
              <w:t>附属单位</w:t>
            </w:r>
          </w:p>
          <w:p>
            <w:pPr>
              <w:autoSpaceDN w:val="0"/>
              <w:jc w:val="center"/>
              <w:rPr>
                <w:rFonts w:hint="eastAsia" w:ascii="宋体" w:hAnsi="宋体" w:eastAsia="宋体" w:cs="宋体"/>
                <w:sz w:val="20"/>
                <w:szCs w:val="20"/>
              </w:rPr>
            </w:pPr>
            <w:r>
              <w:rPr>
                <w:rFonts w:hint="eastAsia" w:ascii="宋体" w:hAnsi="宋体" w:eastAsia="宋体" w:cs="宋体"/>
                <w:sz w:val="20"/>
                <w:szCs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宋体" w:hAnsi="宋体" w:eastAsia="宋体" w:cs="宋体"/>
                <w:sz w:val="20"/>
                <w:szCs w:val="20"/>
                <w:lang w:eastAsia="zh-CN"/>
              </w:rPr>
            </w:pPr>
            <w:r>
              <w:rPr>
                <w:rFonts w:hint="eastAsia" w:ascii="宋体" w:hAnsi="宋体" w:eastAsia="宋体" w:cs="宋体"/>
                <w:sz w:val="20"/>
                <w:szCs w:val="20"/>
              </w:rPr>
              <w:t>其他</w:t>
            </w:r>
          </w:p>
          <w:p>
            <w:pPr>
              <w:autoSpaceDN w:val="0"/>
              <w:jc w:val="center"/>
              <w:rPr>
                <w:rFonts w:hint="eastAsia" w:ascii="宋体" w:hAnsi="宋体" w:eastAsia="宋体" w:cs="宋体"/>
                <w:sz w:val="20"/>
                <w:szCs w:val="20"/>
              </w:rPr>
            </w:pPr>
            <w:r>
              <w:rPr>
                <w:rFonts w:hint="eastAsia" w:ascii="宋体" w:hAnsi="宋体" w:eastAsia="宋体" w:cs="宋体"/>
                <w:sz w:val="20"/>
                <w:szCs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ascii="宋体" w:hAnsi="宋体" w:eastAsia="宋体" w:cs="宋体"/>
                <w:sz w:val="20"/>
                <w:szCs w:val="20"/>
              </w:rPr>
            </w:pPr>
            <w:r>
              <w:rPr>
                <w:rFonts w:hint="eastAsia" w:ascii="宋体" w:hAnsi="宋体" w:eastAsia="宋体" w:cs="宋体"/>
                <w:sz w:val="20"/>
                <w:szCs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ascii="宋体" w:hAnsi="宋体" w:eastAsia="宋体" w:cs="宋体"/>
                <w:sz w:val="20"/>
                <w:szCs w:val="20"/>
              </w:rPr>
            </w:pPr>
            <w:r>
              <w:rPr>
                <w:rFonts w:hint="eastAsia" w:ascii="宋体" w:hAnsi="宋体" w:eastAsia="宋体" w:cs="宋体"/>
                <w:sz w:val="20"/>
                <w:szCs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ascii="宋体" w:hAnsi="宋体" w:eastAsia="宋体" w:cs="宋体"/>
                <w:sz w:val="20"/>
                <w:szCs w:val="20"/>
              </w:rPr>
            </w:pPr>
            <w:r>
              <w:rPr>
                <w:rFonts w:hint="eastAsia" w:ascii="宋体" w:hAnsi="宋体" w:eastAsia="宋体" w:cs="宋体"/>
                <w:sz w:val="20"/>
                <w:szCs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ascii="宋体" w:hAnsi="宋体" w:eastAsia="宋体" w:cs="宋体"/>
                <w:sz w:val="20"/>
                <w:szCs w:val="20"/>
              </w:rPr>
            </w:pPr>
            <w:r>
              <w:rPr>
                <w:rFonts w:hint="eastAsia" w:ascii="宋体" w:hAnsi="宋体" w:eastAsia="宋体" w:cs="宋体"/>
                <w:sz w:val="20"/>
                <w:szCs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ascii="宋体" w:hAnsi="宋体" w:eastAsia="宋体" w:cs="宋体"/>
                <w:sz w:val="20"/>
                <w:szCs w:val="20"/>
              </w:rPr>
            </w:pPr>
            <w:r>
              <w:rPr>
                <w:rFonts w:hint="eastAsia" w:ascii="宋体" w:hAnsi="宋体" w:eastAsia="宋体" w:cs="宋体"/>
                <w:sz w:val="20"/>
                <w:szCs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ascii="宋体" w:hAnsi="宋体" w:eastAsia="宋体" w:cs="宋体"/>
                <w:sz w:val="20"/>
                <w:szCs w:val="20"/>
                <w:lang w:eastAsia="zh-CN"/>
              </w:rPr>
            </w:pPr>
            <w:r>
              <w:rPr>
                <w:rFonts w:hint="eastAsia" w:ascii="宋体" w:hAnsi="宋体" w:eastAsia="宋体" w:cs="宋体"/>
                <w:sz w:val="20"/>
                <w:szCs w:val="20"/>
              </w:rPr>
              <w:t>用事业基</w:t>
            </w:r>
          </w:p>
          <w:p>
            <w:pPr>
              <w:autoSpaceDN w:val="0"/>
              <w:jc w:val="center"/>
              <w:rPr>
                <w:rFonts w:hint="eastAsia" w:ascii="宋体" w:hAnsi="宋体" w:eastAsia="宋体" w:cs="宋体"/>
                <w:sz w:val="20"/>
                <w:szCs w:val="20"/>
                <w:lang w:eastAsia="zh-CN"/>
              </w:rPr>
            </w:pPr>
            <w:r>
              <w:rPr>
                <w:rFonts w:hint="eastAsia" w:ascii="宋体" w:hAnsi="宋体" w:eastAsia="宋体" w:cs="宋体"/>
                <w:sz w:val="20"/>
                <w:szCs w:val="20"/>
              </w:rPr>
              <w:t>金弥补收</w:t>
            </w:r>
          </w:p>
          <w:p>
            <w:pPr>
              <w:autoSpaceDN w:val="0"/>
              <w:jc w:val="center"/>
              <w:rPr>
                <w:rFonts w:hint="eastAsia" w:ascii="宋体" w:hAnsi="宋体" w:eastAsia="宋体" w:cs="宋体"/>
                <w:sz w:val="20"/>
                <w:szCs w:val="20"/>
              </w:rPr>
            </w:pPr>
            <w:r>
              <w:rPr>
                <w:rFonts w:hint="eastAsia" w:ascii="宋体" w:hAnsi="宋体" w:eastAsia="宋体" w:cs="宋体"/>
                <w:sz w:val="20"/>
                <w:szCs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ascii="宋体" w:hAnsi="宋体" w:eastAsia="宋体" w:cs="宋体"/>
                <w:color w:val="000000"/>
                <w:sz w:val="20"/>
                <w:szCs w:val="20"/>
              </w:rPr>
            </w:pPr>
            <w:r>
              <w:rPr>
                <w:rFonts w:hint="eastAsia" w:ascii="宋体" w:hAnsi="宋体" w:eastAsia="宋体" w:cs="宋体"/>
                <w:b w:val="0"/>
                <w:bCs w:val="0"/>
                <w:color w:val="000000"/>
                <w:sz w:val="20"/>
                <w:szCs w:val="20"/>
              </w:rPr>
              <w:t>中共通榆县 直属机关工 作委员会</w:t>
            </w:r>
          </w:p>
        </w:tc>
        <w:tc>
          <w:tcPr>
            <w:tcW w:w="41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106.46 </w:t>
            </w:r>
          </w:p>
        </w:tc>
        <w:tc>
          <w:tcPr>
            <w:tcW w:w="41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hint="eastAsia"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xml:space="preserve">106.46 </w:t>
            </w:r>
          </w:p>
        </w:tc>
        <w:tc>
          <w:tcPr>
            <w:tcW w:w="41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hint="eastAsia"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xml:space="preserve">106.46 </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ascii="宋体" w:hAnsi="宋体" w:eastAsia="宋体" w:cs="宋体"/>
                <w:color w:val="000000"/>
                <w:sz w:val="20"/>
                <w:szCs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szCs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szCs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hint="eastAsia" w:ascii="宋体" w:hAnsi="宋体" w:eastAsia="宋体" w:cs="宋体"/>
                <w:color w:val="000000"/>
                <w:sz w:val="20"/>
                <w:szCs w:val="20"/>
                <w:shd w:val="clear" w:color="auto" w:fill="FFFFFF"/>
              </w:rPr>
            </w:pPr>
            <w:r>
              <w:rPr>
                <w:rFonts w:hint="eastAsia" w:ascii="宋体" w:hAnsi="宋体" w:eastAsia="宋体" w:cs="宋体"/>
                <w:kern w:val="0"/>
                <w:sz w:val="20"/>
                <w:szCs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zCs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hint="eastAsia" w:ascii="宋体" w:hAnsi="宋体" w:eastAsia="宋体" w:cs="宋体"/>
                      <w:color w:val="000000"/>
                      <w:kern w:val="0"/>
                      <w:sz w:val="20"/>
                      <w:szCs w:val="20"/>
                    </w:rPr>
                  </w:pPr>
                </w:p>
              </w:tc>
              <w:tc>
                <w:tcPr>
                  <w:tcW w:w="1297" w:type="dxa"/>
                  <w:tcBorders>
                    <w:bottom w:val="single" w:color="000000" w:sz="4" w:space="0"/>
                  </w:tcBorders>
                  <w:noWrap w:val="0"/>
                  <w:vAlign w:val="center"/>
                </w:tcPr>
                <w:p>
                  <w:pPr>
                    <w:widowControl/>
                    <w:jc w:val="right"/>
                    <w:rPr>
                      <w:rFonts w:hint="eastAsia" w:ascii="宋体" w:hAnsi="宋体" w:eastAsia="宋体" w:cs="宋体"/>
                      <w:color w:val="000000"/>
                      <w:kern w:val="0"/>
                      <w:sz w:val="20"/>
                      <w:szCs w:val="20"/>
                    </w:rPr>
                  </w:pPr>
                </w:p>
              </w:tc>
              <w:tc>
                <w:tcPr>
                  <w:tcW w:w="1297" w:type="dxa"/>
                  <w:gridSpan w:val="2"/>
                  <w:tcBorders>
                    <w:bottom w:val="single" w:color="000000" w:sz="4" w:space="0"/>
                  </w:tcBorders>
                  <w:noWrap w:val="0"/>
                  <w:vAlign w:val="center"/>
                </w:tcPr>
                <w:p>
                  <w:pPr>
                    <w:widowControl/>
                    <w:jc w:val="right"/>
                    <w:rPr>
                      <w:rFonts w:hint="eastAsia" w:ascii="宋体" w:hAnsi="宋体" w:eastAsia="宋体" w:cs="宋体"/>
                      <w:color w:val="000000"/>
                      <w:kern w:val="0"/>
                      <w:sz w:val="20"/>
                      <w:szCs w:val="20"/>
                    </w:rPr>
                  </w:pPr>
                </w:p>
              </w:tc>
              <w:tc>
                <w:tcPr>
                  <w:tcW w:w="1297" w:type="dxa"/>
                  <w:tcBorders>
                    <w:bottom w:val="single" w:color="000000" w:sz="4" w:space="0"/>
                  </w:tcBorders>
                  <w:noWrap w:val="0"/>
                  <w:vAlign w:val="center"/>
                </w:tcPr>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sz w:val="20"/>
                      <w:szCs w:val="20"/>
                    </w:rPr>
                  </w:pPr>
                </w:p>
                <w:p>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基本</w:t>
                  </w:r>
                </w:p>
                <w:p>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支出</w:t>
                  </w:r>
                </w:p>
                <w:p>
                  <w:pPr>
                    <w:widowControl/>
                    <w:jc w:val="center"/>
                    <w:rPr>
                      <w:rFonts w:hint="eastAsia" w:ascii="宋体" w:hAnsi="宋体" w:eastAsia="宋体" w:cs="宋体"/>
                      <w:color w:val="000000"/>
                      <w:kern w:val="0"/>
                      <w:sz w:val="20"/>
                      <w:szCs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事业单位</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一、一般公共服务支出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87.76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64.16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23.60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党委办公厅（室）及相关机构事务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87.76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64.16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23.60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87.76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64.16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23.60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二、社会保障和就业支出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9.54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9.54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9.54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9.54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7.70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7.70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1.84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1.84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3.37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3.37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3.37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3.37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3.33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3.33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0.05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0.05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5.77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5.77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5.77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5.77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5.77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5.77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106.46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82.86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23.60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eastAsia="zh-CN"/>
                    </w:rPr>
                    <w:t>2024</w:t>
                  </w:r>
                  <w:r>
                    <w:rPr>
                      <w:rFonts w:hint="eastAsia" w:ascii="宋体" w:hAnsi="宋体" w:eastAsia="宋体" w:cs="宋体"/>
                      <w:kern w:val="0"/>
                      <w:sz w:val="20"/>
                      <w:szCs w:val="20"/>
                    </w:rPr>
                    <w:t>年预算</w:t>
                  </w:r>
                  <w:r>
                    <w:rPr>
                      <w:rFonts w:hint="eastAsia" w:ascii="宋体" w:hAnsi="宋体" w:eastAsia="宋体" w:cs="宋体"/>
                      <w:kern w:val="0"/>
                      <w:sz w:val="20"/>
                      <w:szCs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lang w:eastAsia="zh-CN"/>
                    </w:rPr>
                  </w:pPr>
                  <w:r>
                    <w:rPr>
                      <w:rFonts w:hint="eastAsia" w:ascii="宋体" w:hAnsi="宋体" w:eastAsia="宋体" w:cs="宋体"/>
                      <w:kern w:val="0"/>
                      <w:sz w:val="20"/>
                      <w:szCs w:val="20"/>
                      <w:lang w:eastAsia="zh-CN"/>
                    </w:rPr>
                    <w:t>2024</w:t>
                  </w:r>
                  <w:r>
                    <w:rPr>
                      <w:rFonts w:hint="eastAsia" w:ascii="宋体" w:hAnsi="宋体" w:eastAsia="宋体" w:cs="宋体"/>
                      <w:kern w:val="0"/>
                      <w:sz w:val="20"/>
                      <w:szCs w:val="20"/>
                    </w:rPr>
                    <w:t>年预算</w:t>
                  </w:r>
                  <w:r>
                    <w:rPr>
                      <w:rFonts w:hint="eastAsia" w:ascii="宋体" w:hAnsi="宋体" w:eastAsia="宋体" w:cs="宋体"/>
                      <w:kern w:val="0"/>
                      <w:sz w:val="20"/>
                      <w:szCs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上年</w:t>
                  </w:r>
                  <w:r>
                    <w:rPr>
                      <w:rFonts w:hint="eastAsia" w:ascii="宋体" w:hAnsi="宋体" w:eastAsia="宋体" w:cs="宋体"/>
                      <w:kern w:val="0"/>
                      <w:sz w:val="20"/>
                      <w:szCs w:val="20"/>
                      <w:lang w:val="en-US" w:eastAsia="zh-CN"/>
                    </w:rPr>
                    <w:t xml:space="preserve">  </w:t>
                  </w:r>
                  <w:r>
                    <w:rPr>
                      <w:rFonts w:hint="eastAsia" w:ascii="宋体" w:hAnsi="宋体" w:eastAsia="宋体" w:cs="宋体"/>
                      <w:kern w:val="0"/>
                      <w:sz w:val="20"/>
                      <w:szCs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106.46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106.46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87.76</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87.76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106.46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106.46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9.54</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9.54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rPr>
                  </w:pPr>
                  <w:r>
                    <w:rPr>
                      <w:rFonts w:hint="eastAsia" w:ascii="宋体" w:hAnsi="宋体" w:eastAsia="宋体" w:cs="宋体"/>
                      <w:b w:val="0"/>
                      <w:bCs/>
                      <w:kern w:val="0"/>
                      <w:sz w:val="20"/>
                      <w:szCs w:val="20"/>
                      <w:lang w:val="en-US" w:eastAsia="zh-CN"/>
                    </w:rPr>
                    <w:t>八、卫生健康支出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3.37</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3.37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5.77</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5.77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106.46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ascii="宋体" w:hAnsi="宋体" w:eastAsia="宋体" w:cs="宋体"/>
                      <w:kern w:val="0"/>
                      <w:sz w:val="20"/>
                      <w:szCs w:val="20"/>
                      <w:lang w:val="en-US" w:eastAsia="zh-CN"/>
                    </w:rPr>
                    <w:t>106.46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106.46</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ascii="宋体" w:hAnsi="宋体" w:eastAsia="宋体" w:cs="宋体"/>
                      <w:kern w:val="0"/>
                      <w:sz w:val="20"/>
                      <w:szCs w:val="20"/>
                      <w:lang w:val="en-US" w:eastAsia="zh-CN"/>
                    </w:rPr>
                    <w:t>106.46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hint="eastAsia" w:ascii="宋体" w:hAnsi="宋体" w:eastAsia="宋体" w:cs="宋体"/>
                      <w:sz w:val="20"/>
                      <w:szCs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hint="eastAsia" w:ascii="宋体" w:hAnsi="宋体" w:eastAsia="宋体" w:cs="宋体"/>
                      <w:sz w:val="20"/>
                      <w:szCs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jc w:val="center"/>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jc w:val="center"/>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106.46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kern w:val="0"/>
                      <w:sz w:val="20"/>
                    </w:rPr>
                  </w:pPr>
                  <w:r>
                    <w:rPr>
                      <w:rFonts w:hint="eastAsia" w:ascii="宋体" w:hAnsi="宋体" w:eastAsia="宋体" w:cs="宋体"/>
                      <w:kern w:val="0"/>
                      <w:sz w:val="20"/>
                      <w:szCs w:val="20"/>
                      <w:lang w:val="en-US" w:eastAsia="zh-CN"/>
                    </w:rPr>
                    <w:t>106.46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106.46</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ascii="宋体" w:hAnsi="宋体" w:eastAsia="宋体" w:cs="宋体"/>
                      <w:kern w:val="0"/>
                      <w:sz w:val="20"/>
                      <w:szCs w:val="20"/>
                      <w:lang w:val="en-US" w:eastAsia="zh-CN"/>
                    </w:rPr>
                    <w:t>106.46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szCs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szCs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szCs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szCs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一、一般公共服务支出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87.76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64.16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53.12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11.04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23.60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党委办公厅（室）及相关机构事务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87.76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64.16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53.12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11.04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23.60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87.76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64.16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53.12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11.04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23.60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9.54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9.54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9.54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9.54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9.54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9.54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7.70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7.70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7.70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3.37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3.37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3.37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3.37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3.37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3.37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3.33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3.33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3.33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0.05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0.05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0.05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106.46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82.86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71.82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11.04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23.60</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69.52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69.52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22.99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22.99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17.18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17.18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10.03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10.03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7.70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7.70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1.84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1.84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3.33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3.33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0.05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0.05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5.77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5.77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　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0.64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0.64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eastAsia" w:ascii="宋体" w:hAnsi="宋体" w:eastAsia="宋体" w:cs="宋体"/>
                <w:kern w:val="0"/>
                <w:sz w:val="20"/>
                <w:szCs w:val="20"/>
              </w:rPr>
            </w:pPr>
            <w:r>
              <w:rPr>
                <w:rFonts w:hint="eastAsia" w:ascii="宋体" w:hAnsi="宋体" w:eastAsia="宋体" w:cs="宋体"/>
                <w:color w:val="000000"/>
                <w:sz w:val="20"/>
                <w:szCs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10.54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10.54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2.00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2.00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印刷费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1.00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咨询费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1.00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差旅费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0.50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会议费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1.00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培训费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0.50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委托业务费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0.20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0.20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　工会经费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0.50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其他交通费用</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3.84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3.84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color w:val="000000"/>
                <w:sz w:val="20"/>
                <w:szCs w:val="20"/>
                <w:lang w:val="en-US" w:eastAsia="zh-CN"/>
              </w:rPr>
              <w:t>三、</w:t>
            </w:r>
            <w:r>
              <w:rPr>
                <w:rFonts w:hint="eastAsia" w:ascii="宋体" w:hAnsi="宋体" w:eastAsia="宋体" w:cs="宋体"/>
                <w:b w:val="0"/>
                <w:bCs w:val="0"/>
                <w:color w:val="000000"/>
                <w:sz w:val="20"/>
                <w:szCs w:val="20"/>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2.29</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2.29</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2.29</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2.29</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57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color w:val="000000"/>
                <w:sz w:val="20"/>
                <w:szCs w:val="20"/>
                <w:lang w:val="en-US" w:eastAsia="zh-CN"/>
              </w:rPr>
              <w:t>四、</w:t>
            </w:r>
            <w:r>
              <w:rPr>
                <w:rFonts w:hint="eastAsia" w:ascii="宋体" w:hAnsi="宋体" w:eastAsia="宋体" w:cs="宋体"/>
                <w:b w:val="0"/>
                <w:bCs w:val="0"/>
                <w:color w:val="000000"/>
                <w:sz w:val="20"/>
                <w:szCs w:val="20"/>
              </w:rPr>
              <w:t>资本性支出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办公设备购置</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0.50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合计</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82.86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71.82</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11.04</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10</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6</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620"/>
        <w:gridCol w:w="675"/>
        <w:gridCol w:w="525"/>
        <w:gridCol w:w="435"/>
        <w:gridCol w:w="435"/>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62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35"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433"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项目</w:t>
            </w:r>
          </w:p>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单位</w:t>
            </w:r>
          </w:p>
        </w:tc>
        <w:tc>
          <w:tcPr>
            <w:tcW w:w="620" w:type="dxa"/>
            <w:vMerge w:val="restart"/>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合计</w:t>
            </w:r>
          </w:p>
        </w:tc>
        <w:tc>
          <w:tcPr>
            <w:tcW w:w="1635" w:type="dxa"/>
            <w:gridSpan w:val="3"/>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本年财政拨款</w:t>
            </w:r>
          </w:p>
        </w:tc>
        <w:tc>
          <w:tcPr>
            <w:tcW w:w="1565" w:type="dxa"/>
            <w:gridSpan w:val="3"/>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sz w:val="20"/>
                <w:szCs w:val="20"/>
              </w:rPr>
              <w:t>财政专户</w:t>
            </w:r>
          </w:p>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hint="eastAsia" w:ascii="宋体" w:hAnsi="宋体" w:eastAsia="宋体" w:cs="宋体"/>
                <w:color w:val="000000"/>
                <w:sz w:val="20"/>
                <w:szCs w:val="20"/>
              </w:rPr>
            </w:pPr>
          </w:p>
        </w:tc>
        <w:tc>
          <w:tcPr>
            <w:tcW w:w="1063" w:type="dxa"/>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二级项目</w:t>
            </w:r>
          </w:p>
        </w:tc>
        <w:tc>
          <w:tcPr>
            <w:tcW w:w="864" w:type="dxa"/>
            <w:vMerge w:val="continue"/>
            <w:noWrap w:val="0"/>
            <w:vAlign w:val="center"/>
          </w:tcPr>
          <w:p>
            <w:pPr>
              <w:autoSpaceDN w:val="0"/>
              <w:jc w:val="center"/>
              <w:textAlignment w:val="center"/>
              <w:rPr>
                <w:rFonts w:hint="eastAsia" w:ascii="宋体" w:hAnsi="宋体" w:eastAsia="宋体" w:cs="宋体"/>
                <w:color w:val="000000"/>
                <w:sz w:val="20"/>
                <w:szCs w:val="20"/>
              </w:rPr>
            </w:pPr>
          </w:p>
        </w:tc>
        <w:tc>
          <w:tcPr>
            <w:tcW w:w="620" w:type="dxa"/>
            <w:vMerge w:val="continue"/>
            <w:noWrap w:val="0"/>
            <w:vAlign w:val="center"/>
          </w:tcPr>
          <w:p>
            <w:pPr>
              <w:autoSpaceDN w:val="0"/>
              <w:jc w:val="center"/>
              <w:textAlignment w:val="center"/>
              <w:rPr>
                <w:rFonts w:hint="eastAsia" w:ascii="宋体" w:hAnsi="宋体" w:eastAsia="宋体" w:cs="宋体"/>
                <w:color w:val="000000"/>
                <w:sz w:val="20"/>
                <w:szCs w:val="20"/>
              </w:rPr>
            </w:pPr>
          </w:p>
        </w:tc>
        <w:tc>
          <w:tcPr>
            <w:tcW w:w="675" w:type="dxa"/>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一般公共预算</w:t>
            </w:r>
          </w:p>
        </w:tc>
        <w:tc>
          <w:tcPr>
            <w:tcW w:w="525" w:type="dxa"/>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政府性</w:t>
            </w:r>
          </w:p>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基金</w:t>
            </w:r>
          </w:p>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预算</w:t>
            </w:r>
          </w:p>
        </w:tc>
        <w:tc>
          <w:tcPr>
            <w:tcW w:w="435" w:type="dxa"/>
            <w:noWrap w:val="0"/>
            <w:vAlign w:val="center"/>
          </w:tcPr>
          <w:p>
            <w:pPr>
              <w:autoSpaceDN w:val="0"/>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sz w:val="20"/>
                <w:szCs w:val="20"/>
              </w:rPr>
              <w:t>国有资本</w:t>
            </w:r>
          </w:p>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经营预算</w:t>
            </w:r>
          </w:p>
        </w:tc>
        <w:tc>
          <w:tcPr>
            <w:tcW w:w="435" w:type="dxa"/>
            <w:noWrap w:val="0"/>
            <w:vAlign w:val="center"/>
          </w:tcPr>
          <w:p>
            <w:pPr>
              <w:autoSpaceDN w:val="0"/>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sz w:val="20"/>
                <w:szCs w:val="20"/>
              </w:rPr>
              <w:t>一般</w:t>
            </w:r>
          </w:p>
          <w:p>
            <w:pPr>
              <w:autoSpaceDN w:val="0"/>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sz w:val="20"/>
                <w:szCs w:val="20"/>
              </w:rPr>
              <w:t>公共</w:t>
            </w:r>
          </w:p>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sz w:val="20"/>
                <w:szCs w:val="20"/>
              </w:rPr>
              <w:t>政府性</w:t>
            </w:r>
          </w:p>
          <w:p>
            <w:pPr>
              <w:autoSpaceDN w:val="0"/>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sz w:val="20"/>
                <w:szCs w:val="20"/>
              </w:rPr>
              <w:t>基金</w:t>
            </w:r>
          </w:p>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sz w:val="20"/>
                <w:szCs w:val="20"/>
              </w:rPr>
              <w:t>国有资本经营</w:t>
            </w:r>
          </w:p>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0"/>
              </w:rPr>
            </w:pPr>
          </w:p>
        </w:tc>
        <w:tc>
          <w:tcPr>
            <w:tcW w:w="425" w:type="dxa"/>
            <w:vMerge w:val="continue"/>
            <w:noWrap w:val="0"/>
            <w:vAlign w:val="center"/>
          </w:tcPr>
          <w:p>
            <w:pPr>
              <w:autoSpaceDN w:val="0"/>
              <w:jc w:val="center"/>
              <w:textAlignment w:val="center"/>
              <w:rPr>
                <w:rFonts w:hint="eastAsia" w:ascii="宋体" w:hAnsi="宋体" w:eastAsia="宋体"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exact"/>
          <w:jc w:val="center"/>
        </w:trPr>
        <w:tc>
          <w:tcPr>
            <w:tcW w:w="759"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专项业务支出</w:t>
            </w:r>
          </w:p>
        </w:tc>
        <w:tc>
          <w:tcPr>
            <w:tcW w:w="1063" w:type="dxa"/>
            <w:noWrap w:val="0"/>
            <w:vAlign w:val="center"/>
          </w:tcPr>
          <w:p>
            <w:pPr>
              <w:spacing w:line="240" w:lineRule="auto"/>
              <w:jc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党工委2024年工作经费</w:t>
            </w:r>
          </w:p>
        </w:tc>
        <w:tc>
          <w:tcPr>
            <w:tcW w:w="1107" w:type="dxa"/>
            <w:noWrap w:val="0"/>
            <w:vAlign w:val="center"/>
          </w:tcPr>
          <w:p>
            <w:pPr>
              <w:spacing w:line="240" w:lineRule="auto"/>
              <w:jc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党工委2024年工作经费</w:t>
            </w:r>
          </w:p>
        </w:tc>
        <w:tc>
          <w:tcPr>
            <w:tcW w:w="864" w:type="dxa"/>
            <w:noWrap w:val="0"/>
            <w:vAlign w:val="center"/>
          </w:tcPr>
          <w:p>
            <w:pPr>
              <w:spacing w:line="240" w:lineRule="auto"/>
              <w:jc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中共通榆县直属机关工作委员会</w:t>
            </w:r>
          </w:p>
        </w:tc>
        <w:tc>
          <w:tcPr>
            <w:tcW w:w="620" w:type="dxa"/>
            <w:noWrap w:val="0"/>
            <w:vAlign w:val="center"/>
          </w:tcPr>
          <w:p>
            <w:pPr>
              <w:keepNext w:val="0"/>
              <w:keepLines w:val="0"/>
              <w:widowControl/>
              <w:suppressLineNumbers w:val="0"/>
              <w:jc w:val="center"/>
              <w:textAlignment w:val="center"/>
              <w:rPr>
                <w:rFonts w:hint="default" w:ascii="宋体" w:hAnsi="宋体" w:eastAsia="宋体" w:cs="宋体"/>
                <w:kern w:val="0"/>
                <w:sz w:val="16"/>
                <w:szCs w:val="16"/>
                <w:lang w:val="en-US"/>
              </w:rPr>
            </w:pPr>
            <w:r>
              <w:rPr>
                <w:rFonts w:hint="eastAsia" w:ascii="宋体" w:hAnsi="宋体" w:eastAsia="宋体" w:cs="宋体"/>
                <w:i w:val="0"/>
                <w:iCs w:val="0"/>
                <w:color w:val="000000"/>
                <w:kern w:val="0"/>
                <w:sz w:val="16"/>
                <w:szCs w:val="16"/>
                <w:u w:val="none"/>
                <w:lang w:val="en-US" w:eastAsia="zh-CN" w:bidi="ar"/>
              </w:rPr>
              <w:t>20.00</w:t>
            </w:r>
          </w:p>
        </w:tc>
        <w:tc>
          <w:tcPr>
            <w:tcW w:w="675" w:type="dxa"/>
            <w:noWrap w:val="0"/>
            <w:vAlign w:val="center"/>
          </w:tcPr>
          <w:p>
            <w:pPr>
              <w:keepNext w:val="0"/>
              <w:keepLines w:val="0"/>
              <w:widowControl/>
              <w:suppressLineNumbers w:val="0"/>
              <w:jc w:val="center"/>
              <w:textAlignment w:val="center"/>
              <w:rPr>
                <w:rFonts w:hint="default" w:ascii="宋体" w:hAnsi="宋体" w:eastAsia="宋体" w:cs="宋体"/>
                <w:kern w:val="0"/>
                <w:sz w:val="16"/>
                <w:szCs w:val="16"/>
                <w:lang w:val="en-US" w:eastAsia="zh-CN"/>
              </w:rPr>
            </w:pPr>
            <w:r>
              <w:rPr>
                <w:rFonts w:hint="eastAsia" w:ascii="宋体" w:hAnsi="宋体" w:eastAsia="宋体" w:cs="宋体"/>
                <w:kern w:val="0"/>
                <w:sz w:val="16"/>
                <w:szCs w:val="16"/>
                <w:lang w:val="en-US" w:eastAsia="zh-CN"/>
              </w:rPr>
              <w:t>20.00</w:t>
            </w:r>
          </w:p>
        </w:tc>
        <w:tc>
          <w:tcPr>
            <w:tcW w:w="525" w:type="dxa"/>
            <w:noWrap w:val="0"/>
            <w:vAlign w:val="center"/>
          </w:tcPr>
          <w:p>
            <w:pPr>
              <w:spacing w:line="700" w:lineRule="exact"/>
              <w:jc w:val="center"/>
              <w:rPr>
                <w:rFonts w:hint="eastAsia" w:ascii="宋体" w:hAnsi="宋体" w:eastAsia="宋体" w:cs="宋体"/>
                <w:kern w:val="0"/>
                <w:sz w:val="20"/>
                <w:szCs w:val="20"/>
              </w:rPr>
            </w:pPr>
          </w:p>
        </w:tc>
        <w:tc>
          <w:tcPr>
            <w:tcW w:w="435" w:type="dxa"/>
            <w:noWrap w:val="0"/>
            <w:vAlign w:val="center"/>
          </w:tcPr>
          <w:p>
            <w:pPr>
              <w:spacing w:line="700" w:lineRule="exact"/>
              <w:jc w:val="center"/>
              <w:rPr>
                <w:rFonts w:hint="eastAsia" w:ascii="宋体" w:hAnsi="宋体" w:eastAsia="宋体" w:cs="宋体"/>
                <w:kern w:val="0"/>
                <w:sz w:val="20"/>
                <w:szCs w:val="20"/>
              </w:rPr>
            </w:pPr>
          </w:p>
        </w:tc>
        <w:tc>
          <w:tcPr>
            <w:tcW w:w="435" w:type="dxa"/>
            <w:noWrap w:val="0"/>
            <w:vAlign w:val="center"/>
          </w:tcPr>
          <w:p>
            <w:pPr>
              <w:spacing w:line="700" w:lineRule="exact"/>
              <w:jc w:val="center"/>
              <w:rPr>
                <w:rFonts w:hint="eastAsia" w:ascii="宋体" w:hAnsi="宋体" w:eastAsia="宋体" w:cs="宋体"/>
                <w:kern w:val="0"/>
                <w:sz w:val="20"/>
                <w:szCs w:val="20"/>
              </w:rPr>
            </w:pPr>
          </w:p>
        </w:tc>
        <w:tc>
          <w:tcPr>
            <w:tcW w:w="532" w:type="dxa"/>
            <w:noWrap w:val="0"/>
            <w:vAlign w:val="center"/>
          </w:tcPr>
          <w:p>
            <w:pPr>
              <w:spacing w:line="700" w:lineRule="exact"/>
              <w:jc w:val="center"/>
              <w:rPr>
                <w:rFonts w:hint="eastAsia" w:ascii="宋体" w:hAnsi="宋体" w:eastAsia="宋体" w:cs="宋体"/>
                <w:kern w:val="0"/>
                <w:sz w:val="20"/>
                <w:szCs w:val="20"/>
              </w:rPr>
            </w:pPr>
          </w:p>
        </w:tc>
        <w:tc>
          <w:tcPr>
            <w:tcW w:w="598" w:type="dxa"/>
            <w:noWrap w:val="0"/>
            <w:vAlign w:val="center"/>
          </w:tcPr>
          <w:p>
            <w:pPr>
              <w:spacing w:line="700" w:lineRule="exact"/>
              <w:jc w:val="center"/>
              <w:rPr>
                <w:rFonts w:hint="eastAsia" w:ascii="宋体" w:hAnsi="宋体" w:eastAsia="宋体" w:cs="宋体"/>
                <w:kern w:val="0"/>
                <w:sz w:val="20"/>
                <w:szCs w:val="20"/>
              </w:rPr>
            </w:pPr>
          </w:p>
        </w:tc>
        <w:tc>
          <w:tcPr>
            <w:tcW w:w="443" w:type="dxa"/>
            <w:noWrap w:val="0"/>
            <w:vAlign w:val="center"/>
          </w:tcPr>
          <w:p>
            <w:pPr>
              <w:spacing w:line="700" w:lineRule="exact"/>
              <w:jc w:val="center"/>
              <w:rPr>
                <w:rFonts w:hint="eastAsia" w:ascii="宋体" w:hAnsi="宋体" w:eastAsia="宋体" w:cs="宋体"/>
                <w:kern w:val="0"/>
                <w:sz w:val="20"/>
                <w:szCs w:val="20"/>
              </w:rPr>
            </w:pPr>
          </w:p>
        </w:tc>
        <w:tc>
          <w:tcPr>
            <w:tcW w:w="425" w:type="dxa"/>
            <w:noWrap w:val="0"/>
            <w:vAlign w:val="center"/>
          </w:tcPr>
          <w:p>
            <w:pPr>
              <w:spacing w:line="700" w:lineRule="exact"/>
              <w:jc w:val="center"/>
              <w:rPr>
                <w:rFonts w:hint="eastAsia" w:ascii="宋体" w:hAnsi="宋体" w:eastAsia="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7" w:hRule="exact"/>
          <w:jc w:val="center"/>
        </w:trPr>
        <w:tc>
          <w:tcPr>
            <w:tcW w:w="759" w:type="dxa"/>
            <w:noWrap w:val="0"/>
            <w:vAlign w:val="center"/>
          </w:tcPr>
          <w:p>
            <w:pPr>
              <w:spacing w:line="240" w:lineRule="auto"/>
              <w:jc w:val="center"/>
              <w:rPr>
                <w:rFonts w:hint="eastAsia" w:ascii="宋体" w:hAnsi="宋体" w:eastAsia="宋体" w:cs="宋体"/>
                <w:kern w:val="0"/>
                <w:sz w:val="20"/>
                <w:szCs w:val="20"/>
              </w:rPr>
            </w:pPr>
            <w:r>
              <w:rPr>
                <w:rFonts w:hint="eastAsia" w:ascii="宋体" w:hAnsi="宋体" w:eastAsia="宋体" w:cs="宋体"/>
                <w:i w:val="0"/>
                <w:iCs w:val="0"/>
                <w:color w:val="000000"/>
                <w:kern w:val="0"/>
                <w:sz w:val="16"/>
                <w:szCs w:val="16"/>
                <w:u w:val="none"/>
                <w:lang w:val="en-US" w:eastAsia="zh-CN" w:bidi="ar"/>
              </w:rPr>
              <w:t>专项业务支出</w:t>
            </w:r>
          </w:p>
        </w:tc>
        <w:tc>
          <w:tcPr>
            <w:tcW w:w="1063" w:type="dxa"/>
            <w:noWrap w:val="0"/>
            <w:vAlign w:val="center"/>
          </w:tcPr>
          <w:p>
            <w:pPr>
              <w:keepNext w:val="0"/>
              <w:keepLines w:val="0"/>
              <w:widowControl/>
              <w:suppressLineNumbers w:val="0"/>
              <w:jc w:val="center"/>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16"/>
                <w:szCs w:val="16"/>
                <w:u w:val="none"/>
                <w:lang w:val="en-US" w:eastAsia="zh-CN" w:bidi="ar"/>
              </w:rPr>
              <w:t>党工委2024年驻村工作队生活补贴</w:t>
            </w:r>
          </w:p>
        </w:tc>
        <w:tc>
          <w:tcPr>
            <w:tcW w:w="1107" w:type="dxa"/>
            <w:noWrap w:val="0"/>
            <w:vAlign w:val="center"/>
          </w:tcPr>
          <w:p>
            <w:pPr>
              <w:jc w:val="center"/>
              <w:rPr>
                <w:rFonts w:hint="eastAsia" w:ascii="宋体" w:hAnsi="宋体" w:eastAsia="宋体" w:cs="宋体"/>
                <w:kern w:val="0"/>
                <w:sz w:val="20"/>
                <w:szCs w:val="20"/>
              </w:rPr>
            </w:pPr>
            <w:r>
              <w:rPr>
                <w:rFonts w:hint="eastAsia" w:ascii="宋体" w:hAnsi="宋体" w:eastAsia="宋体" w:cs="宋体"/>
                <w:i w:val="0"/>
                <w:iCs w:val="0"/>
                <w:color w:val="000000"/>
                <w:kern w:val="0"/>
                <w:sz w:val="16"/>
                <w:szCs w:val="16"/>
                <w:u w:val="none"/>
                <w:lang w:val="en-US" w:eastAsia="zh-CN" w:bidi="ar"/>
              </w:rPr>
              <w:t>党工委2024年驻村工作队生活补贴</w:t>
            </w:r>
          </w:p>
        </w:tc>
        <w:tc>
          <w:tcPr>
            <w:tcW w:w="864" w:type="dxa"/>
            <w:noWrap w:val="0"/>
            <w:vAlign w:val="center"/>
          </w:tcPr>
          <w:p>
            <w:pPr>
              <w:jc w:val="center"/>
              <w:rPr>
                <w:rFonts w:hint="eastAsia" w:ascii="宋体" w:hAnsi="宋体" w:eastAsia="宋体" w:cs="宋体"/>
                <w:kern w:val="0"/>
                <w:sz w:val="20"/>
                <w:szCs w:val="20"/>
              </w:rPr>
            </w:pPr>
            <w:r>
              <w:rPr>
                <w:rFonts w:hint="eastAsia" w:ascii="宋体" w:hAnsi="宋体" w:eastAsia="宋体" w:cs="宋体"/>
                <w:i w:val="0"/>
                <w:iCs w:val="0"/>
                <w:color w:val="000000"/>
                <w:kern w:val="0"/>
                <w:sz w:val="16"/>
                <w:szCs w:val="16"/>
                <w:u w:val="none"/>
                <w:lang w:val="en-US" w:eastAsia="zh-CN" w:bidi="ar"/>
              </w:rPr>
              <w:t>中共通榆县直属机关工作委员会</w:t>
            </w:r>
          </w:p>
        </w:tc>
        <w:tc>
          <w:tcPr>
            <w:tcW w:w="620" w:type="dxa"/>
            <w:noWrap w:val="0"/>
            <w:vAlign w:val="center"/>
          </w:tcPr>
          <w:p>
            <w:pPr>
              <w:keepNext w:val="0"/>
              <w:keepLines w:val="0"/>
              <w:widowControl/>
              <w:suppressLineNumbers w:val="0"/>
              <w:jc w:val="center"/>
              <w:textAlignment w:val="center"/>
              <w:rPr>
                <w:rFonts w:hint="default" w:ascii="宋体" w:hAnsi="宋体" w:eastAsia="宋体" w:cs="宋体"/>
                <w:kern w:val="0"/>
                <w:sz w:val="18"/>
                <w:szCs w:val="18"/>
                <w:lang w:val="en-US"/>
              </w:rPr>
            </w:pPr>
            <w:r>
              <w:rPr>
                <w:rFonts w:hint="eastAsia" w:ascii="宋体" w:hAnsi="宋体" w:eastAsia="宋体" w:cs="宋体"/>
                <w:i w:val="0"/>
                <w:iCs w:val="0"/>
                <w:color w:val="000000"/>
                <w:kern w:val="0"/>
                <w:sz w:val="18"/>
                <w:szCs w:val="18"/>
                <w:u w:val="none"/>
                <w:lang w:val="en-US" w:eastAsia="zh-CN" w:bidi="ar"/>
              </w:rPr>
              <w:t>3.60</w:t>
            </w:r>
          </w:p>
        </w:tc>
        <w:tc>
          <w:tcPr>
            <w:tcW w:w="675" w:type="dxa"/>
            <w:noWrap w:val="0"/>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3.60</w:t>
            </w:r>
          </w:p>
        </w:tc>
        <w:tc>
          <w:tcPr>
            <w:tcW w:w="525" w:type="dxa"/>
            <w:noWrap w:val="0"/>
            <w:vAlign w:val="center"/>
          </w:tcPr>
          <w:p>
            <w:pPr>
              <w:spacing w:line="700" w:lineRule="exact"/>
              <w:jc w:val="center"/>
              <w:rPr>
                <w:rFonts w:hint="eastAsia" w:ascii="宋体" w:hAnsi="宋体" w:eastAsia="宋体" w:cs="宋体"/>
                <w:kern w:val="0"/>
                <w:sz w:val="20"/>
                <w:szCs w:val="20"/>
              </w:rPr>
            </w:pPr>
          </w:p>
        </w:tc>
        <w:tc>
          <w:tcPr>
            <w:tcW w:w="435" w:type="dxa"/>
            <w:noWrap w:val="0"/>
            <w:vAlign w:val="center"/>
          </w:tcPr>
          <w:p>
            <w:pPr>
              <w:spacing w:line="700" w:lineRule="exact"/>
              <w:jc w:val="center"/>
              <w:rPr>
                <w:rFonts w:hint="eastAsia" w:ascii="宋体" w:hAnsi="宋体" w:eastAsia="宋体" w:cs="宋体"/>
                <w:kern w:val="0"/>
                <w:sz w:val="20"/>
                <w:szCs w:val="20"/>
              </w:rPr>
            </w:pPr>
          </w:p>
        </w:tc>
        <w:tc>
          <w:tcPr>
            <w:tcW w:w="435" w:type="dxa"/>
            <w:noWrap w:val="0"/>
            <w:vAlign w:val="center"/>
          </w:tcPr>
          <w:p>
            <w:pPr>
              <w:spacing w:line="700" w:lineRule="exact"/>
              <w:jc w:val="center"/>
              <w:rPr>
                <w:rFonts w:hint="eastAsia" w:ascii="宋体" w:hAnsi="宋体" w:eastAsia="宋体" w:cs="宋体"/>
                <w:kern w:val="0"/>
                <w:sz w:val="20"/>
                <w:szCs w:val="20"/>
              </w:rPr>
            </w:pPr>
          </w:p>
        </w:tc>
        <w:tc>
          <w:tcPr>
            <w:tcW w:w="532" w:type="dxa"/>
            <w:noWrap w:val="0"/>
            <w:vAlign w:val="center"/>
          </w:tcPr>
          <w:p>
            <w:pPr>
              <w:spacing w:line="700" w:lineRule="exact"/>
              <w:jc w:val="center"/>
              <w:rPr>
                <w:rFonts w:hint="eastAsia" w:ascii="宋体" w:hAnsi="宋体" w:eastAsia="宋体" w:cs="宋体"/>
                <w:kern w:val="0"/>
                <w:sz w:val="20"/>
                <w:szCs w:val="20"/>
              </w:rPr>
            </w:pPr>
          </w:p>
        </w:tc>
        <w:tc>
          <w:tcPr>
            <w:tcW w:w="598" w:type="dxa"/>
            <w:noWrap w:val="0"/>
            <w:vAlign w:val="center"/>
          </w:tcPr>
          <w:p>
            <w:pPr>
              <w:spacing w:line="700" w:lineRule="exact"/>
              <w:jc w:val="center"/>
              <w:rPr>
                <w:rFonts w:hint="eastAsia" w:ascii="宋体" w:hAnsi="宋体" w:eastAsia="宋体" w:cs="宋体"/>
                <w:kern w:val="0"/>
                <w:sz w:val="20"/>
                <w:szCs w:val="20"/>
              </w:rPr>
            </w:pPr>
          </w:p>
        </w:tc>
        <w:tc>
          <w:tcPr>
            <w:tcW w:w="443" w:type="dxa"/>
            <w:noWrap w:val="0"/>
            <w:vAlign w:val="center"/>
          </w:tcPr>
          <w:p>
            <w:pPr>
              <w:spacing w:line="700" w:lineRule="exact"/>
              <w:jc w:val="center"/>
              <w:rPr>
                <w:rFonts w:hint="eastAsia" w:ascii="宋体" w:hAnsi="宋体" w:eastAsia="宋体" w:cs="宋体"/>
                <w:kern w:val="0"/>
                <w:sz w:val="20"/>
                <w:szCs w:val="20"/>
              </w:rPr>
            </w:pPr>
          </w:p>
        </w:tc>
        <w:tc>
          <w:tcPr>
            <w:tcW w:w="425" w:type="dxa"/>
            <w:noWrap w:val="0"/>
            <w:vAlign w:val="center"/>
          </w:tcPr>
          <w:p>
            <w:pPr>
              <w:spacing w:line="700" w:lineRule="exact"/>
              <w:jc w:val="center"/>
              <w:rPr>
                <w:rFonts w:hint="eastAsia" w:ascii="宋体" w:hAnsi="宋体" w:eastAsia="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exact"/>
          <w:jc w:val="center"/>
        </w:trPr>
        <w:tc>
          <w:tcPr>
            <w:tcW w:w="759" w:type="dxa"/>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合计</w:t>
            </w:r>
          </w:p>
        </w:tc>
        <w:tc>
          <w:tcPr>
            <w:tcW w:w="1063" w:type="dxa"/>
            <w:noWrap w:val="0"/>
            <w:vAlign w:val="center"/>
          </w:tcPr>
          <w:p>
            <w:pPr>
              <w:autoSpaceDN w:val="0"/>
              <w:jc w:val="center"/>
              <w:textAlignment w:val="center"/>
              <w:rPr>
                <w:rFonts w:hint="eastAsia" w:ascii="宋体" w:hAnsi="宋体" w:eastAsia="宋体" w:cs="宋体"/>
                <w:color w:val="000000"/>
                <w:sz w:val="20"/>
                <w:szCs w:val="20"/>
              </w:rPr>
            </w:pPr>
          </w:p>
        </w:tc>
        <w:tc>
          <w:tcPr>
            <w:tcW w:w="1107" w:type="dxa"/>
            <w:noWrap w:val="0"/>
            <w:vAlign w:val="center"/>
          </w:tcPr>
          <w:p>
            <w:pPr>
              <w:spacing w:line="700" w:lineRule="exact"/>
              <w:jc w:val="center"/>
              <w:rPr>
                <w:rFonts w:hint="eastAsia" w:ascii="宋体" w:hAnsi="宋体" w:eastAsia="宋体" w:cs="宋体"/>
                <w:kern w:val="0"/>
                <w:sz w:val="20"/>
                <w:szCs w:val="20"/>
              </w:rPr>
            </w:pPr>
          </w:p>
        </w:tc>
        <w:tc>
          <w:tcPr>
            <w:tcW w:w="864" w:type="dxa"/>
            <w:noWrap w:val="0"/>
            <w:vAlign w:val="center"/>
          </w:tcPr>
          <w:p>
            <w:pPr>
              <w:spacing w:line="700" w:lineRule="exact"/>
              <w:jc w:val="center"/>
              <w:rPr>
                <w:rFonts w:hint="eastAsia" w:ascii="宋体" w:hAnsi="宋体" w:eastAsia="宋体" w:cs="宋体"/>
                <w:kern w:val="0"/>
                <w:sz w:val="20"/>
                <w:szCs w:val="20"/>
              </w:rPr>
            </w:pPr>
          </w:p>
        </w:tc>
        <w:tc>
          <w:tcPr>
            <w:tcW w:w="620" w:type="dxa"/>
            <w:noWrap w:val="0"/>
            <w:vAlign w:val="center"/>
          </w:tcPr>
          <w:p>
            <w:pPr>
              <w:spacing w:line="70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23.6</w:t>
            </w:r>
          </w:p>
        </w:tc>
        <w:tc>
          <w:tcPr>
            <w:tcW w:w="675" w:type="dxa"/>
            <w:noWrap w:val="0"/>
            <w:vAlign w:val="center"/>
          </w:tcPr>
          <w:p>
            <w:pPr>
              <w:spacing w:line="700" w:lineRule="exact"/>
              <w:jc w:val="both"/>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23.6</w:t>
            </w:r>
          </w:p>
        </w:tc>
        <w:tc>
          <w:tcPr>
            <w:tcW w:w="525" w:type="dxa"/>
            <w:noWrap w:val="0"/>
            <w:vAlign w:val="center"/>
          </w:tcPr>
          <w:p>
            <w:pPr>
              <w:spacing w:line="700" w:lineRule="exact"/>
              <w:jc w:val="center"/>
              <w:rPr>
                <w:rFonts w:hint="eastAsia" w:ascii="宋体" w:hAnsi="宋体" w:eastAsia="宋体" w:cs="宋体"/>
                <w:kern w:val="0"/>
                <w:sz w:val="20"/>
                <w:szCs w:val="20"/>
              </w:rPr>
            </w:pPr>
          </w:p>
        </w:tc>
        <w:tc>
          <w:tcPr>
            <w:tcW w:w="435" w:type="dxa"/>
            <w:noWrap w:val="0"/>
            <w:vAlign w:val="center"/>
          </w:tcPr>
          <w:p>
            <w:pPr>
              <w:spacing w:line="700" w:lineRule="exact"/>
              <w:jc w:val="center"/>
              <w:rPr>
                <w:rFonts w:hint="eastAsia" w:ascii="宋体" w:hAnsi="宋体" w:eastAsia="宋体" w:cs="宋体"/>
                <w:kern w:val="0"/>
                <w:sz w:val="20"/>
                <w:szCs w:val="20"/>
              </w:rPr>
            </w:pPr>
          </w:p>
        </w:tc>
        <w:tc>
          <w:tcPr>
            <w:tcW w:w="435" w:type="dxa"/>
            <w:noWrap w:val="0"/>
            <w:vAlign w:val="center"/>
          </w:tcPr>
          <w:p>
            <w:pPr>
              <w:spacing w:line="700" w:lineRule="exact"/>
              <w:jc w:val="center"/>
              <w:rPr>
                <w:rFonts w:hint="eastAsia" w:ascii="宋体" w:hAnsi="宋体" w:eastAsia="宋体" w:cs="宋体"/>
                <w:kern w:val="0"/>
                <w:sz w:val="20"/>
                <w:szCs w:val="20"/>
              </w:rPr>
            </w:pPr>
          </w:p>
        </w:tc>
        <w:tc>
          <w:tcPr>
            <w:tcW w:w="532" w:type="dxa"/>
            <w:noWrap w:val="0"/>
            <w:vAlign w:val="center"/>
          </w:tcPr>
          <w:p>
            <w:pPr>
              <w:spacing w:line="700" w:lineRule="exact"/>
              <w:jc w:val="center"/>
              <w:rPr>
                <w:rFonts w:hint="eastAsia" w:ascii="宋体" w:hAnsi="宋体" w:eastAsia="宋体" w:cs="宋体"/>
                <w:kern w:val="0"/>
                <w:sz w:val="20"/>
                <w:szCs w:val="20"/>
              </w:rPr>
            </w:pPr>
          </w:p>
        </w:tc>
        <w:tc>
          <w:tcPr>
            <w:tcW w:w="598" w:type="dxa"/>
            <w:noWrap w:val="0"/>
            <w:vAlign w:val="center"/>
          </w:tcPr>
          <w:p>
            <w:pPr>
              <w:spacing w:line="700" w:lineRule="exact"/>
              <w:jc w:val="center"/>
              <w:rPr>
                <w:rFonts w:hint="eastAsia" w:ascii="宋体" w:hAnsi="宋体" w:eastAsia="宋体" w:cs="宋体"/>
                <w:kern w:val="0"/>
                <w:sz w:val="20"/>
                <w:szCs w:val="20"/>
              </w:rPr>
            </w:pPr>
          </w:p>
        </w:tc>
        <w:tc>
          <w:tcPr>
            <w:tcW w:w="443" w:type="dxa"/>
            <w:noWrap w:val="0"/>
            <w:vAlign w:val="center"/>
          </w:tcPr>
          <w:p>
            <w:pPr>
              <w:spacing w:line="700" w:lineRule="exact"/>
              <w:jc w:val="center"/>
              <w:rPr>
                <w:rFonts w:hint="eastAsia" w:ascii="宋体" w:hAnsi="宋体" w:eastAsia="宋体" w:cs="宋体"/>
                <w:kern w:val="0"/>
                <w:sz w:val="20"/>
                <w:szCs w:val="20"/>
              </w:rPr>
            </w:pPr>
          </w:p>
        </w:tc>
        <w:tc>
          <w:tcPr>
            <w:tcW w:w="425" w:type="dxa"/>
            <w:noWrap w:val="0"/>
            <w:vAlign w:val="center"/>
          </w:tcPr>
          <w:p>
            <w:pPr>
              <w:spacing w:line="700" w:lineRule="exact"/>
              <w:jc w:val="center"/>
              <w:rPr>
                <w:rFonts w:hint="eastAsia" w:ascii="宋体" w:hAnsi="宋体" w:eastAsia="宋体" w:cs="宋体"/>
                <w:kern w:val="0"/>
                <w:sz w:val="20"/>
                <w:szCs w:val="20"/>
              </w:rPr>
            </w:pPr>
          </w:p>
        </w:tc>
      </w:tr>
    </w:tbl>
    <w:p>
      <w:pPr>
        <w:spacing w:line="700" w:lineRule="exact"/>
        <w:jc w:val="center"/>
        <w:rPr>
          <w:rFonts w:hint="eastAsia" w:ascii="宋体" w:hAnsi="宋体" w:eastAsia="宋体" w:cs="宋体"/>
          <w:kern w:val="0"/>
          <w:sz w:val="20"/>
          <w:szCs w:val="20"/>
        </w:rPr>
      </w:pPr>
    </w:p>
    <w:p>
      <w:pPr>
        <w:spacing w:line="700" w:lineRule="exact"/>
        <w:jc w:val="center"/>
        <w:rPr>
          <w:rFonts w:hint="eastAsia" w:ascii="宋体" w:hAnsi="宋体" w:eastAsia="宋体" w:cs="宋体"/>
          <w:kern w:val="0"/>
          <w:sz w:val="20"/>
          <w:szCs w:val="20"/>
        </w:rPr>
      </w:pPr>
    </w:p>
    <w:p>
      <w:pPr>
        <w:spacing w:line="700" w:lineRule="exact"/>
        <w:jc w:val="center"/>
        <w:rPr>
          <w:rFonts w:hint="eastAsia" w:ascii="宋体" w:hAnsi="宋体" w:eastAsia="宋体" w:cs="宋体"/>
          <w:kern w:val="0"/>
          <w:sz w:val="20"/>
          <w:szCs w:val="20"/>
        </w:rPr>
      </w:pPr>
    </w:p>
    <w:p>
      <w:pPr>
        <w:spacing w:line="700" w:lineRule="exact"/>
        <w:jc w:val="center"/>
        <w:rPr>
          <w:rFonts w:hint="eastAsia" w:ascii="宋体" w:hAnsi="宋体" w:eastAsia="宋体" w:cs="宋体"/>
          <w:kern w:val="0"/>
          <w:sz w:val="20"/>
          <w:szCs w:val="20"/>
        </w:rPr>
      </w:pPr>
    </w:p>
    <w:p>
      <w:pPr>
        <w:spacing w:line="700" w:lineRule="exact"/>
        <w:jc w:val="center"/>
        <w:rPr>
          <w:rFonts w:hint="eastAsia" w:ascii="宋体" w:hAnsi="宋体" w:eastAsia="宋体" w:cs="宋体"/>
          <w:kern w:val="0"/>
          <w:sz w:val="20"/>
          <w:szCs w:val="20"/>
        </w:rPr>
      </w:pPr>
    </w:p>
    <w:p>
      <w:pPr>
        <w:spacing w:line="700" w:lineRule="exact"/>
        <w:jc w:val="center"/>
        <w:rPr>
          <w:rFonts w:hint="eastAsia" w:ascii="宋体" w:hAnsi="宋体" w:eastAsia="宋体" w:cs="宋体"/>
          <w:kern w:val="0"/>
          <w:sz w:val="20"/>
          <w:szCs w:val="20"/>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highlight w:val="none"/>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i w:val="0"/>
                <w:iCs w:val="0"/>
                <w:color w:val="000000"/>
                <w:kern w:val="0"/>
                <w:sz w:val="16"/>
                <w:szCs w:val="16"/>
                <w:u w:val="none"/>
                <w:lang w:val="en-US" w:eastAsia="zh-CN" w:bidi="ar"/>
              </w:rPr>
              <w:t>党工委2024年工作经费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20.00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为保障中共通榆县直属机关工作委员会2024年度工作正常运转，保障单位各相关科室正常运行，预算能够顺利执行，申请该项目。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党建活动次数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4次</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资金对各项工作的影响程度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党建活动</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10万元/次</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各项工作完成及时率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提升基层党员干部满意率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bl>
    <w:p>
      <w:pPr>
        <w:spacing w:line="700" w:lineRule="exact"/>
        <w:rPr>
          <w:rFonts w:hint="default" w:ascii="楷体" w:hAnsi="楷体" w:eastAsia="楷体" w:cs="楷体"/>
          <w:kern w:val="0"/>
          <w:sz w:val="24"/>
          <w:szCs w:val="24"/>
          <w:lang w:val="en-US" w:eastAsia="zh-CN"/>
        </w:rPr>
      </w:pPr>
      <w:r>
        <w:rPr>
          <w:rFonts w:hint="eastAsia" w:ascii="楷体" w:hAnsi="楷体" w:eastAsia="楷体" w:cs="楷体"/>
          <w:kern w:val="0"/>
          <w:sz w:val="24"/>
          <w:szCs w:val="24"/>
          <w:lang w:val="en-US" w:eastAsia="zh-CN"/>
        </w:rPr>
        <w:t xml:space="preserve">                                   </w:t>
      </w:r>
    </w:p>
    <w:p>
      <w:pPr>
        <w:spacing w:line="700" w:lineRule="exact"/>
        <w:ind w:firstLine="640" w:firstLineChars="200"/>
        <w:rPr>
          <w:rFonts w:hint="eastAsia" w:eastAsia="楷体"/>
          <w:kern w:val="0"/>
          <w:szCs w:val="32"/>
        </w:rPr>
      </w:pPr>
      <w:r>
        <w:rPr>
          <w:rFonts w:hint="eastAsia" w:eastAsia="楷体"/>
          <w:kern w:val="0"/>
          <w:szCs w:val="32"/>
        </w:rPr>
        <w:br w:type="page"/>
      </w: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highlight w:val="none"/>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Verdana" w:hAnsi="Verdana" w:eastAsia="仿宋_GB2312" w:cs="Verdana"/>
                <w:i w:val="0"/>
                <w:iCs w:val="0"/>
                <w:color w:val="000000"/>
                <w:kern w:val="2"/>
                <w:sz w:val="24"/>
                <w:szCs w:val="24"/>
                <w:u w:val="none"/>
                <w:lang w:val="en-US" w:eastAsia="zh-CN" w:bidi="ar-SA"/>
              </w:rPr>
            </w:pPr>
            <w:r>
              <w:rPr>
                <w:rFonts w:hint="default" w:ascii="宋体" w:hAnsi="宋体" w:eastAsia="宋体" w:cs="宋体"/>
                <w:color w:val="000000"/>
                <w:sz w:val="20"/>
                <w:lang w:val="en-US" w:eastAsia="zh-CN"/>
              </w:rPr>
              <w:t>党工委2024年驻村工作队生活补贴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3.60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为保障中共通榆县直属机关工作委员会2024年度工作正常运转，保障驻村工作队正常运行，预算能够顺利执行，申请该项目。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补助资金对生活水平的影响程度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驻村干部补贴发放成本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驻村补助发放及时率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提升驻村工作队员生活水平</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bl>
    <w:p>
      <w:pPr>
        <w:spacing w:line="700" w:lineRule="exact"/>
        <w:ind w:firstLine="640" w:firstLineChars="200"/>
        <w:rPr>
          <w:rFonts w:hint="eastAsia" w:eastAsia="楷体"/>
          <w:kern w:val="0"/>
          <w:szCs w:val="32"/>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bookmarkStart w:id="0" w:name="_GoBack"/>
      <w:bookmarkEnd w:id="0"/>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color w:val="auto"/>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106.46</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106.46</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u w:val="single"/>
          <w:lang w:val="en-US" w:eastAsia="zh-CN"/>
        </w:rPr>
        <w:t>16.15</w:t>
      </w:r>
      <w:r>
        <w:rPr>
          <w:rFonts w:hint="eastAsia" w:ascii="仿宋_GB2312" w:hAnsi="仿宋_GB2312" w:eastAsia="仿宋_GB2312" w:cs="仿宋_GB2312"/>
          <w:szCs w:val="32"/>
        </w:rPr>
        <w:t>万元，</w:t>
      </w:r>
      <w:r>
        <w:rPr>
          <w:rFonts w:hint="eastAsia" w:ascii="仿宋_GB2312" w:hAnsi="仿宋_GB2312" w:eastAsia="仿宋_GB2312" w:cs="仿宋_GB2312"/>
          <w:color w:val="auto"/>
          <w:szCs w:val="32"/>
        </w:rPr>
        <w:t>主要原因是</w:t>
      </w:r>
      <w:r>
        <w:rPr>
          <w:rFonts w:hint="eastAsia" w:ascii="仿宋_GB2312" w:hAnsi="仿宋_GB2312" w:cs="仿宋_GB2312"/>
          <w:color w:val="auto"/>
          <w:szCs w:val="32"/>
          <w:u w:val="single"/>
          <w:lang w:val="en-US" w:eastAsia="zh-CN"/>
        </w:rPr>
        <w:t>人员退休</w:t>
      </w:r>
      <w:r>
        <w:rPr>
          <w:rFonts w:hint="eastAsia" w:ascii="仿宋_GB2312" w:hAnsi="仿宋_GB2312" w:eastAsia="仿宋_GB2312" w:cs="仿宋_GB2312"/>
          <w:color w:val="auto"/>
          <w:szCs w:val="32"/>
        </w:rPr>
        <w:t>。</w:t>
      </w:r>
    </w:p>
    <w:p>
      <w:pPr>
        <w:ind w:firstLine="600" w:firstLineChars="200"/>
        <w:rPr>
          <w:color w:val="auto"/>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106.46</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106.46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106.46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106.46</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82.86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77.83</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23.60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22.17</w:t>
      </w:r>
      <w:r>
        <w:rPr>
          <w:rFonts w:hint="eastAsia" w:ascii="仿宋_GB2312" w:hAnsi="仿宋_GB2312" w:eastAsia="仿宋_GB2312" w:cs="仿宋_GB2312"/>
          <w:szCs w:val="32"/>
        </w:rPr>
        <w:t>%；事业单位经营支出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106.46</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106.46</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u w:val="single"/>
          <w:lang w:val="en-US" w:eastAsia="zh-CN"/>
        </w:rPr>
        <w:t>87.76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9.54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3.37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5.77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106.46</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82.86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77.83</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23.60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22.17</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71.82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86.68</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11.04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13.32</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u w:val="single"/>
          <w:lang w:val="en-US" w:eastAsia="zh-CN"/>
        </w:rPr>
        <w:t>87.76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82.43</w:t>
      </w:r>
      <w:r>
        <w:rPr>
          <w:rFonts w:hint="eastAsia" w:ascii="仿宋_GB2312" w:hAnsi="仿宋_GB2312" w:eastAsia="仿宋_GB2312" w:cs="仿宋_GB2312"/>
          <w:szCs w:val="32"/>
        </w:rPr>
        <w:t>%，主要用于</w:t>
      </w:r>
      <w:r>
        <w:rPr>
          <w:rFonts w:ascii="仿宋" w:hAnsi="仿宋" w:eastAsia="仿宋" w:cs="仿宋"/>
          <w:b w:val="0"/>
          <w:bCs w:val="0"/>
          <w:color w:val="000000"/>
          <w:sz w:val="31"/>
          <w:szCs w:val="31"/>
          <w:u w:val="single"/>
        </w:rPr>
        <w:t>工资福利支出和商品服务支出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w:t>
      </w:r>
      <w:r>
        <w:rPr>
          <w:rFonts w:hint="eastAsia" w:ascii="仿宋_GB2312" w:hAnsi="仿宋_GB2312" w:eastAsia="仿宋_GB2312" w:cs="仿宋_GB2312"/>
          <w:szCs w:val="32"/>
          <w:u w:val="single"/>
        </w:rPr>
        <w:t>本部门无一般公共预算拨款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w:t>
      </w:r>
      <w:r>
        <w:rPr>
          <w:rFonts w:hint="eastAsia" w:ascii="仿宋_GB2312" w:hAnsi="仿宋_GB2312" w:eastAsia="仿宋_GB2312" w:cs="仿宋_GB2312"/>
          <w:szCs w:val="32"/>
          <w:u w:val="single"/>
        </w:rPr>
        <w:t>本部门无一般公共预算拨款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cs="仿宋_GB2312"/>
          <w:szCs w:val="32"/>
          <w:lang w:val="en-US" w:eastAsia="zh-CN"/>
        </w:rPr>
        <w:t>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w:t>
      </w:r>
      <w:r>
        <w:rPr>
          <w:rFonts w:hint="eastAsia" w:ascii="仿宋_GB2312" w:hAnsi="仿宋_GB2312" w:eastAsia="仿宋_GB2312" w:cs="仿宋_GB2312"/>
          <w:szCs w:val="32"/>
          <w:u w:val="single"/>
        </w:rPr>
        <w:t>本部门无一般公共预算拨款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w:t>
      </w:r>
      <w:r>
        <w:rPr>
          <w:rFonts w:hint="eastAsia" w:ascii="仿宋_GB2312" w:hAnsi="仿宋_GB2312" w:eastAsia="仿宋_GB2312" w:cs="仿宋_GB2312"/>
          <w:szCs w:val="32"/>
          <w:u w:val="single"/>
        </w:rPr>
        <w:t>本部门无一般公共预算拨款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9.54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8.96</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本单位社会保障支出</w:t>
      </w:r>
      <w:r>
        <w:rPr>
          <w:rFonts w:hint="eastAsia" w:ascii="仿宋_GB2312" w:hAnsi="仿宋_GB2312" w:eastAsia="仿宋_GB2312" w:cs="仿宋_GB2312"/>
          <w:szCs w:val="32"/>
        </w:rPr>
        <w:t>。</w:t>
      </w:r>
    </w:p>
    <w:p>
      <w:pPr>
        <w:keepNext w:val="0"/>
        <w:keepLines w:val="0"/>
        <w:widowControl/>
        <w:suppressLineNumbers w:val="0"/>
        <w:ind w:firstLine="310" w:firstLineChars="100"/>
        <w:jc w:val="left"/>
        <w:rPr>
          <w:u w:val="single"/>
        </w:rPr>
      </w:pPr>
      <w:r>
        <w:rPr>
          <w:rFonts w:ascii="仿宋" w:hAnsi="仿宋" w:eastAsia="仿宋" w:cs="仿宋"/>
          <w:color w:val="000000"/>
          <w:kern w:val="0"/>
          <w:sz w:val="31"/>
          <w:szCs w:val="31"/>
          <w:lang w:val="en-US" w:eastAsia="zh-CN" w:bidi="ar"/>
        </w:rPr>
        <w:t>卫生健康（类）支出</w:t>
      </w:r>
      <w:r>
        <w:rPr>
          <w:rFonts w:hint="eastAsia" w:ascii="仿宋" w:hAnsi="仿宋" w:eastAsia="仿宋" w:cs="仿宋"/>
          <w:color w:val="000000"/>
          <w:kern w:val="0"/>
          <w:sz w:val="31"/>
          <w:szCs w:val="31"/>
          <w:u w:val="single"/>
          <w:lang w:val="en-US" w:eastAsia="zh-CN" w:bidi="ar"/>
        </w:rPr>
        <w:t>3.37</w:t>
      </w:r>
      <w:r>
        <w:rPr>
          <w:rFonts w:ascii="仿宋" w:hAnsi="仿宋" w:eastAsia="仿宋" w:cs="仿宋"/>
          <w:color w:val="000000"/>
          <w:kern w:val="0"/>
          <w:sz w:val="31"/>
          <w:szCs w:val="31"/>
          <w:lang w:val="en-US" w:eastAsia="zh-CN" w:bidi="ar"/>
        </w:rPr>
        <w:t>万元，占</w:t>
      </w:r>
      <w:r>
        <w:rPr>
          <w:rFonts w:hint="eastAsia" w:ascii="仿宋" w:hAnsi="仿宋" w:eastAsia="仿宋" w:cs="仿宋"/>
          <w:color w:val="000000"/>
          <w:kern w:val="0"/>
          <w:sz w:val="31"/>
          <w:szCs w:val="31"/>
          <w:u w:val="single"/>
          <w:lang w:val="en-US" w:eastAsia="zh-CN" w:bidi="ar"/>
        </w:rPr>
        <w:t>3.17</w:t>
      </w:r>
      <w:r>
        <w:rPr>
          <w:rFonts w:ascii="仿宋" w:hAnsi="仿宋" w:eastAsia="仿宋" w:cs="仿宋"/>
          <w:color w:val="000000"/>
          <w:kern w:val="0"/>
          <w:sz w:val="31"/>
          <w:szCs w:val="31"/>
          <w:lang w:val="en-US" w:eastAsia="zh-CN" w:bidi="ar"/>
        </w:rPr>
        <w:t>%，主要用于</w:t>
      </w:r>
      <w:r>
        <w:rPr>
          <w:rFonts w:ascii="仿宋" w:hAnsi="仿宋" w:eastAsia="仿宋" w:cs="仿宋"/>
          <w:color w:val="000000"/>
          <w:kern w:val="0"/>
          <w:sz w:val="31"/>
          <w:szCs w:val="31"/>
          <w:u w:val="single"/>
          <w:lang w:val="en-US" w:eastAsia="zh-CN" w:bidi="ar"/>
        </w:rPr>
        <w:t xml:space="preserve">行政事 </w:t>
      </w:r>
    </w:p>
    <w:p>
      <w:pPr>
        <w:keepNext w:val="0"/>
        <w:keepLines w:val="0"/>
        <w:widowControl/>
        <w:suppressLineNumbers w:val="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u w:val="single"/>
          <w:lang w:val="en-US" w:eastAsia="zh-CN" w:bidi="ar"/>
        </w:rPr>
        <w:t>业单位医疗--事业单位医疗</w:t>
      </w:r>
      <w:r>
        <w:rPr>
          <w:rFonts w:hint="eastAsia" w:ascii="仿宋" w:hAnsi="仿宋" w:eastAsia="仿宋" w:cs="仿宋"/>
          <w:color w:val="000000"/>
          <w:kern w:val="0"/>
          <w:sz w:val="31"/>
          <w:szCs w:val="31"/>
          <w:lang w:val="en-US" w:eastAsia="zh-CN" w:bidi="ar"/>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w:t>
      </w:r>
      <w:r>
        <w:rPr>
          <w:rFonts w:hint="eastAsia" w:ascii="仿宋_GB2312" w:hAnsi="仿宋_GB2312" w:eastAsia="仿宋_GB2312" w:cs="仿宋_GB2312"/>
          <w:szCs w:val="32"/>
          <w:u w:val="single"/>
        </w:rPr>
        <w:t>本部门无一般公共预算拨款</w:t>
      </w:r>
      <w:r>
        <w:rPr>
          <w:rFonts w:hint="eastAsia" w:ascii="仿宋_GB2312" w:hAnsi="仿宋_GB2312" w:eastAsia="仿宋_GB2312" w:cs="仿宋_GB2312"/>
          <w:szCs w:val="32"/>
        </w:rPr>
        <w:t>。</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5.77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5.42</w:t>
      </w:r>
      <w:r>
        <w:rPr>
          <w:rFonts w:hint="eastAsia" w:ascii="仿宋_GB2312" w:hAnsi="仿宋_GB2312" w:eastAsia="仿宋_GB2312" w:cs="仿宋_GB2312"/>
          <w:szCs w:val="32"/>
        </w:rPr>
        <w:t>%，主要用于</w:t>
      </w:r>
      <w:r>
        <w:rPr>
          <w:rFonts w:ascii="仿宋" w:hAnsi="仿宋" w:eastAsia="仿宋" w:cs="仿宋"/>
          <w:b w:val="0"/>
          <w:bCs w:val="0"/>
          <w:color w:val="000000"/>
          <w:sz w:val="31"/>
          <w:szCs w:val="31"/>
          <w:u w:val="single"/>
        </w:rPr>
        <w:t>社会保障和就业支出</w:t>
      </w:r>
      <w:r>
        <w:rPr>
          <w:rFonts w:hint="eastAsia" w:ascii="仿宋_GB2312" w:hAnsi="仿宋_GB2312" w:eastAsia="仿宋_GB2312" w:cs="仿宋_GB2312"/>
          <w:szCs w:val="32"/>
        </w:rPr>
        <w:t>。</w:t>
      </w:r>
    </w:p>
    <w:p>
      <w:pPr>
        <w:spacing w:line="520" w:lineRule="exact"/>
        <w:ind w:firstLine="640" w:firstLineChars="200"/>
        <w:rPr>
          <w:rFonts w:eastAsia="楷体"/>
          <w:szCs w:val="32"/>
        </w:rPr>
      </w:pP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82.86</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71.82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、机关事业单位基本养老保险缴费</w:t>
      </w:r>
      <w:r>
        <w:rPr>
          <w:rFonts w:hint="eastAsia" w:ascii="仿宋_GB2312" w:hAnsi="仿宋_GB2312" w:cs="仿宋_GB2312"/>
          <w:szCs w:val="32"/>
          <w:lang w:eastAsia="zh-CN"/>
        </w:rPr>
        <w:t>、职业年金缴费、职工基本医疗保险缴费、其他社会保障缴费、</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cs="仿宋_GB2312"/>
          <w:kern w:val="0"/>
          <w:szCs w:val="32"/>
          <w:lang w:eastAsia="zh-CN"/>
        </w:rPr>
        <w:t>、</w:t>
      </w:r>
      <w:r>
        <w:rPr>
          <w:rFonts w:hint="eastAsia" w:ascii="仿宋_GB2312" w:hAnsi="仿宋_GB2312" w:cs="仿宋_GB2312"/>
          <w:kern w:val="0"/>
          <w:szCs w:val="32"/>
          <w:lang w:val="en-US" w:eastAsia="zh-CN"/>
        </w:rPr>
        <w:t>退休费</w:t>
      </w:r>
      <w:r>
        <w:rPr>
          <w:rFonts w:hint="eastAsia" w:ascii="仿宋_GB2312" w:hAnsi="仿宋_GB2312" w:eastAsia="仿宋_GB2312" w:cs="仿宋_GB2312"/>
          <w:kern w:val="0"/>
          <w:szCs w:val="32"/>
        </w:rPr>
        <w:t>。</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u w:val="single"/>
          <w:lang w:val="en-US" w:eastAsia="zh-CN"/>
        </w:rPr>
        <w:t>11.04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cs="仿宋_GB2312"/>
          <w:kern w:val="0"/>
          <w:szCs w:val="32"/>
          <w:lang w:eastAsia="zh-CN"/>
        </w:rPr>
        <w:t>、</w:t>
      </w:r>
      <w:r>
        <w:rPr>
          <w:rFonts w:hint="eastAsia" w:ascii="仿宋_GB2312" w:hAnsi="仿宋_GB2312" w:cs="仿宋_GB2312"/>
          <w:kern w:val="0"/>
          <w:szCs w:val="32"/>
          <w:lang w:val="en-US" w:eastAsia="zh-CN"/>
        </w:rPr>
        <w:t>咨询费、</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委托业务</w:t>
      </w:r>
      <w:r>
        <w:rPr>
          <w:rFonts w:hint="eastAsia" w:ascii="仿宋_GB2312" w:hAnsi="仿宋_GB2312" w:eastAsia="仿宋_GB2312" w:cs="仿宋_GB2312"/>
          <w:kern w:val="0"/>
          <w:szCs w:val="32"/>
        </w:rPr>
        <w:t>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工会经费、其他交通</w:t>
      </w:r>
      <w:r>
        <w:rPr>
          <w:rFonts w:hint="eastAsia" w:ascii="仿宋_GB2312" w:hAnsi="仿宋_GB2312" w:cs="仿宋_GB2312"/>
          <w:kern w:val="0"/>
          <w:szCs w:val="32"/>
          <w:lang w:val="en-US" w:eastAsia="zh-CN"/>
        </w:rPr>
        <w:t>费用、办公设备购置</w:t>
      </w:r>
      <w:r>
        <w:rPr>
          <w:rFonts w:hint="eastAsia" w:ascii="仿宋_GB2312" w:hAnsi="仿宋_GB2312" w:eastAsia="仿宋_GB2312" w:cs="仿宋_GB2312"/>
          <w:kern w:val="0"/>
          <w:szCs w:val="32"/>
        </w:rPr>
        <w:t>。</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w:t>
      </w:r>
      <w:r>
        <w:rPr>
          <w:rFonts w:hint="eastAsia" w:ascii="仿宋_GB2312" w:hAnsi="仿宋_GB2312" w:cs="仿宋_GB2312"/>
          <w:szCs w:val="32"/>
          <w:lang w:val="en-US" w:eastAsia="zh-CN"/>
        </w:rPr>
        <w:t>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hint="eastAsia" w:ascii="仿宋_GB2312" w:hAnsi="仿宋_GB2312" w:eastAsia="仿宋_GB2312" w:cs="仿宋_GB2312"/>
          <w:szCs w:val="32"/>
          <w:u w:val="single"/>
        </w:rPr>
        <w:t>本部门无一般公共预算拨款</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hint="eastAsia" w:ascii="仿宋_GB2312" w:hAnsi="仿宋_GB2312" w:eastAsia="仿宋_GB2312" w:cs="仿宋_GB2312"/>
          <w:szCs w:val="32"/>
          <w:u w:val="single"/>
        </w:rPr>
        <w:t>本部门无一般公共预算拨款</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hint="eastAsia" w:ascii="仿宋_GB2312" w:hAnsi="仿宋_GB2312" w:eastAsia="仿宋_GB2312" w:cs="仿宋_GB2312"/>
          <w:szCs w:val="32"/>
          <w:u w:val="single"/>
        </w:rPr>
        <w:t>本部门无一般公共预算拨款</w:t>
      </w:r>
      <w:r>
        <w:rPr>
          <w:rFonts w:hint="eastAsia" w:ascii="仿宋_GB2312" w:hAnsi="仿宋_GB2312" w:eastAsia="仿宋_GB2312" w:cs="仿宋_GB2312"/>
          <w:szCs w:val="32"/>
        </w:rPr>
        <w:t>；公务用车购置费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hint="eastAsia" w:ascii="仿宋_GB2312" w:hAnsi="仿宋_GB2312" w:eastAsia="仿宋_GB2312" w:cs="仿宋_GB2312"/>
          <w:szCs w:val="32"/>
          <w:u w:val="single"/>
        </w:rPr>
        <w:t>本部门无一般公共预算拨款</w:t>
      </w:r>
      <w:r>
        <w:rPr>
          <w:rFonts w:hint="eastAsia" w:ascii="仿宋_GB2312" w:hAnsi="仿宋_GB2312" w:eastAsia="仿宋_GB2312" w:cs="仿宋_GB2312"/>
          <w:szCs w:val="32"/>
        </w:rPr>
        <w:t>。</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eastAsia="仿宋_GB2312"/>
          <w:szCs w:val="32"/>
          <w:lang w:eastAsia="zh-CN"/>
        </w:rPr>
      </w:pPr>
      <w:r>
        <w:rPr>
          <w:rFonts w:hint="eastAsia" w:ascii="仿宋_GB2312" w:hAnsi="仿宋_GB2312" w:eastAsia="仿宋_GB2312" w:cs="仿宋_GB2312"/>
          <w:szCs w:val="32"/>
          <w:highlight w:val="none"/>
        </w:rPr>
        <w:t>本部门无政府性基金预算拨款</w:t>
      </w:r>
      <w:r>
        <w:rPr>
          <w:rFonts w:hint="eastAsia" w:ascii="仿宋_GB2312" w:hAnsi="仿宋_GB2312" w:cs="仿宋_GB2312"/>
          <w:szCs w:val="32"/>
          <w:highlight w:val="none"/>
          <w:lang w:eastAsia="zh-CN"/>
        </w:rPr>
        <w:t>。</w:t>
      </w: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eastAsia="仿宋_GB2312"/>
          <w:szCs w:val="32"/>
          <w:lang w:eastAsia="zh-CN"/>
        </w:rPr>
      </w:pPr>
      <w:r>
        <w:rPr>
          <w:rFonts w:hint="eastAsia" w:ascii="仿宋_GB2312" w:hAnsi="仿宋_GB2312" w:eastAsia="仿宋_GB2312" w:cs="仿宋_GB2312"/>
          <w:szCs w:val="32"/>
        </w:rPr>
        <w:t>本部门无国有资本经营预算拨款</w:t>
      </w:r>
      <w:r>
        <w:rPr>
          <w:rFonts w:hint="eastAsia" w:ascii="仿宋_GB2312" w:hAnsi="仿宋_GB2312" w:cs="仿宋_GB2312"/>
          <w:szCs w:val="32"/>
          <w:lang w:eastAsia="zh-CN"/>
        </w:rPr>
        <w:t>。</w:t>
      </w: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rPr>
          <w:rFonts w:eastAsia="楷体"/>
          <w:szCs w:val="32"/>
        </w:rPr>
      </w:pPr>
    </w:p>
    <w:p>
      <w:pPr>
        <w:rPr>
          <w:rFonts w:eastAsia="楷体"/>
          <w:szCs w:val="32"/>
        </w:rPr>
      </w:pP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年部门本级等</w:t>
      </w:r>
      <w:r>
        <w:rPr>
          <w:rFonts w:hint="eastAsia" w:ascii="仿宋_GB2312" w:hAnsi="仿宋_GB2312" w:cs="仿宋_GB2312"/>
          <w:szCs w:val="32"/>
          <w:lang w:val="en-US" w:eastAsia="zh-CN"/>
        </w:rPr>
        <w:t>1</w:t>
      </w:r>
      <w:r>
        <w:rPr>
          <w:rFonts w:hint="eastAsia" w:ascii="仿宋_GB2312" w:hAnsi="仿宋_GB2312" w:eastAsia="仿宋_GB2312" w:cs="仿宋_GB2312"/>
          <w:szCs w:val="32"/>
        </w:rPr>
        <w:t>家行政单位以及</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家参公管理事业单位的</w:t>
      </w:r>
      <w:r>
        <w:rPr>
          <w:rFonts w:hint="eastAsia" w:ascii="仿宋_GB2312" w:hAnsi="仿宋_GB2312" w:eastAsia="仿宋_GB2312" w:cs="仿宋_GB2312"/>
          <w:color w:val="auto"/>
          <w:szCs w:val="32"/>
        </w:rPr>
        <w:t>机关运行经费</w:t>
      </w:r>
      <w:r>
        <w:rPr>
          <w:rFonts w:hint="eastAsia" w:ascii="仿宋_GB2312" w:hAnsi="仿宋_GB2312" w:eastAsia="仿宋_GB2312" w:cs="仿宋_GB2312"/>
          <w:szCs w:val="32"/>
        </w:rPr>
        <w:t>财政拨款预算</w:t>
      </w:r>
      <w:r>
        <w:rPr>
          <w:rFonts w:hint="eastAsia" w:ascii="仿宋_GB2312" w:hAnsi="仿宋_GB2312" w:cs="仿宋_GB2312"/>
          <w:szCs w:val="32"/>
          <w:u w:val="single"/>
          <w:lang w:val="en-US" w:eastAsia="zh-CN"/>
        </w:rPr>
        <w:t>11.04</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w:t>
      </w:r>
      <w:r>
        <w:rPr>
          <w:rFonts w:hint="eastAsia" w:ascii="仿宋_GB2312" w:hAnsi="仿宋_GB2312" w:cs="仿宋_GB2312"/>
          <w:szCs w:val="32"/>
          <w:lang w:val="en-US" w:eastAsia="zh-CN"/>
        </w:rPr>
        <w:t>增加</w:t>
      </w:r>
      <w:r>
        <w:rPr>
          <w:rFonts w:hint="eastAsia" w:ascii="仿宋_GB2312" w:hAnsi="仿宋_GB2312" w:cs="仿宋_GB2312"/>
          <w:szCs w:val="32"/>
          <w:u w:val="single"/>
          <w:lang w:val="en-US" w:eastAsia="zh-CN"/>
        </w:rPr>
        <w:t>1.44</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 xml:space="preserve">行政单位需要运行的各项资金有所增加 </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辆，土地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numPr>
          <w:ilvl w:val="0"/>
          <w:numId w:val="2"/>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u w:val="single"/>
          <w:lang w:val="en-US" w:eastAsia="zh-CN"/>
        </w:rPr>
        <w:t>23.60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u w:val="single"/>
          <w:lang w:val="en-US" w:eastAsia="zh-CN"/>
        </w:rPr>
        <w:t>2</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u w:val="single"/>
          <w:lang w:val="en-US" w:eastAsia="zh-CN"/>
        </w:rPr>
        <w:t>2</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u w:val="single"/>
          <w:lang w:val="en-US" w:eastAsia="zh-CN"/>
        </w:rPr>
        <w:t>23.60</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u w:val="single"/>
          <w:lang w:val="en-US" w:eastAsia="zh-CN"/>
        </w:rPr>
        <w:t>0</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u w:val="single"/>
          <w:lang w:val="en-US" w:eastAsia="zh-CN"/>
        </w:rPr>
        <w:t>0</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Verdana">
    <w:panose1 w:val="020B0604030504040204"/>
    <w:charset w:val="00"/>
    <w:family w:val="auto"/>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C400A4"/>
    <w:multiLevelType w:val="singleLevel"/>
    <w:tmpl w:val="E8C400A4"/>
    <w:lvl w:ilvl="0" w:tentative="0">
      <w:start w:val="1"/>
      <w:numFmt w:val="chineseCounting"/>
      <w:suff w:val="nothing"/>
      <w:lvlText w:val="（%1）"/>
      <w:lvlJc w:val="left"/>
      <w:rPr>
        <w:rFonts w:hint="eastAsia"/>
      </w:rPr>
    </w:lvl>
  </w:abstractNum>
  <w:abstractNum w:abstractNumId="1">
    <w:nsid w:val="601A1281"/>
    <w:multiLevelType w:val="singleLevel"/>
    <w:tmpl w:val="601A1281"/>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xZmZiYjFkMzRjOTRiNzY3YjFhZWUxOTQwM2UxMzM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401446"/>
    <w:rsid w:val="0ABA06FE"/>
    <w:rsid w:val="0B5F5ADA"/>
    <w:rsid w:val="0B710869"/>
    <w:rsid w:val="0C2A5C84"/>
    <w:rsid w:val="0DA001B0"/>
    <w:rsid w:val="0DB6446C"/>
    <w:rsid w:val="0DEB170B"/>
    <w:rsid w:val="0E4C7841"/>
    <w:rsid w:val="0E6428E2"/>
    <w:rsid w:val="0F3E0406"/>
    <w:rsid w:val="0F8B592F"/>
    <w:rsid w:val="0FD62F63"/>
    <w:rsid w:val="104915F0"/>
    <w:rsid w:val="107728C7"/>
    <w:rsid w:val="10AE7F82"/>
    <w:rsid w:val="10C93B35"/>
    <w:rsid w:val="11177619"/>
    <w:rsid w:val="112605C8"/>
    <w:rsid w:val="11736030"/>
    <w:rsid w:val="129B7164"/>
    <w:rsid w:val="12E711B7"/>
    <w:rsid w:val="136D62BD"/>
    <w:rsid w:val="13907091"/>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775289"/>
    <w:rsid w:val="1FED47E9"/>
    <w:rsid w:val="206816AC"/>
    <w:rsid w:val="215A6C10"/>
    <w:rsid w:val="22A4003E"/>
    <w:rsid w:val="23984063"/>
    <w:rsid w:val="23CE11F0"/>
    <w:rsid w:val="23EC61F6"/>
    <w:rsid w:val="244C543C"/>
    <w:rsid w:val="24624768"/>
    <w:rsid w:val="2539376C"/>
    <w:rsid w:val="254C6FAD"/>
    <w:rsid w:val="259B5BC5"/>
    <w:rsid w:val="25C7462E"/>
    <w:rsid w:val="25F62C4E"/>
    <w:rsid w:val="265718D7"/>
    <w:rsid w:val="26643D6C"/>
    <w:rsid w:val="2698203F"/>
    <w:rsid w:val="26FE109D"/>
    <w:rsid w:val="27073E1E"/>
    <w:rsid w:val="27B04AB3"/>
    <w:rsid w:val="28A63332"/>
    <w:rsid w:val="29C45F24"/>
    <w:rsid w:val="2AE00C4E"/>
    <w:rsid w:val="2D0F22B4"/>
    <w:rsid w:val="2DF8796C"/>
    <w:rsid w:val="2EB22F18"/>
    <w:rsid w:val="2EE12108"/>
    <w:rsid w:val="2EED35E3"/>
    <w:rsid w:val="2F250383"/>
    <w:rsid w:val="2F63610B"/>
    <w:rsid w:val="300965A3"/>
    <w:rsid w:val="30730D6E"/>
    <w:rsid w:val="30B91A70"/>
    <w:rsid w:val="31DD1DA7"/>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3FF922B6"/>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8BF2D31"/>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554BDA"/>
    <w:rsid w:val="66C63EB5"/>
    <w:rsid w:val="677772D0"/>
    <w:rsid w:val="679461D3"/>
    <w:rsid w:val="6858287E"/>
    <w:rsid w:val="69157114"/>
    <w:rsid w:val="691A443E"/>
    <w:rsid w:val="6A076269"/>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8E938C7"/>
    <w:rsid w:val="78F37AD4"/>
    <w:rsid w:val="79700BEF"/>
    <w:rsid w:val="798533EA"/>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17</TotalTime>
  <ScaleCrop>false</ScaleCrop>
  <LinksUpToDate>false</LinksUpToDate>
  <CharactersWithSpaces>8690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微信用户</cp:lastModifiedBy>
  <cp:lastPrinted>2022-02-21T08:08:00Z</cp:lastPrinted>
  <dcterms:modified xsi:type="dcterms:W3CDTF">2024-01-29T04:50:48Z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