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hint="eastAsia" w:ascii="微软雅黑" w:hAnsi="微软雅黑" w:eastAsia="微软雅黑" w:cs="微软雅黑"/>
        </w:rPr>
      </w:pPr>
    </w:p>
    <w:p>
      <w:pPr>
        <w:jc w:val="center"/>
        <w:rPr>
          <w:rFonts w:eastAsia="方正小标宋简体"/>
          <w:sz w:val="44"/>
          <w:szCs w:val="44"/>
        </w:rPr>
      </w:pPr>
      <w:r>
        <w:rPr>
          <w:rFonts w:hint="eastAsia" w:ascii="微软雅黑" w:hAnsi="微软雅黑" w:eastAsia="微软雅黑" w:cs="微软雅黑"/>
          <w:sz w:val="44"/>
          <w:szCs w:val="44"/>
          <w:lang w:val="en-US" w:eastAsia="zh-CN"/>
        </w:rPr>
        <w:t>中共通榆县委组织部（汇总）</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ind w:firstLine="640" w:firstLineChars="200"/>
        <w:rPr>
          <w:rFonts w:hint="eastAsia" w:eastAsia="楷体"/>
        </w:rPr>
      </w:pPr>
      <w:r>
        <w:rPr>
          <w:rFonts w:hint="eastAsia" w:eastAsia="楷体"/>
        </w:rPr>
        <w:t>1、负责研究和指导全县党组织建设；协调和指导党员教育 工作，做好党员管理和新党员发展工作；组织并开展新时期党的建设的理论研究，探索和解决党的建设中出现的新问题。</w:t>
      </w:r>
    </w:p>
    <w:p>
      <w:pPr>
        <w:pStyle w:val="51"/>
        <w:ind w:firstLine="640" w:firstLineChars="200"/>
        <w:rPr>
          <w:rFonts w:hint="eastAsia" w:eastAsia="楷体"/>
        </w:rPr>
      </w:pPr>
      <w:r>
        <w:rPr>
          <w:rFonts w:hint="eastAsia" w:eastAsia="楷体"/>
        </w:rPr>
        <w:t>2、负责对县委管理及县委委托管理的领导班子和干部的考 察、审查，并提出调整、配备的意见和建议；办理县委管理及 县委委托管理干部的任免、工资、待遇及退（离）休手续；指导各级领导班子思想作风建设。</w:t>
      </w:r>
    </w:p>
    <w:p>
      <w:pPr>
        <w:pStyle w:val="51"/>
        <w:ind w:firstLine="640" w:firstLineChars="200"/>
        <w:rPr>
          <w:rFonts w:hint="eastAsia" w:eastAsia="楷体"/>
        </w:rPr>
      </w:pPr>
      <w:r>
        <w:rPr>
          <w:rFonts w:hint="eastAsia" w:eastAsia="楷体"/>
        </w:rPr>
        <w:t>3、负责研究制定全县干部队伍建设的总体规划，落实培养 选拔中青年干部、妇女干部、少数民族干部和非中共党员干部 工作；管理县委工作部门和人大、政协、纪委、法院、检察院 机关、基层党委及工、青、妇等群团组织的非领导职务；对全县干部实施宏观管理。</w:t>
      </w:r>
    </w:p>
    <w:p>
      <w:pPr>
        <w:pStyle w:val="51"/>
        <w:ind w:firstLine="640" w:firstLineChars="200"/>
        <w:rPr>
          <w:rFonts w:hint="eastAsia" w:eastAsia="楷体"/>
        </w:rPr>
      </w:pPr>
      <w:r>
        <w:rPr>
          <w:rFonts w:hint="eastAsia" w:eastAsia="楷体"/>
        </w:rPr>
        <w:t>4、负责研究和指导全县党的组织和干部人事工作的有关政</w:t>
      </w:r>
    </w:p>
    <w:p>
      <w:pPr>
        <w:pStyle w:val="51"/>
        <w:rPr>
          <w:rFonts w:hint="eastAsia" w:eastAsia="楷体"/>
        </w:rPr>
      </w:pPr>
      <w:r>
        <w:rPr>
          <w:rFonts w:hint="eastAsia" w:eastAsia="楷体"/>
        </w:rPr>
        <w:t>策的制定，并组织实施和落实。</w:t>
      </w:r>
    </w:p>
    <w:p>
      <w:pPr>
        <w:pStyle w:val="51"/>
        <w:ind w:firstLine="640" w:firstLineChars="200"/>
        <w:rPr>
          <w:rFonts w:hint="eastAsia" w:eastAsia="楷体"/>
        </w:rPr>
      </w:pPr>
      <w:r>
        <w:rPr>
          <w:rFonts w:hint="eastAsia" w:eastAsia="楷体"/>
        </w:rPr>
        <w:t>5、负责制定全县干部教育工作总体规划和有关政策；组织 县委管理的领导干部及后备干部和党员中、高级积极分子以及 党群机关工作人员的培训；指导、协调、检查全县干部教育工作。</w:t>
      </w:r>
    </w:p>
    <w:p>
      <w:pPr>
        <w:pStyle w:val="51"/>
        <w:ind w:firstLine="640" w:firstLineChars="200"/>
        <w:rPr>
          <w:rFonts w:hint="eastAsia" w:eastAsia="楷体"/>
        </w:rPr>
      </w:pPr>
      <w:r>
        <w:rPr>
          <w:rFonts w:hint="eastAsia" w:eastAsia="楷体"/>
        </w:rPr>
        <w:t>6、负责综合协调全县知识分子工作总体情况，组织制定有</w:t>
      </w:r>
    </w:p>
    <w:p>
      <w:pPr>
        <w:pStyle w:val="51"/>
        <w:ind w:firstLine="640" w:firstLineChars="200"/>
        <w:rPr>
          <w:rFonts w:hint="eastAsia" w:eastAsia="楷体"/>
        </w:rPr>
      </w:pPr>
    </w:p>
    <w:p>
      <w:pPr>
        <w:pStyle w:val="51"/>
        <w:ind w:firstLine="640" w:firstLineChars="200"/>
        <w:rPr>
          <w:rFonts w:hint="eastAsia" w:eastAsia="楷体"/>
        </w:rPr>
      </w:pPr>
    </w:p>
    <w:p>
      <w:pPr>
        <w:pStyle w:val="51"/>
        <w:rPr>
          <w:rFonts w:hint="eastAsia" w:eastAsia="楷体"/>
        </w:rPr>
      </w:pPr>
      <w:r>
        <w:rPr>
          <w:rFonts w:hint="eastAsia" w:eastAsia="楷体"/>
        </w:rPr>
        <w:t>关知识分子政策，检查知识分子政策的贯彻落实。</w:t>
      </w:r>
    </w:p>
    <w:p>
      <w:pPr>
        <w:pStyle w:val="51"/>
        <w:ind w:firstLine="640" w:firstLineChars="200"/>
        <w:rPr>
          <w:rFonts w:hint="eastAsia" w:eastAsia="楷体"/>
        </w:rPr>
      </w:pPr>
      <w:r>
        <w:rPr>
          <w:rFonts w:hint="eastAsia" w:eastAsia="楷体"/>
        </w:rPr>
        <w:t>7、负责全县党员和干部的统计工作；管理全县干部档案。</w:t>
      </w:r>
    </w:p>
    <w:p>
      <w:pPr>
        <w:pStyle w:val="51"/>
        <w:ind w:firstLine="640" w:firstLineChars="200"/>
        <w:rPr>
          <w:rFonts w:hint="eastAsia" w:eastAsia="楷体"/>
        </w:rPr>
      </w:pPr>
      <w:r>
        <w:rPr>
          <w:rFonts w:hint="eastAsia" w:eastAsia="楷体"/>
        </w:rPr>
        <w:t>8、负责受理全县党员和干部的审诉及有关党组织工作和干部工作的来信来访。</w:t>
      </w:r>
    </w:p>
    <w:p>
      <w:pPr>
        <w:pStyle w:val="51"/>
        <w:ind w:firstLine="640" w:firstLineChars="200"/>
        <w:rPr>
          <w:rFonts w:hint="eastAsia" w:eastAsia="楷体"/>
        </w:rPr>
      </w:pPr>
      <w:r>
        <w:rPr>
          <w:rFonts w:hint="eastAsia" w:eastAsia="楷体"/>
        </w:rPr>
        <w:t>9、负责全县老干部工作的宏观指导；按照县委规定，管理县委老干部局。</w:t>
      </w:r>
    </w:p>
    <w:p>
      <w:pPr>
        <w:pStyle w:val="51"/>
        <w:ind w:firstLine="640" w:firstLineChars="200"/>
        <w:rPr>
          <w:rFonts w:hint="eastAsia" w:eastAsia="楷体"/>
        </w:rPr>
      </w:pPr>
      <w:r>
        <w:rPr>
          <w:rFonts w:hint="eastAsia" w:eastAsia="楷体"/>
        </w:rPr>
        <w:t>10、负责全县党员教育工作。</w:t>
      </w:r>
    </w:p>
    <w:p>
      <w:pPr>
        <w:pStyle w:val="51"/>
        <w:ind w:firstLine="640" w:firstLineChars="200"/>
        <w:rPr>
          <w:rFonts w:hint="eastAsia" w:eastAsia="楷体"/>
        </w:rPr>
      </w:pPr>
      <w:r>
        <w:rPr>
          <w:rFonts w:hint="eastAsia" w:eastAsia="楷体"/>
        </w:rPr>
        <w:t>11、完成县委交办的其他工作。</w:t>
      </w:r>
    </w:p>
    <w:p>
      <w:pPr>
        <w:pStyle w:val="51"/>
        <w:ind w:firstLine="640" w:firstLineChars="200"/>
        <w:rPr>
          <w:rFonts w:hint="eastAsia" w:eastAsia="楷体"/>
        </w:rPr>
      </w:pPr>
      <w:r>
        <w:rPr>
          <w:rFonts w:hint="eastAsia" w:eastAsia="楷体"/>
        </w:rPr>
        <w:t>二、机构设置</w:t>
      </w:r>
    </w:p>
    <w:p>
      <w:pPr>
        <w:pStyle w:val="51"/>
        <w:ind w:firstLine="640" w:firstLineChars="200"/>
        <w:rPr>
          <w:rFonts w:hint="eastAsia" w:eastAsia="楷体"/>
        </w:rPr>
      </w:pPr>
      <w:r>
        <w:rPr>
          <w:rFonts w:hint="eastAsia" w:eastAsia="楷体"/>
        </w:rPr>
        <w:t>根据上述职责，中共通榆县委组织部内设 11 个机构，分别为办公室、干部科、干部教育科、组织科、调研科、干部监督办公室、组织员办公室、人才工作领导小组办公室、县委非公有制企业和社会组织工作委员会办公室、公务员管理科。</w:t>
      </w:r>
    </w:p>
    <w:p>
      <w:pPr>
        <w:pStyle w:val="51"/>
        <w:ind w:firstLine="640" w:firstLineChars="200"/>
        <w:rPr>
          <w:rFonts w:hint="eastAsia" w:ascii="仿宋_GB2312" w:hAnsi="仿宋_GB2312" w:eastAsia="仿宋_GB2312" w:cs="仿宋_GB2312"/>
        </w:rPr>
      </w:pPr>
      <w:r>
        <w:rPr>
          <w:rFonts w:hint="eastAsia" w:eastAsia="楷体"/>
        </w:rPr>
        <w:t>下设 5 家预算单位，分别为通榆县干部档案室、通榆县党 员电化教育中心、通榆县组织部举报中心、通榆县老干部大学、通榆县老干部服务中心。</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891.80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891.80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723.12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723.12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891.80</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891.80</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86.88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86.88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51.93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51.93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29.87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autoSpaceDN w:val="0"/>
              <w:jc w:val="center"/>
              <w:rPr>
                <w:rFonts w:hint="eastAsia" w:eastAsia="宋体"/>
                <w:sz w:val="20"/>
                <w:lang w:val="en-US" w:eastAsia="zh-CN"/>
              </w:rPr>
            </w:pPr>
            <w:r>
              <w:rPr>
                <w:rFonts w:hint="eastAsia" w:eastAsia="宋体"/>
                <w:sz w:val="20"/>
                <w:lang w:val="en-US" w:eastAsia="zh-CN"/>
              </w:rPr>
              <w:t>中共通榆县委组织部</w:t>
            </w:r>
          </w:p>
        </w:tc>
        <w:tc>
          <w:tcPr>
            <w:tcW w:w="416" w:type="dxa"/>
            <w:tcBorders>
              <w:top w:val="single" w:color="000000" w:sz="4" w:space="0"/>
              <w:left w:val="single" w:color="000000" w:sz="4" w:space="0"/>
              <w:right w:val="single" w:color="000000" w:sz="4" w:space="0"/>
            </w:tcBorders>
            <w:noWrap w:val="0"/>
            <w:vAlign w:val="top"/>
          </w:tcPr>
          <w:p>
            <w:pPr>
              <w:shd w:val="solid" w:color="FFFFFF" w:fill="auto"/>
              <w:autoSpaceDN w:val="0"/>
              <w:jc w:val="right"/>
              <w:textAlignment w:val="center"/>
              <w:rPr>
                <w:rFonts w:hint="default"/>
                <w:color w:val="000000"/>
                <w:sz w:val="20"/>
                <w:shd w:val="clear" w:color="auto" w:fill="FFFFFF"/>
                <w:lang w:val="en-US" w:eastAsia="zh-CN"/>
              </w:rPr>
            </w:pPr>
            <w:r>
              <w:rPr>
                <w:rFonts w:hint="eastAsia"/>
                <w:color w:val="000000"/>
                <w:sz w:val="20"/>
                <w:shd w:val="clear" w:color="auto" w:fill="FFFFFF"/>
                <w:lang w:val="en-US" w:eastAsia="zh-CN"/>
              </w:rPr>
              <w:t>891.80</w:t>
            </w:r>
          </w:p>
        </w:tc>
        <w:tc>
          <w:tcPr>
            <w:tcW w:w="416" w:type="dxa"/>
            <w:tcBorders>
              <w:top w:val="single" w:color="000000" w:sz="4" w:space="0"/>
              <w:left w:val="single" w:color="000000" w:sz="4" w:space="0"/>
              <w:right w:val="single" w:color="000000" w:sz="4" w:space="0"/>
            </w:tcBorders>
            <w:noWrap w:val="0"/>
            <w:vAlign w:val="top"/>
          </w:tcPr>
          <w:p>
            <w:pPr>
              <w:shd w:val="solid" w:color="FFFFFF" w:fill="auto"/>
              <w:autoSpaceDN w:val="0"/>
              <w:jc w:val="right"/>
              <w:textAlignment w:val="center"/>
              <w:rPr>
                <w:rFonts w:hint="default"/>
                <w:color w:val="000000"/>
                <w:sz w:val="20"/>
                <w:shd w:val="clear" w:color="auto" w:fill="FFFFFF"/>
                <w:lang w:val="en-US" w:eastAsia="zh-CN"/>
              </w:rPr>
            </w:pPr>
            <w:r>
              <w:rPr>
                <w:rFonts w:hint="eastAsia"/>
                <w:color w:val="000000"/>
                <w:sz w:val="20"/>
                <w:shd w:val="clear" w:color="auto" w:fill="FFFFFF"/>
                <w:lang w:val="en-US" w:eastAsia="zh-CN"/>
              </w:rPr>
              <w:t>891.80</w:t>
            </w:r>
          </w:p>
        </w:tc>
        <w:tc>
          <w:tcPr>
            <w:tcW w:w="416" w:type="dxa"/>
            <w:tcBorders>
              <w:top w:val="single" w:color="000000" w:sz="4" w:space="0"/>
              <w:left w:val="single" w:color="000000" w:sz="4" w:space="0"/>
              <w:right w:val="single" w:color="000000" w:sz="4" w:space="0"/>
            </w:tcBorders>
            <w:noWrap w:val="0"/>
            <w:vAlign w:val="top"/>
          </w:tcPr>
          <w:p>
            <w:pPr>
              <w:shd w:val="solid" w:color="FFFFFF" w:fill="auto"/>
              <w:autoSpaceDN w:val="0"/>
              <w:jc w:val="right"/>
              <w:textAlignment w:val="center"/>
              <w:rPr>
                <w:rFonts w:hint="default"/>
                <w:color w:val="000000"/>
                <w:sz w:val="20"/>
                <w:shd w:val="clear" w:color="auto" w:fill="FFFFFF"/>
                <w:lang w:val="en-US" w:eastAsia="zh-CN"/>
              </w:rPr>
            </w:pPr>
            <w:r>
              <w:rPr>
                <w:rFonts w:hint="eastAsia"/>
                <w:color w:val="000000"/>
                <w:sz w:val="20"/>
                <w:shd w:val="clear" w:color="auto" w:fill="FFFFFF"/>
                <w:lang w:val="en-US" w:eastAsia="zh-CN"/>
              </w:rPr>
              <w:t>891.80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autoSpaceDN w:val="0"/>
              <w:jc w:val="center"/>
              <w:rPr>
                <w:rFonts w:hint="eastAsia" w:eastAsia="宋体"/>
                <w:sz w:val="20"/>
                <w:lang w:val="en-US" w:eastAsia="zh-CN"/>
              </w:rPr>
            </w:pPr>
            <w:r>
              <w:rPr>
                <w:rFonts w:hint="default" w:eastAsia="宋体"/>
                <w:sz w:val="20"/>
                <w:lang w:val="en-US" w:eastAsia="zh-CN"/>
              </w:rPr>
              <w:t>　中共通榆县委组织部</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497.22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497.22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497.22</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autoSpaceDN w:val="0"/>
              <w:jc w:val="center"/>
              <w:rPr>
                <w:rFonts w:hint="default" w:eastAsia="宋体"/>
                <w:sz w:val="20"/>
                <w:lang w:val="en-US" w:eastAsia="zh-CN"/>
              </w:rPr>
            </w:pPr>
            <w:r>
              <w:rPr>
                <w:rFonts w:hint="default" w:eastAsia="宋体"/>
                <w:sz w:val="20"/>
                <w:lang w:val="en-US" w:eastAsia="zh-CN"/>
              </w:rPr>
              <w:t>　通榆县干部档案室（通榆县组织信息管理中心）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109.99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109.99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109.99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autoSpaceDN w:val="0"/>
              <w:jc w:val="center"/>
              <w:rPr>
                <w:rFonts w:hint="default" w:eastAsia="宋体"/>
                <w:sz w:val="20"/>
                <w:lang w:val="en-US" w:eastAsia="zh-CN"/>
              </w:rPr>
            </w:pPr>
            <w:r>
              <w:rPr>
                <w:rFonts w:hint="default" w:eastAsia="宋体"/>
                <w:sz w:val="20"/>
                <w:lang w:val="en-US" w:eastAsia="zh-CN"/>
              </w:rPr>
              <w:t>　通榆县党员电化教育中心（通榆县党员干部现代化远程教育中心）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49.10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49.10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49.10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autoSpaceDN w:val="0"/>
              <w:jc w:val="center"/>
              <w:rPr>
                <w:rFonts w:hint="default" w:eastAsia="宋体"/>
                <w:sz w:val="20"/>
                <w:lang w:val="en-US" w:eastAsia="zh-CN"/>
              </w:rPr>
            </w:pPr>
            <w:r>
              <w:rPr>
                <w:rFonts w:hint="default" w:eastAsia="宋体"/>
                <w:sz w:val="20"/>
                <w:lang w:val="en-US" w:eastAsia="zh-CN"/>
              </w:rPr>
              <w:t>　通榆县组织部举报中心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77.49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77.49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77.49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autoSpaceDN w:val="0"/>
              <w:jc w:val="center"/>
              <w:rPr>
                <w:rFonts w:hint="default" w:eastAsia="宋体"/>
                <w:sz w:val="20"/>
                <w:lang w:val="en-US" w:eastAsia="zh-CN"/>
              </w:rPr>
            </w:pPr>
            <w:r>
              <w:rPr>
                <w:rFonts w:hint="default" w:eastAsia="宋体"/>
                <w:sz w:val="20"/>
                <w:lang w:val="en-US" w:eastAsia="zh-CN"/>
              </w:rPr>
              <w:t>　通榆县老干部服务中心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72.72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72.72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72.72</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autoSpaceDN w:val="0"/>
              <w:jc w:val="center"/>
              <w:rPr>
                <w:rFonts w:hint="eastAsia" w:eastAsia="宋体"/>
                <w:sz w:val="20"/>
                <w:lang w:val="en-US" w:eastAsia="zh-CN"/>
              </w:rPr>
            </w:pPr>
            <w:r>
              <w:rPr>
                <w:rFonts w:hint="eastAsia" w:eastAsia="宋体"/>
                <w:sz w:val="20"/>
                <w:lang w:val="en-US" w:eastAsia="zh-CN"/>
              </w:rPr>
              <w:t>　通榆县老干部大学</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85.28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85.28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color w:val="000000"/>
                <w:sz w:val="20"/>
                <w:shd w:val="clear" w:color="auto" w:fill="FFFFFF"/>
                <w:lang w:val="en-US" w:eastAsia="zh-CN"/>
              </w:rPr>
            </w:pPr>
            <w:r>
              <w:rPr>
                <w:rFonts w:hint="eastAsia"/>
                <w:color w:val="000000"/>
                <w:sz w:val="20"/>
                <w:shd w:val="clear" w:color="auto" w:fill="FFFFFF"/>
                <w:lang w:val="en-US" w:eastAsia="zh-CN"/>
              </w:rPr>
              <w:t>85.28</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891.80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891.80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color w:val="000000"/>
                <w:sz w:val="20"/>
                <w:shd w:val="clear" w:color="auto" w:fill="FFFFFF"/>
                <w:lang w:val="en-US" w:eastAsia="zh-CN"/>
              </w:rPr>
            </w:pPr>
            <w:r>
              <w:rPr>
                <w:rFonts w:hint="eastAsia"/>
                <w:color w:val="000000"/>
                <w:sz w:val="20"/>
                <w:shd w:val="clear" w:color="auto" w:fill="FFFFFF"/>
                <w:lang w:val="en-US" w:eastAsia="zh-CN"/>
              </w:rPr>
              <w:t>891.80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一、</w:t>
                  </w:r>
                  <w:r>
                    <w:rPr>
                      <w:rFonts w:hint="eastAsia" w:ascii="宋体" w:hAnsi="宋体" w:eastAsia="宋体" w:cs="宋体"/>
                      <w:color w:val="000000"/>
                      <w:sz w:val="20"/>
                      <w:szCs w:val="20"/>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723.12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568.24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154.88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组织事务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723.12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568.24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154.88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542.40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387.52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154.88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180.72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180.72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二、</w:t>
                  </w:r>
                  <w:r>
                    <w:rPr>
                      <w:rFonts w:hint="eastAsia" w:ascii="宋体" w:hAnsi="宋体" w:eastAsia="宋体" w:cs="宋体"/>
                      <w:color w:val="000000"/>
                      <w:sz w:val="20"/>
                      <w:szCs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69.24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69.24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三、</w:t>
                  </w:r>
                  <w:r>
                    <w:rPr>
                      <w:rFonts w:hint="eastAsia" w:ascii="宋体" w:hAnsi="宋体" w:eastAsia="宋体" w:cs="宋体"/>
                      <w:color w:val="000000"/>
                      <w:sz w:val="20"/>
                      <w:szCs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四、</w:t>
                  </w:r>
                  <w:r>
                    <w:rPr>
                      <w:rFonts w:hint="eastAsia" w:ascii="宋体" w:hAnsi="宋体" w:eastAsia="宋体" w:cs="宋体"/>
                      <w:color w:val="000000"/>
                      <w:sz w:val="20"/>
                      <w:szCs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891.80</w:t>
                  </w:r>
                </w:p>
              </w:tc>
              <w:tc>
                <w:tcPr>
                  <w:tcW w:w="688"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891.80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723.12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891.80</w:t>
                  </w:r>
                </w:p>
              </w:tc>
              <w:tc>
                <w:tcPr>
                  <w:tcW w:w="688"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891.80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86.88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29.87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51.93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891.80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891.80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891.80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891.80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891.80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891.80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891.80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一、</w:t>
                  </w:r>
                  <w:r>
                    <w:rPr>
                      <w:rFonts w:hint="eastAsia" w:ascii="宋体" w:hAnsi="宋体" w:eastAsia="宋体" w:cs="宋体"/>
                      <w:color w:val="000000"/>
                      <w:sz w:val="20"/>
                      <w:szCs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723.12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568.24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482.56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85.68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154.88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组织事务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723.12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568.24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482.56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85.68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154.88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542.40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387.52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317.20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70.32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154.88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180.72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180.72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165.36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二、</w:t>
                  </w:r>
                  <w:r>
                    <w:rPr>
                      <w:rFonts w:hint="eastAsia" w:ascii="宋体" w:hAnsi="宋体" w:eastAsia="宋体" w:cs="宋体"/>
                      <w:color w:val="00000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86.88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三、</w:t>
                  </w:r>
                  <w:r>
                    <w:rPr>
                      <w:rFonts w:hint="eastAsia" w:ascii="宋体" w:hAnsi="宋体" w:eastAsia="宋体" w:cs="宋体"/>
                      <w:color w:val="00000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四、</w:t>
                  </w:r>
                  <w:r>
                    <w:rPr>
                      <w:rFonts w:hint="eastAsia" w:ascii="宋体" w:hAnsi="宋体" w:eastAsia="宋体" w:cs="宋体"/>
                      <w:color w:val="000000"/>
                      <w:sz w:val="20"/>
                      <w:szCs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891.80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736.92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651.24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85.68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154.88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621.06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621.06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210.92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210.92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116.36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116.36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41.11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41.11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69.24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69.24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1.55</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1.55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51.93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6.16</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6.16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ascii="宋体" w:hAnsi="宋体" w:eastAsia="宋体" w:cs="宋体"/>
                <w:kern w:val="0"/>
                <w:sz w:val="20"/>
                <w:szCs w:val="20"/>
                <w:lang w:val="en-US" w:eastAsia="zh-CN" w:bidi="ar-SA"/>
              </w:rPr>
            </w:pPr>
            <w:r>
              <w:rPr>
                <w:rFonts w:hint="eastAsia" w:ascii="宋体" w:hAnsi="宋体" w:eastAsia="宋体" w:cs="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115.87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30.19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82.48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29.62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29.62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2.70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2.70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24.72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离休费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22.72</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22.72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7.11</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7.11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0.36</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0.36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3.20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r>
              <w:rPr>
                <w:rFonts w:hint="eastAsia" w:ascii="宋体" w:hAnsi="宋体" w:eastAsia="宋体" w:cs="宋体"/>
                <w:color w:val="000000"/>
                <w:sz w:val="20"/>
                <w:szCs w:val="20"/>
              </w:rPr>
              <w:t>3.20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5</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68</w:t>
            </w:r>
            <w:r>
              <w:rPr>
                <w:color w:val="000000"/>
                <w:kern w:val="0"/>
                <w:sz w:val="28"/>
                <w:szCs w:val="28"/>
              </w:rPr>
              <w:t>人，其中：在职人员</w:t>
            </w:r>
            <w:r>
              <w:rPr>
                <w:rFonts w:hint="eastAsia" w:eastAsia="宋体"/>
                <w:color w:val="000000"/>
                <w:kern w:val="0"/>
                <w:sz w:val="28"/>
                <w:szCs w:val="28"/>
                <w:u w:val="single"/>
                <w:lang w:val="en-US" w:eastAsia="zh-CN"/>
              </w:rPr>
              <w:t>54</w:t>
            </w:r>
            <w:r>
              <w:rPr>
                <w:color w:val="000000"/>
                <w:kern w:val="0"/>
                <w:sz w:val="28"/>
                <w:szCs w:val="28"/>
              </w:rPr>
              <w:t>人，离退休人员</w:t>
            </w:r>
            <w:r>
              <w:rPr>
                <w:rFonts w:hint="eastAsia" w:eastAsia="宋体"/>
                <w:color w:val="000000"/>
                <w:kern w:val="0"/>
                <w:sz w:val="28"/>
                <w:szCs w:val="28"/>
                <w:u w:val="single"/>
                <w:lang w:val="en-US" w:eastAsia="zh-CN"/>
              </w:rPr>
              <w:t>19</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06"/>
        <w:gridCol w:w="1184"/>
        <w:gridCol w:w="1200"/>
        <w:gridCol w:w="566"/>
        <w:gridCol w:w="534"/>
        <w:gridCol w:w="500"/>
        <w:gridCol w:w="366"/>
        <w:gridCol w:w="550"/>
        <w:gridCol w:w="350"/>
        <w:gridCol w:w="550"/>
        <w:gridCol w:w="417"/>
        <w:gridCol w:w="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0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8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0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6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0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166"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39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120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6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0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45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17"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29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20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8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1200" w:type="dxa"/>
            <w:vMerge w:val="continue"/>
            <w:noWrap w:val="0"/>
            <w:vAlign w:val="center"/>
          </w:tcPr>
          <w:p>
            <w:pPr>
              <w:autoSpaceDN w:val="0"/>
              <w:jc w:val="center"/>
              <w:textAlignment w:val="center"/>
              <w:rPr>
                <w:rFonts w:ascii="Calibri" w:hAnsi="Calibri" w:eastAsia="华文细黑"/>
                <w:color w:val="000000"/>
                <w:sz w:val="20"/>
                <w:szCs w:val="22"/>
              </w:rPr>
            </w:pPr>
          </w:p>
        </w:tc>
        <w:tc>
          <w:tcPr>
            <w:tcW w:w="566" w:type="dxa"/>
            <w:vMerge w:val="continue"/>
            <w:noWrap w:val="0"/>
            <w:vAlign w:val="center"/>
          </w:tcPr>
          <w:p>
            <w:pPr>
              <w:autoSpaceDN w:val="0"/>
              <w:jc w:val="center"/>
              <w:textAlignment w:val="center"/>
              <w:rPr>
                <w:rFonts w:ascii="Calibri" w:hAnsi="Calibri" w:eastAsia="华文细黑"/>
                <w:color w:val="000000"/>
                <w:sz w:val="20"/>
                <w:szCs w:val="22"/>
              </w:rPr>
            </w:pPr>
          </w:p>
        </w:tc>
        <w:tc>
          <w:tcPr>
            <w:tcW w:w="53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0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6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7"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299"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759"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人才</w:t>
            </w:r>
            <w:r>
              <w:rPr>
                <w:rFonts w:hint="eastAsia" w:ascii="Calibri" w:hAnsi="Calibri" w:eastAsia="楷体"/>
                <w:kern w:val="0"/>
                <w:sz w:val="18"/>
                <w:szCs w:val="18"/>
                <w:lang w:val="en-US" w:eastAsia="zh-CN"/>
              </w:rPr>
              <w:t>办专项</w:t>
            </w:r>
            <w:r>
              <w:rPr>
                <w:rFonts w:hint="eastAsia" w:ascii="Calibri" w:hAnsi="Calibri" w:eastAsia="楷体"/>
                <w:kern w:val="0"/>
                <w:sz w:val="18"/>
                <w:szCs w:val="18"/>
              </w:rPr>
              <w:t>经费</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人才经费</w:t>
            </w:r>
          </w:p>
        </w:tc>
        <w:tc>
          <w:tcPr>
            <w:tcW w:w="1200"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40</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40</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759"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组织部2024年驻村工作队生活补助</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组织部2024年驻村工作队生活补助</w:t>
            </w:r>
          </w:p>
        </w:tc>
        <w:tc>
          <w:tcPr>
            <w:tcW w:w="1200"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10.80</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10.80</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jc w:val="center"/>
        </w:trPr>
        <w:tc>
          <w:tcPr>
            <w:tcW w:w="759"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组织部2024年企业离休经费</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组织部2024年企业离休经费</w:t>
            </w:r>
          </w:p>
        </w:tc>
        <w:tc>
          <w:tcPr>
            <w:tcW w:w="1200"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1.96</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1.96</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jc w:val="center"/>
        </w:trPr>
        <w:tc>
          <w:tcPr>
            <w:tcW w:w="759"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组织部2024年离退休干部党组织工作经费</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组织部2024年离退休干部党组织工作经费</w:t>
            </w:r>
          </w:p>
        </w:tc>
        <w:tc>
          <w:tcPr>
            <w:tcW w:w="1200"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92.12</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92.12</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exact"/>
          <w:jc w:val="center"/>
        </w:trPr>
        <w:tc>
          <w:tcPr>
            <w:tcW w:w="759"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组织部2024年老干部活动经费、离休干部帮扶资金</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组织部2024年老干部活动经费、离休干部帮扶资金</w:t>
            </w:r>
          </w:p>
        </w:tc>
        <w:tc>
          <w:tcPr>
            <w:tcW w:w="1200"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10</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10</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16"/>
                <w:szCs w:val="20"/>
              </w:rPr>
            </w:pPr>
            <w:r>
              <w:rPr>
                <w:rFonts w:hint="eastAsia" w:ascii="Calibri" w:hAnsi="Calibri" w:eastAsia="华文细黑"/>
                <w:color w:val="000000"/>
                <w:sz w:val="16"/>
                <w:szCs w:val="20"/>
              </w:rPr>
              <w:t>合计</w:t>
            </w:r>
          </w:p>
        </w:tc>
        <w:tc>
          <w:tcPr>
            <w:tcW w:w="1206" w:type="dxa"/>
            <w:noWrap w:val="0"/>
            <w:vAlign w:val="center"/>
          </w:tcPr>
          <w:p>
            <w:pPr>
              <w:autoSpaceDN w:val="0"/>
              <w:spacing w:line="240" w:lineRule="auto"/>
              <w:jc w:val="center"/>
              <w:textAlignment w:val="center"/>
              <w:rPr>
                <w:rFonts w:ascii="Calibri" w:hAnsi="Calibri" w:eastAsia="华文细黑"/>
                <w:color w:val="000000"/>
                <w:sz w:val="16"/>
                <w:szCs w:val="20"/>
              </w:rPr>
            </w:pPr>
          </w:p>
        </w:tc>
        <w:tc>
          <w:tcPr>
            <w:tcW w:w="1184" w:type="dxa"/>
            <w:noWrap w:val="0"/>
            <w:vAlign w:val="center"/>
          </w:tcPr>
          <w:p>
            <w:pPr>
              <w:spacing w:line="240" w:lineRule="auto"/>
              <w:jc w:val="center"/>
              <w:rPr>
                <w:rFonts w:ascii="Calibri" w:hAnsi="Calibri" w:eastAsia="楷体"/>
                <w:kern w:val="0"/>
                <w:sz w:val="24"/>
                <w:szCs w:val="24"/>
              </w:rPr>
            </w:pPr>
          </w:p>
        </w:tc>
        <w:tc>
          <w:tcPr>
            <w:tcW w:w="1200" w:type="dxa"/>
            <w:noWrap w:val="0"/>
            <w:vAlign w:val="center"/>
          </w:tcPr>
          <w:p>
            <w:pPr>
              <w:spacing w:line="240" w:lineRule="auto"/>
              <w:jc w:val="center"/>
              <w:rPr>
                <w:rFonts w:ascii="Calibri" w:hAnsi="Calibri" w:eastAsia="楷体"/>
                <w:kern w:val="0"/>
                <w:sz w:val="20"/>
                <w:szCs w:val="20"/>
              </w:rPr>
            </w:pPr>
          </w:p>
        </w:tc>
        <w:tc>
          <w:tcPr>
            <w:tcW w:w="566" w:type="dxa"/>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154.88</w:t>
            </w:r>
          </w:p>
        </w:tc>
        <w:tc>
          <w:tcPr>
            <w:tcW w:w="534" w:type="dxa"/>
            <w:noWrap w:val="0"/>
            <w:vAlign w:val="center"/>
          </w:tcPr>
          <w:p>
            <w:pPr>
              <w:spacing w:line="240" w:lineRule="auto"/>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154.88</w:t>
            </w:r>
          </w:p>
        </w:tc>
        <w:tc>
          <w:tcPr>
            <w:tcW w:w="500" w:type="dxa"/>
            <w:noWrap w:val="0"/>
            <w:vAlign w:val="center"/>
          </w:tcPr>
          <w:p>
            <w:pPr>
              <w:spacing w:line="240" w:lineRule="auto"/>
              <w:jc w:val="center"/>
              <w:rPr>
                <w:rFonts w:ascii="Calibri" w:hAnsi="Calibri" w:eastAsia="楷体"/>
                <w:kern w:val="0"/>
                <w:sz w:val="20"/>
                <w:szCs w:val="20"/>
              </w:rPr>
            </w:pPr>
          </w:p>
        </w:tc>
        <w:tc>
          <w:tcPr>
            <w:tcW w:w="366" w:type="dxa"/>
            <w:noWrap w:val="0"/>
            <w:vAlign w:val="center"/>
          </w:tcPr>
          <w:p>
            <w:pPr>
              <w:spacing w:line="240" w:lineRule="auto"/>
              <w:jc w:val="center"/>
              <w:rPr>
                <w:rFonts w:ascii="Calibri" w:hAnsi="Calibri" w:eastAsia="楷体"/>
                <w:kern w:val="0"/>
                <w:sz w:val="20"/>
                <w:szCs w:val="20"/>
              </w:rPr>
            </w:pPr>
          </w:p>
        </w:tc>
        <w:tc>
          <w:tcPr>
            <w:tcW w:w="550" w:type="dxa"/>
            <w:noWrap w:val="0"/>
            <w:vAlign w:val="center"/>
          </w:tcPr>
          <w:p>
            <w:pPr>
              <w:spacing w:line="240" w:lineRule="auto"/>
              <w:jc w:val="center"/>
              <w:rPr>
                <w:rFonts w:ascii="Calibri" w:hAnsi="Calibri" w:eastAsia="楷体"/>
                <w:kern w:val="0"/>
                <w:sz w:val="20"/>
                <w:szCs w:val="20"/>
              </w:rPr>
            </w:pPr>
          </w:p>
        </w:tc>
        <w:tc>
          <w:tcPr>
            <w:tcW w:w="350" w:type="dxa"/>
            <w:noWrap w:val="0"/>
            <w:vAlign w:val="center"/>
          </w:tcPr>
          <w:p>
            <w:pPr>
              <w:spacing w:line="240" w:lineRule="auto"/>
              <w:jc w:val="center"/>
              <w:rPr>
                <w:rFonts w:ascii="Calibri" w:hAnsi="Calibri" w:eastAsia="楷体"/>
                <w:kern w:val="0"/>
                <w:sz w:val="20"/>
                <w:szCs w:val="20"/>
              </w:rPr>
            </w:pPr>
          </w:p>
        </w:tc>
        <w:tc>
          <w:tcPr>
            <w:tcW w:w="550" w:type="dxa"/>
            <w:noWrap w:val="0"/>
            <w:vAlign w:val="center"/>
          </w:tcPr>
          <w:p>
            <w:pPr>
              <w:spacing w:line="240" w:lineRule="auto"/>
              <w:jc w:val="center"/>
              <w:rPr>
                <w:rFonts w:ascii="Calibri" w:hAnsi="Calibri" w:eastAsia="楷体"/>
                <w:kern w:val="0"/>
                <w:sz w:val="20"/>
                <w:szCs w:val="20"/>
              </w:rPr>
            </w:pPr>
          </w:p>
        </w:tc>
        <w:tc>
          <w:tcPr>
            <w:tcW w:w="417" w:type="dxa"/>
            <w:noWrap w:val="0"/>
            <w:vAlign w:val="center"/>
          </w:tcPr>
          <w:p>
            <w:pPr>
              <w:spacing w:line="240" w:lineRule="auto"/>
              <w:jc w:val="center"/>
              <w:rPr>
                <w:rFonts w:ascii="Calibri" w:hAnsi="Calibri" w:eastAsia="楷体"/>
                <w:kern w:val="0"/>
                <w:sz w:val="20"/>
                <w:szCs w:val="20"/>
              </w:rPr>
            </w:pPr>
          </w:p>
        </w:tc>
        <w:tc>
          <w:tcPr>
            <w:tcW w:w="299" w:type="dxa"/>
            <w:noWrap w:val="0"/>
            <w:vAlign w:val="center"/>
          </w:tcPr>
          <w:p>
            <w:pPr>
              <w:spacing w:line="240" w:lineRule="auto"/>
              <w:jc w:val="center"/>
              <w:rPr>
                <w:rFonts w:ascii="Calibri" w:hAnsi="Calibri" w:eastAsia="楷体"/>
                <w:kern w:val="0"/>
                <w:sz w:val="20"/>
                <w:szCs w:val="20"/>
              </w:rPr>
            </w:pPr>
          </w:p>
        </w:tc>
      </w:tr>
    </w:tbl>
    <w:p>
      <w:pPr>
        <w:rPr>
          <w:rFonts w:eastAsia="楷体"/>
          <w:kern w:val="0"/>
          <w:szCs w:val="32"/>
        </w:rPr>
      </w:pPr>
      <w:r>
        <w:rPr>
          <w:rFonts w:eastAsia="楷体"/>
          <w:kern w:val="0"/>
          <w:szCs w:val="32"/>
        </w:rPr>
        <w:br w:type="page"/>
      </w: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人才办专项经费</w:t>
            </w:r>
          </w:p>
        </w:tc>
      </w:tr>
      <w:tr>
        <w:tblPrEx>
          <w:tblCellMar>
            <w:top w:w="15" w:type="dxa"/>
            <w:left w:w="15" w:type="dxa"/>
            <w:bottom w:w="15" w:type="dxa"/>
            <w:right w:w="15" w:type="dxa"/>
          </w:tblCellMar>
        </w:tblPrEx>
        <w:trPr>
          <w:trHeight w:val="377"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用于全县人才培训工作，全县人才培训所需费用40万元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人才培训班次</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=2次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培训参与率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培训及时率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培训费用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&lt;=200000元/次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人才培育的效果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人才满意度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bl>
    <w:p>
      <w:pPr>
        <w:widowControl/>
        <w:jc w:val="both"/>
        <w:textAlignment w:val="center"/>
        <w:rPr>
          <w:rFonts w:hint="eastAsia" w:eastAsia="方正小标宋简体"/>
          <w:kern w:val="0"/>
          <w:sz w:val="36"/>
          <w:szCs w:val="36"/>
        </w:rPr>
      </w:pPr>
      <w:r>
        <w:rPr>
          <w:rFonts w:hint="eastAsia" w:eastAsia="方正小标宋简体"/>
          <w:kern w:val="0"/>
          <w:sz w:val="36"/>
          <w:szCs w:val="36"/>
        </w:rPr>
        <w:br w:type="page"/>
      </w:r>
    </w:p>
    <w:tbl>
      <w:tblPr>
        <w:tblStyle w:val="9"/>
        <w:tblpPr w:leftFromText="180" w:rightFromText="180" w:vertAnchor="text" w:horzAnchor="page" w:tblpX="1217" w:tblpY="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组织部2024年驻村工作队生活补助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用于2024年1-12月驻村干部生活补助，严格按照补贴标准实行。</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=1080天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驻村人数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补助对生活水平影响程度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宋体" w:hAnsi="宋体" w:eastAsia="宋体" w:cs="宋体"/>
                <w:color w:val="000000"/>
                <w:sz w:val="20"/>
              </w:rPr>
            </w:pPr>
            <w:r>
              <w:rPr>
                <w:rFonts w:hint="eastAsia" w:ascii="华文细黑" w:hAnsi="华文细黑" w:eastAsia="华文细黑"/>
                <w:color w:val="000000"/>
                <w:sz w:val="16"/>
                <w:szCs w:val="24"/>
              </w:rPr>
              <w:t>补贴标准</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宋体" w:hAnsi="宋体" w:eastAsia="宋体" w:cs="宋体"/>
                <w:color w:val="000000"/>
                <w:sz w:val="20"/>
              </w:rPr>
            </w:pPr>
            <w:r>
              <w:rPr>
                <w:rFonts w:hint="eastAsia" w:ascii="华文细黑" w:hAnsi="华文细黑" w:eastAsia="华文细黑"/>
                <w:color w:val="000000"/>
                <w:sz w:val="16"/>
                <w:szCs w:val="24"/>
              </w:rPr>
              <w:t>=100元/天/人</w:t>
            </w:r>
          </w:p>
        </w:tc>
      </w:tr>
      <w:tr>
        <w:tblPrEx>
          <w:tblCellMar>
            <w:top w:w="15" w:type="dxa"/>
            <w:left w:w="15" w:type="dxa"/>
            <w:bottom w:w="15" w:type="dxa"/>
            <w:right w:w="15" w:type="dxa"/>
          </w:tblCellMar>
        </w:tblPrEx>
        <w:trPr>
          <w:trHeight w:val="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对工作质量，工作效率的影响</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补贴发放满意度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bl>
    <w:p>
      <w:pPr>
        <w:widowControl/>
        <w:jc w:val="both"/>
        <w:textAlignment w:val="center"/>
        <w:rPr>
          <w:rFonts w:hint="eastAsia" w:eastAsia="方正小标宋简体"/>
          <w:kern w:val="0"/>
          <w:sz w:val="36"/>
          <w:szCs w:val="36"/>
        </w:rPr>
      </w:pPr>
      <w:r>
        <w:rPr>
          <w:rFonts w:hint="eastAsia" w:eastAsia="方正小标宋简体"/>
          <w:kern w:val="0"/>
          <w:sz w:val="36"/>
          <w:szCs w:val="36"/>
        </w:rPr>
        <w:br w:type="page"/>
      </w:r>
    </w:p>
    <w:tbl>
      <w:tblPr>
        <w:tblStyle w:val="9"/>
        <w:tblpPr w:leftFromText="180" w:rightFromText="180" w:vertAnchor="text" w:horzAnchor="page" w:tblpX="1217" w:tblpY="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组织部2024年企业离休经费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为有效落实离休干部的政治、生活待遇、现申请拨付2024年预算内企业离休干部公用经费,2024年企业离休干部共申请1.96万元，享受补贴6人。</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=6人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保证生活质量</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&lt;=3267元/人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补贴下发及时率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对老干部帮助率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享受补贴老干部满意度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bl>
    <w:p>
      <w:pPr>
        <w:widowControl/>
        <w:jc w:val="center"/>
        <w:textAlignment w:val="center"/>
        <w:rPr>
          <w:rFonts w:hint="eastAsia" w:eastAsia="方正小标宋简体"/>
          <w:kern w:val="0"/>
          <w:sz w:val="36"/>
          <w:szCs w:val="36"/>
        </w:rPr>
      </w:pPr>
      <w:r>
        <w:rPr>
          <w:rFonts w:hint="eastAsia" w:eastAsia="方正小标宋简体"/>
          <w:kern w:val="0"/>
          <w:sz w:val="36"/>
          <w:szCs w:val="36"/>
        </w:rPr>
        <w:br w:type="page"/>
      </w:r>
    </w:p>
    <w:tbl>
      <w:tblPr>
        <w:tblStyle w:val="9"/>
        <w:tblpPr w:leftFromText="180" w:rightFromText="180" w:vertAnchor="text" w:horzAnchor="page" w:tblpX="1217" w:tblpY="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组织部2024年离退休干部党组织工作经费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92.12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92.12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为切实做好我县离退休干部党建工作，确保党组织活动不断线，现申请拨付2024年度离退休干部党组织工作经费及党组织书记工作补贴，2024年度离退休干部党组织工作经费370200元；离退休干部党组织书记补贴551000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党组织工作人数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=1851人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党组织书记人数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=921人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离退休干部党组织工作经费</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=200元/人/年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离退休干部党组织书记补贴标准</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=6000元/人/年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下发及时率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补贴对党组织帮助情况</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补贴满意度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bl>
    <w:p>
      <w:pPr>
        <w:widowControl/>
        <w:jc w:val="center"/>
        <w:textAlignment w:val="center"/>
        <w:rPr>
          <w:rFonts w:hint="eastAsia" w:eastAsia="方正小标宋简体"/>
          <w:kern w:val="0"/>
          <w:sz w:val="36"/>
          <w:szCs w:val="36"/>
        </w:rPr>
      </w:pPr>
      <w:r>
        <w:rPr>
          <w:rFonts w:hint="eastAsia" w:eastAsia="方正小标宋简体"/>
          <w:kern w:val="0"/>
          <w:sz w:val="36"/>
          <w:szCs w:val="36"/>
        </w:rPr>
        <w:br w:type="page"/>
      </w:r>
    </w:p>
    <w:tbl>
      <w:tblPr>
        <w:tblStyle w:val="9"/>
        <w:tblpPr w:leftFromText="180" w:rightFromText="180" w:vertAnchor="text" w:horzAnchor="page" w:tblpX="1217" w:tblpY="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组织部2024年老干部活动经费、离休干部帮扶资金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帮扶人数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=14人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老干部举办活动次数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=5次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保证生活质量</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&lt;=4300元/人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老干部举办活动成本</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&lt;=8000元/次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发放补助帮助率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享受补助干部满意度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bl>
    <w:p>
      <w:pPr>
        <w:widowControl/>
        <w:jc w:val="both"/>
        <w:textAlignment w:val="center"/>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891.80万元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723.12万元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86.88万元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卫生健康支出29.87万元、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51.93万元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891.80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891.80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132.31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人员福利待遇调整</w:t>
      </w:r>
      <w:r>
        <w:rPr>
          <w:rFonts w:hint="eastAsia" w:ascii="仿宋_GB2312" w:hAnsi="仿宋_GB2312" w:eastAsia="仿宋_GB2312" w:cs="仿宋_GB2312"/>
          <w:szCs w:val="32"/>
        </w:rPr>
        <w:t>。</w:t>
      </w:r>
    </w:p>
    <w:p>
      <w:pPr>
        <w:ind w:firstLine="600" w:firstLineChars="200"/>
        <w:rPr>
          <w:sz w:val="30"/>
          <w:szCs w:val="30"/>
        </w:rPr>
      </w:pP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891.80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891.80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891.80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40" w:firstLineChars="200"/>
        <w:rPr>
          <w:rFonts w:eastAsia="楷体"/>
          <w:szCs w:val="30"/>
        </w:rPr>
      </w:pP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891.80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736.92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82.83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154.88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17.17</w:t>
      </w:r>
      <w:r>
        <w:rPr>
          <w:rFonts w:hint="eastAsia" w:ascii="仿宋_GB2312" w:hAnsi="仿宋_GB2312" w:eastAsia="仿宋_GB2312" w:cs="仿宋_GB2312"/>
          <w:szCs w:val="32"/>
        </w:rPr>
        <w:t>%；事业单位经营支出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00"/>
        <w:rPr>
          <w:szCs w:val="32"/>
        </w:rPr>
      </w:pP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891.80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891.80</w:t>
      </w:r>
      <w:r>
        <w:rPr>
          <w:rFonts w:hint="eastAsia" w:ascii="仿宋_GB2312" w:hAnsi="仿宋_GB2312" w:eastAsia="仿宋_GB2312" w:cs="仿宋_GB2312"/>
          <w:szCs w:val="32"/>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723.12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86.88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29.87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51.93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891.80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736.92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82.63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154.88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17.37</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651.24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88.37</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85.68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11.63</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723.12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81.11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行政事业单位工作人员工资发放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86.88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行政事业单位工作人员养老保险缴纳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51.93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5.82</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行政事业单位工作人员住房公积金缴纳</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736.92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651.24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85.68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eastAsia="楷体"/>
          <w:szCs w:val="32"/>
          <w:lang w:eastAsia="zh-CN"/>
        </w:rPr>
      </w:pPr>
      <w:r>
        <w:rPr>
          <w:rFonts w:hint="eastAsia" w:eastAsia="楷体"/>
          <w:szCs w:val="32"/>
        </w:rPr>
        <w:t>本部门无一般公共预算拨款</w:t>
      </w:r>
      <w:r>
        <w:rPr>
          <w:rFonts w:hint="eastAsia" w:eastAsia="楷体"/>
          <w:szCs w:val="32"/>
          <w:lang w:eastAsia="zh-CN"/>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ascii="仿宋_GB2312" w:hAnsi="仿宋_GB2312" w:eastAsia="仿宋_GB2312" w:cs="仿宋_GB2312"/>
          <w:szCs w:val="32"/>
          <w:highlight w:val="none"/>
        </w:rPr>
        <w:t>本部门无政府性基金预算拨款。</w:t>
      </w: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本部门无国有资本经营预算拨款。</w:t>
      </w:r>
    </w:p>
    <w:p>
      <w:pPr>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w:t>
      </w:r>
      <w:r>
        <w:rPr>
          <w:rFonts w:hint="eastAsia" w:ascii="仿宋_GB2312" w:hAnsi="仿宋_GB2312" w:cs="仿宋_GB2312"/>
          <w:szCs w:val="32"/>
          <w:lang w:val="en-US" w:eastAsia="zh-CN"/>
        </w:rPr>
        <w:t>2</w:t>
      </w:r>
      <w:r>
        <w:rPr>
          <w:rFonts w:hint="eastAsia" w:ascii="仿宋_GB2312" w:hAnsi="仿宋_GB2312" w:eastAsia="仿宋_GB2312" w:cs="仿宋_GB2312"/>
          <w:szCs w:val="32"/>
        </w:rPr>
        <w:t>家参公管理事业单位以及</w:t>
      </w:r>
      <w:r>
        <w:rPr>
          <w:rFonts w:hint="eastAsia" w:ascii="仿宋_GB2312" w:hAnsi="仿宋_GB2312" w:cs="仿宋_GB2312"/>
          <w:szCs w:val="32"/>
          <w:lang w:val="en-US" w:eastAsia="zh-CN"/>
        </w:rPr>
        <w:t>3家</w:t>
      </w:r>
      <w:r>
        <w:rPr>
          <w:rFonts w:hint="eastAsia" w:ascii="仿宋_GB2312" w:hAnsi="仿宋_GB2312" w:eastAsia="仿宋_GB2312" w:cs="仿宋_GB2312"/>
          <w:szCs w:val="32"/>
        </w:rPr>
        <w:t>事业单位的机关运行经费财政拨款预算</w:t>
      </w:r>
      <w:r>
        <w:rPr>
          <w:rFonts w:hint="eastAsia" w:ascii="仿宋_GB2312" w:hAnsi="仿宋_GB2312" w:cs="仿宋_GB2312"/>
          <w:szCs w:val="32"/>
          <w:lang w:val="en-US" w:eastAsia="zh-CN"/>
        </w:rPr>
        <w:t>891.8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179.58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20.12</w:t>
      </w:r>
      <w:r>
        <w:rPr>
          <w:rFonts w:hint="eastAsia" w:ascii="仿宋_GB2312" w:hAnsi="仿宋_GB2312" w:eastAsia="仿宋_GB2312" w:cs="仿宋_GB2312"/>
          <w:szCs w:val="32"/>
        </w:rPr>
        <w:t>%，主要原因是_____________________。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本部门无</w:t>
      </w:r>
      <w:r>
        <w:rPr>
          <w:rFonts w:hint="eastAsia" w:ascii="仿宋_GB2312" w:hAnsi="仿宋_GB2312" w:eastAsia="仿宋_GB2312" w:cs="仿宋_GB2312"/>
          <w:szCs w:val="32"/>
        </w:rPr>
        <w:t>政府采购。</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B48073-1BCA-4D83-B5ED-20CD4DEC34E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5381876-771F-466C-9BCE-1E75E66F358C}"/>
  </w:font>
  <w:font w:name="仿宋_GB2312">
    <w:panose1 w:val="02010609030101010101"/>
    <w:charset w:val="86"/>
    <w:family w:val="modern"/>
    <w:pitch w:val="default"/>
    <w:sig w:usb0="00000001" w:usb1="080E0000" w:usb2="00000000" w:usb3="00000000" w:csb0="00040000" w:csb1="00000000"/>
    <w:embedRegular r:id="rId3" w:fontKey="{61ABCD21-DE30-47D4-89D2-22BB1244D192}"/>
  </w:font>
  <w:font w:name="华文细黑">
    <w:panose1 w:val="02010600040101010101"/>
    <w:charset w:val="86"/>
    <w:family w:val="auto"/>
    <w:pitch w:val="default"/>
    <w:sig w:usb0="00000287" w:usb1="080F0000" w:usb2="00000000" w:usb3="00000000" w:csb0="0004009F" w:csb1="DFD70000"/>
    <w:embedRegular r:id="rId4" w:fontKey="{14501EE4-CB46-4D68-A863-EA9607F17A19}"/>
  </w:font>
  <w:font w:name="微软雅黑">
    <w:panose1 w:val="020B0503020204020204"/>
    <w:charset w:val="86"/>
    <w:family w:val="auto"/>
    <w:pitch w:val="default"/>
    <w:sig w:usb0="80000287" w:usb1="280F3C52" w:usb2="00000016" w:usb3="00000000" w:csb0="0004001F" w:csb1="00000000"/>
    <w:embedRegular r:id="rId5" w:fontKey="{9121100D-1898-472C-89A1-01BA6E6E5D1C}"/>
  </w:font>
  <w:font w:name="方正小标宋简体">
    <w:panose1 w:val="02000000000000000000"/>
    <w:charset w:val="86"/>
    <w:family w:val="auto"/>
    <w:pitch w:val="default"/>
    <w:sig w:usb0="A00002BF" w:usb1="184F6CFA" w:usb2="00000012" w:usb3="00000000" w:csb0="00040001" w:csb1="00000000"/>
    <w:embedRegular r:id="rId6" w:fontKey="{2B7C4C12-868A-44A8-B4A0-998E2105CEFF}"/>
  </w:font>
  <w:font w:name="楷体_GB2312">
    <w:panose1 w:val="02010609030101010101"/>
    <w:charset w:val="86"/>
    <w:family w:val="modern"/>
    <w:pitch w:val="default"/>
    <w:sig w:usb0="00000001" w:usb1="080E0000" w:usb2="00000000" w:usb3="00000000" w:csb0="00040000" w:csb1="00000000"/>
    <w:embedRegular r:id="rId7" w:fontKey="{523CB20D-F189-48C7-B638-DA67B73DAF91}"/>
  </w:font>
  <w:font w:name="楷体">
    <w:panose1 w:val="02010609060101010101"/>
    <w:charset w:val="86"/>
    <w:family w:val="auto"/>
    <w:pitch w:val="default"/>
    <w:sig w:usb0="800002BF" w:usb1="38CF7CFA" w:usb2="00000016" w:usb3="00000000" w:csb0="00040001" w:csb1="00000000"/>
    <w:embedRegular r:id="rId8" w:fontKey="{392B5C16-48B2-4D19-9E5F-F5592D34BA50}"/>
  </w:font>
  <w:font w:name="Verdana">
    <w:panose1 w:val="020B0604030504040204"/>
    <w:charset w:val="86"/>
    <w:family w:val="auto"/>
    <w:pitch w:val="default"/>
    <w:sig w:usb0="A10006FF" w:usb1="4000205B" w:usb2="00000010" w:usb3="00000000" w:csb0="2000019F" w:csb1="00000000"/>
    <w:embedRegular r:id="rId9" w:fontKey="{AE8CA79B-F934-4490-B2A4-F505157CB042}"/>
  </w:font>
  <w:font w:name="仿宋">
    <w:panose1 w:val="02010609060101010101"/>
    <w:charset w:val="86"/>
    <w:family w:val="auto"/>
    <w:pitch w:val="default"/>
    <w:sig w:usb0="800002BF" w:usb1="38CF7CFA" w:usb2="00000016" w:usb3="00000000" w:csb0="00040001" w:csb1="00000000"/>
    <w:embedRegular r:id="rId10" w:fontKey="{9979D5EC-B882-4D1D-83AF-BE39BA95E4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00007A"/>
    <w:rsid w:val="01620FE6"/>
    <w:rsid w:val="019B69D8"/>
    <w:rsid w:val="020E6D2C"/>
    <w:rsid w:val="031D7D4B"/>
    <w:rsid w:val="04022755"/>
    <w:rsid w:val="041D47D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B42039"/>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C3C5459"/>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7D0036A"/>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9B291A"/>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3C6F8D"/>
    <w:rsid w:val="56570E30"/>
    <w:rsid w:val="56BB1258"/>
    <w:rsid w:val="57A92331"/>
    <w:rsid w:val="57AE5C26"/>
    <w:rsid w:val="57DD75A9"/>
    <w:rsid w:val="58256ABD"/>
    <w:rsid w:val="58FE7A42"/>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B37A7B"/>
    <w:rsid w:val="66C63EB5"/>
    <w:rsid w:val="677772D0"/>
    <w:rsid w:val="679461D3"/>
    <w:rsid w:val="6858287E"/>
    <w:rsid w:val="68745F71"/>
    <w:rsid w:val="689B7FB7"/>
    <w:rsid w:val="69157114"/>
    <w:rsid w:val="691A443E"/>
    <w:rsid w:val="6A80735F"/>
    <w:rsid w:val="6ACC5E47"/>
    <w:rsid w:val="6AD43ED1"/>
    <w:rsid w:val="6B11024D"/>
    <w:rsid w:val="6B7D5B36"/>
    <w:rsid w:val="6CF120A8"/>
    <w:rsid w:val="6EF60CA3"/>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E941F8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8348</Words>
  <Characters>9960</Characters>
  <Lines>71</Lines>
  <Paragraphs>20</Paragraphs>
  <TotalTime>4</TotalTime>
  <ScaleCrop>false</ScaleCrop>
  <LinksUpToDate>false</LinksUpToDate>
  <CharactersWithSpaces>10574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2024-02-06T00:58:20Z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C76BE935CECE44B4921D3AC5F96D8FD1_13</vt:lpwstr>
  </property>
</Properties>
</file>