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eastAsia="zh-CN"/>
        </w:rPr>
      </w:pPr>
      <w:r>
        <w:rPr>
          <w:rFonts w:hint="eastAsia" w:eastAsia="方正小标宋简体"/>
          <w:sz w:val="44"/>
          <w:szCs w:val="44"/>
          <w:lang w:eastAsia="zh-CN"/>
        </w:rPr>
        <w:t>中共通榆县委机构编制委员会办公室</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color w:val="000000"/>
          <w:sz w:val="21"/>
          <w:szCs w:val="21"/>
        </w:rPr>
      </w:pPr>
      <w:r>
        <w:rPr>
          <w:rFonts w:hint="eastAsia"/>
          <w:color w:val="000000"/>
          <w:szCs w:val="32"/>
        </w:rPr>
        <w:t>部门职能及机构设置情况涉密，按规定不予公开。</w:t>
      </w:r>
    </w:p>
    <w:p>
      <w:pPr>
        <w:ind w:firstLine="640" w:firstLineChars="200"/>
      </w:pPr>
      <w:r>
        <w:rPr>
          <w:rFonts w:eastAsia="楷体_GB2312"/>
        </w:rPr>
        <w:t>二、机构设置</w:t>
      </w:r>
    </w:p>
    <w:p>
      <w:pPr>
        <w:pStyle w:val="51"/>
        <w:ind w:firstLine="640" w:firstLineChars="200"/>
        <w:rPr>
          <w:rFonts w:hint="eastAsia" w:eastAsia="仿宋_GB2312"/>
        </w:rPr>
      </w:pPr>
      <w:r>
        <w:rPr>
          <w:rFonts w:hint="eastAsia" w:eastAsia="仿宋_GB2312"/>
        </w:rPr>
        <w:t>中共通榆县委机构编制委员会办公室内设5个机构。</w:t>
      </w:r>
    </w:p>
    <w:p>
      <w:pPr>
        <w:pStyle w:val="51"/>
        <w:ind w:firstLine="640" w:firstLineChars="200"/>
        <w:rPr>
          <w:rFonts w:hint="eastAsia" w:eastAsia="仿宋_GB2312"/>
        </w:rPr>
      </w:pPr>
      <w:r>
        <w:rPr>
          <w:rFonts w:eastAsia="仿宋_GB2312"/>
        </w:rPr>
        <w:t>下设</w:t>
      </w:r>
      <w:r>
        <w:rPr>
          <w:rFonts w:hint="eastAsia" w:eastAsia="仿宋_GB2312"/>
          <w:u w:val="single"/>
          <w:lang w:val="en-US" w:eastAsia="zh-CN"/>
        </w:rPr>
        <w:t>1</w:t>
      </w:r>
      <w:r>
        <w:rPr>
          <w:rFonts w:eastAsia="仿宋_GB2312"/>
        </w:rPr>
        <w:t>家预算单位，</w:t>
      </w:r>
      <w:r>
        <w:rPr>
          <w:rFonts w:hint="eastAsia" w:eastAsia="仿宋_GB2312"/>
        </w:rPr>
        <w:t>通榆县机构编制电子政务中心。</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282.03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218.85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282.03</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32.61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19.47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lang w:val="en-US" w:eastAsia="zh-CN"/>
              </w:rPr>
              <w:t>282.03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282.03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lang w:val="en-US" w:eastAsia="zh-CN"/>
              </w:rPr>
              <w:t>282.03</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rPr>
              <w:t>282.03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eastAsia="zh-CN"/>
              </w:rPr>
              <w:t>中共通榆县委机构编制委员会办公室</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282.03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282.03</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kern w:val="0"/>
                <w:sz w:val="20"/>
                <w:lang w:val="en-US" w:eastAsia="zh-CN"/>
              </w:rPr>
              <w:t>282.03</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282.03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282.03</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r>
              <w:rPr>
                <w:rFonts w:hint="eastAsia" w:eastAsia="宋体"/>
                <w:kern w:val="0"/>
                <w:sz w:val="20"/>
                <w:lang w:val="en-US" w:eastAsia="zh-CN"/>
              </w:rPr>
              <w:t>282.03</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20" w:type="dxa"/>
        <w:jc w:val="center"/>
        <w:tblLayout w:type="fixed"/>
        <w:tblCellMar>
          <w:top w:w="0" w:type="dxa"/>
          <w:left w:w="108" w:type="dxa"/>
          <w:bottom w:w="0" w:type="dxa"/>
          <w:right w:w="108" w:type="dxa"/>
        </w:tblCellMar>
      </w:tblPr>
      <w:tblGrid>
        <w:gridCol w:w="10420"/>
      </w:tblGrid>
      <w:tr>
        <w:tblPrEx>
          <w:tblCellMar>
            <w:top w:w="0" w:type="dxa"/>
            <w:left w:w="108" w:type="dxa"/>
            <w:bottom w:w="0" w:type="dxa"/>
            <w:right w:w="108" w:type="dxa"/>
          </w:tblCellMar>
        </w:tblPrEx>
        <w:trPr>
          <w:trHeight w:val="8853" w:hRule="atLeast"/>
          <w:jc w:val="center"/>
        </w:trPr>
        <w:tc>
          <w:tcPr>
            <w:tcW w:w="10420"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一、一般公共服务</w:t>
                  </w:r>
                  <w:r>
                    <w:rPr>
                      <w:rFonts w:hint="default" w:eastAsia="华文细黑"/>
                      <w:color w:val="000000"/>
                      <w:kern w:val="0"/>
                      <w:sz w:val="20"/>
                      <w:lang w:val="en-US" w:eastAsia="zh-CN"/>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rPr>
                  </w:pPr>
                  <w:r>
                    <w:rPr>
                      <w:rFonts w:hint="eastAsia" w:eastAsia="宋体"/>
                      <w:b/>
                      <w:bCs/>
                      <w:color w:val="000000"/>
                      <w:kern w:val="0"/>
                      <w:sz w:val="20"/>
                      <w:lang w:val="en-US" w:eastAsia="zh-CN"/>
                    </w:rPr>
                    <w:t>218.85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198.85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组织</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rPr>
                  </w:pPr>
                  <w:r>
                    <w:rPr>
                      <w:rFonts w:hint="eastAsia" w:eastAsia="宋体"/>
                      <w:b/>
                      <w:bCs/>
                      <w:color w:val="000000"/>
                      <w:kern w:val="0"/>
                      <w:sz w:val="20"/>
                      <w:lang w:val="en-US" w:eastAsia="zh-CN"/>
                    </w:rPr>
                    <w:t>218.85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198.85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133.26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both"/>
                    <w:textAlignment w:val="center"/>
                    <w:rPr>
                      <w:rFonts w:eastAsia="宋体"/>
                      <w:color w:val="000000"/>
                      <w:kern w:val="0"/>
                      <w:sz w:val="20"/>
                    </w:rPr>
                  </w:pPr>
                  <w:r>
                    <w:rPr>
                      <w:rFonts w:hint="eastAsia" w:ascii="宋体" w:hAnsi="宋体" w:eastAsia="宋体" w:cs="宋体"/>
                      <w:i w:val="0"/>
                      <w:color w:val="000000"/>
                      <w:kern w:val="0"/>
                      <w:sz w:val="20"/>
                      <w:szCs w:val="20"/>
                      <w:u w:val="none"/>
                      <w:lang w:val="en-US" w:eastAsia="zh-CN" w:bidi="ar"/>
                    </w:rPr>
                    <w:t>　　</w:t>
                  </w:r>
                  <w:r>
                    <w:rPr>
                      <w:rFonts w:hint="default" w:ascii="Arial" w:hAnsi="Arial" w:eastAsia="宋体" w:cs="Arial"/>
                      <w:i w:val="0"/>
                      <w:color w:val="000000"/>
                      <w:kern w:val="0"/>
                      <w:sz w:val="20"/>
                      <w:szCs w:val="20"/>
                      <w:u w:val="none"/>
                      <w:lang w:val="en-US" w:eastAsia="zh-CN" w:bidi="ar"/>
                    </w:rPr>
                    <w:t>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65.59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eastAsia="华文细黑"/>
                      <w:color w:val="000000"/>
                      <w:kern w:val="0"/>
                      <w:sz w:val="20"/>
                      <w:lang w:val="en-US" w:eastAsia="zh-CN"/>
                    </w:rPr>
                    <w:t>二、</w:t>
                  </w:r>
                  <w:r>
                    <w:rPr>
                      <w:rFonts w:hint="default" w:eastAsia="华文细黑"/>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32.61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32.61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25.96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25.96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bidi w:val="0"/>
                    <w:jc w:val="both"/>
                    <w:rPr>
                      <w:rFonts w:hint="eastAsia" w:ascii="Times New Roman" w:hAnsi="Times New Roman" w:eastAsia="仿宋_GB2312" w:cs="Times New Roman"/>
                      <w:kern w:val="2"/>
                      <w:sz w:val="32"/>
                      <w:lang w:val="en-US" w:eastAsia="zh-CN" w:bidi="ar-SA"/>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华文细黑"/>
                      <w:color w:val="000000"/>
                      <w:kern w:val="0"/>
                      <w:sz w:val="20"/>
                      <w:lang w:eastAsia="zh-CN"/>
                    </w:rPr>
                    <w:t>三、</w:t>
                  </w:r>
                  <w:r>
                    <w:rPr>
                      <w:rFonts w:hint="eastAsia" w:eastAsia="华文细黑"/>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11.1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11.1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宋体"/>
                      <w:color w:val="000000"/>
                      <w:kern w:val="0"/>
                      <w:sz w:val="20"/>
                    </w:rPr>
                  </w:pPr>
                  <w:r>
                    <w:rPr>
                      <w:rFonts w:hint="eastAsia" w:eastAsia="宋体"/>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hint="eastAsia" w:eastAsia="宋体"/>
                      <w:color w:val="000000"/>
                      <w:kern w:val="0"/>
                      <w:sz w:val="20"/>
                    </w:rPr>
                  </w:pPr>
                  <w:r>
                    <w:rPr>
                      <w:rFonts w:hint="eastAsia" w:eastAsia="宋体"/>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eastAsia="华文细黑"/>
                      <w:color w:val="000000"/>
                      <w:kern w:val="0"/>
                      <w:sz w:val="20"/>
                      <w:lang w:val="en-US" w:eastAsia="zh-CN"/>
                    </w:rPr>
                    <w:t>四、住房保障</w:t>
                  </w:r>
                  <w:r>
                    <w:rPr>
                      <w:rFonts w:hint="default" w:eastAsia="华文细黑"/>
                      <w:color w:val="000000"/>
                      <w:kern w:val="0"/>
                      <w:sz w:val="20"/>
                      <w:lang w:val="en-US" w:eastAsia="zh-CN"/>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cs="Times New Roman"/>
                      <w:b/>
                      <w:bCs/>
                      <w:color w:val="000000"/>
                      <w:kern w:val="0"/>
                      <w:sz w:val="20"/>
                      <w:lang w:val="en-US" w:eastAsia="zh-CN" w:bidi="ar-SA"/>
                    </w:rPr>
                    <w:t>19.47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cs="Times New Roman"/>
                      <w:b/>
                      <w:bCs/>
                      <w:color w:val="000000"/>
                      <w:kern w:val="0"/>
                      <w:sz w:val="20"/>
                      <w:lang w:val="en-US" w:eastAsia="zh-CN" w:bidi="ar-SA"/>
                    </w:rPr>
                    <w:t>19.47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s="Times New Roman"/>
                      <w:color w:val="000000"/>
                      <w:kern w:val="0"/>
                      <w:sz w:val="20"/>
                      <w:lang w:val="en-US" w:eastAsia="zh-CN" w:bidi="ar-SA"/>
                    </w:rPr>
                    <w:t>19.47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s="Times New Roman"/>
                      <w:color w:val="000000"/>
                      <w:kern w:val="0"/>
                      <w:sz w:val="20"/>
                      <w:lang w:val="en-US" w:eastAsia="zh-CN" w:bidi="ar-SA"/>
                    </w:rPr>
                    <w:t>19.47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s="Times New Roman"/>
                      <w:color w:val="000000"/>
                      <w:kern w:val="0"/>
                      <w:sz w:val="20"/>
                      <w:lang w:val="en-US" w:eastAsia="zh-CN" w:bidi="ar-SA"/>
                    </w:rPr>
                    <w:t>19.47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b/>
                      <w:bCs/>
                      <w:color w:val="000000"/>
                      <w:kern w:val="0"/>
                      <w:sz w:val="20"/>
                      <w:lang w:val="en-US" w:eastAsia="zh-CN"/>
                    </w:rPr>
                    <w:t>282.03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b/>
                      <w:bCs/>
                      <w:color w:val="000000"/>
                      <w:kern w:val="0"/>
                      <w:sz w:val="20"/>
                      <w:lang w:val="en-US" w:eastAsia="zh-CN"/>
                    </w:rPr>
                    <w:t>262.03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b/>
                      <w:bCs/>
                      <w:color w:val="000000"/>
                      <w:kern w:val="0"/>
                      <w:sz w:val="20"/>
                      <w:lang w:val="en-US" w:eastAsia="zh-CN"/>
                    </w:rPr>
                    <w:t>20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90" w:hRule="atLeast"/>
          <w:jc w:val="center"/>
        </w:trPr>
        <w:tc>
          <w:tcPr>
            <w:tcW w:w="10420" w:type="dxa"/>
            <w:tcBorders>
              <w:top w:val="nil"/>
              <w:left w:val="nil"/>
              <w:bottom w:val="nil"/>
              <w:right w:val="nil"/>
            </w:tcBorders>
            <w:noWrap w:val="0"/>
            <w:vAlign w:val="bottom"/>
          </w:tcPr>
          <w:p>
            <w:pPr>
              <w:widowControl/>
              <w:jc w:val="both"/>
              <w:rPr>
                <w:rFonts w:eastAsia="方正小标宋简体"/>
                <w:kern w:val="0"/>
                <w:sz w:val="13"/>
                <w:szCs w:val="13"/>
              </w:rPr>
            </w:pPr>
          </w:p>
        </w:tc>
      </w:tr>
      <w:tr>
        <w:tblPrEx>
          <w:tblCellMar>
            <w:top w:w="0" w:type="dxa"/>
            <w:left w:w="108" w:type="dxa"/>
            <w:bottom w:w="0" w:type="dxa"/>
            <w:right w:w="108" w:type="dxa"/>
          </w:tblCellMar>
        </w:tblPrEx>
        <w:trPr>
          <w:trHeight w:val="130" w:hRule="atLeast"/>
          <w:jc w:val="center"/>
        </w:trPr>
        <w:tc>
          <w:tcPr>
            <w:tcW w:w="10420" w:type="dxa"/>
            <w:tcBorders>
              <w:top w:val="nil"/>
              <w:left w:val="nil"/>
              <w:bottom w:val="nil"/>
              <w:right w:val="nil"/>
            </w:tcBorders>
            <w:noWrap w:val="0"/>
            <w:vAlign w:val="bottom"/>
          </w:tcPr>
          <w:p>
            <w:pPr>
              <w:widowControl/>
              <w:jc w:val="center"/>
              <w:rPr>
                <w:rFonts w:eastAsia="方正小标宋简体"/>
                <w:kern w:val="0"/>
                <w:sz w:val="13"/>
                <w:szCs w:val="13"/>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13"/>
              <w:gridCol w:w="563"/>
              <w:gridCol w:w="1721"/>
              <w:gridCol w:w="864"/>
              <w:gridCol w:w="879"/>
              <w:gridCol w:w="609"/>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1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5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0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color w:val="000000"/>
                      <w:kern w:val="0"/>
                      <w:sz w:val="20"/>
                      <w:lang w:val="en-US" w:eastAsia="zh-CN"/>
                    </w:rPr>
                    <w:t>282.03</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val="0"/>
                      <w:kern w:val="0"/>
                      <w:sz w:val="20"/>
                      <w:lang w:val="en-US" w:eastAsia="zh-CN" w:bidi="ar-SA"/>
                    </w:rPr>
                  </w:pPr>
                  <w:r>
                    <w:rPr>
                      <w:rFonts w:hint="eastAsia" w:eastAsia="宋体"/>
                      <w:b w:val="0"/>
                      <w:bCs w:val="0"/>
                      <w:color w:val="000000"/>
                      <w:kern w:val="0"/>
                      <w:sz w:val="20"/>
                      <w:lang w:val="en-US" w:eastAsia="zh-CN"/>
                    </w:rPr>
                    <w:t>282.03</w:t>
                  </w: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218.85</w:t>
                  </w: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218.85</w:t>
                  </w: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val="0"/>
                      <w:bCs w:val="0"/>
                      <w:kern w:val="0"/>
                      <w:sz w:val="20"/>
                    </w:rPr>
                  </w:pPr>
                  <w:r>
                    <w:rPr>
                      <w:rFonts w:hint="eastAsia" w:eastAsia="宋体"/>
                      <w:b w:val="0"/>
                      <w:bCs w:val="0"/>
                      <w:color w:val="000000"/>
                      <w:kern w:val="0"/>
                      <w:sz w:val="20"/>
                      <w:lang w:val="en-US" w:eastAsia="zh-CN"/>
                    </w:rPr>
                    <w:t>282.03</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b w:val="0"/>
                      <w:bCs w:val="0"/>
                      <w:kern w:val="0"/>
                      <w:sz w:val="20"/>
                      <w:lang w:val="en-US" w:eastAsia="zh-CN" w:bidi="ar-SA"/>
                    </w:rPr>
                  </w:pPr>
                  <w:r>
                    <w:rPr>
                      <w:rFonts w:hint="eastAsia" w:eastAsia="宋体"/>
                      <w:b w:val="0"/>
                      <w:bCs w:val="0"/>
                      <w:color w:val="000000"/>
                      <w:kern w:val="0"/>
                      <w:sz w:val="20"/>
                      <w:lang w:val="en-US" w:eastAsia="zh-CN"/>
                    </w:rPr>
                    <w:t>282.03</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32.61</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32.61</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11.1</w:t>
                  </w: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11.1</w:t>
                  </w: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19.47</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19.47</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color w:val="000000"/>
                      <w:kern w:val="0"/>
                      <w:sz w:val="20"/>
                      <w:lang w:val="en-US" w:eastAsia="zh-CN"/>
                    </w:rPr>
                    <w:t>282.03</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b/>
                      <w:bCs/>
                      <w:color w:val="000000"/>
                      <w:kern w:val="0"/>
                      <w:sz w:val="20"/>
                      <w:lang w:val="en-US" w:eastAsia="zh-CN"/>
                    </w:rPr>
                    <w:t>282.03</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color w:val="000000"/>
                      <w:kern w:val="0"/>
                      <w:sz w:val="20"/>
                      <w:lang w:val="en-US" w:eastAsia="zh-CN"/>
                    </w:rPr>
                    <w:t>282.03</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r>
                    <w:rPr>
                      <w:rFonts w:hint="eastAsia" w:eastAsia="宋体"/>
                      <w:b/>
                      <w:bCs/>
                      <w:color w:val="000000"/>
                      <w:kern w:val="0"/>
                      <w:sz w:val="20"/>
                      <w:lang w:val="en-US" w:eastAsia="zh-CN"/>
                    </w:rPr>
                    <w:t>282.03</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63"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5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7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09"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kern w:val="0"/>
                      <w:sz w:val="20"/>
                    </w:rPr>
                  </w:pPr>
                  <w:r>
                    <w:rPr>
                      <w:rFonts w:hint="eastAsia" w:eastAsia="宋体"/>
                      <w:b/>
                      <w:bCs/>
                      <w:color w:val="000000"/>
                      <w:kern w:val="0"/>
                      <w:sz w:val="20"/>
                      <w:lang w:val="en-US" w:eastAsia="zh-CN"/>
                    </w:rPr>
                    <w:t>282.03</w:t>
                  </w:r>
                </w:p>
              </w:tc>
              <w:tc>
                <w:tcPr>
                  <w:tcW w:w="81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黑体" w:cs="Times New Roman"/>
                      <w:kern w:val="0"/>
                      <w:sz w:val="20"/>
                      <w:lang w:val="en-US" w:eastAsia="zh-CN" w:bidi="ar-SA"/>
                    </w:rPr>
                  </w:pPr>
                  <w:r>
                    <w:rPr>
                      <w:rFonts w:hint="eastAsia" w:eastAsia="宋体"/>
                      <w:b/>
                      <w:bCs/>
                      <w:color w:val="000000"/>
                      <w:kern w:val="0"/>
                      <w:sz w:val="20"/>
                      <w:lang w:val="en-US" w:eastAsia="zh-CN"/>
                    </w:rPr>
                    <w:t>282.03</w:t>
                  </w:r>
                </w:p>
              </w:tc>
              <w:tc>
                <w:tcPr>
                  <w:tcW w:w="5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b/>
                      <w:bCs/>
                      <w:color w:val="000000"/>
                      <w:kern w:val="0"/>
                      <w:sz w:val="20"/>
                      <w:lang w:val="en-US" w:eastAsia="zh-CN"/>
                    </w:rPr>
                    <w:t>282.03</w:t>
                  </w:r>
                </w:p>
              </w:tc>
              <w:tc>
                <w:tcPr>
                  <w:tcW w:w="8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黑体" w:cs="Times New Roman"/>
                      <w:kern w:val="0"/>
                      <w:sz w:val="20"/>
                      <w:lang w:val="en-US" w:eastAsia="zh-CN" w:bidi="ar-SA"/>
                    </w:rPr>
                  </w:pPr>
                  <w:r>
                    <w:rPr>
                      <w:rFonts w:hint="eastAsia" w:eastAsia="宋体"/>
                      <w:b/>
                      <w:bCs/>
                      <w:color w:val="000000"/>
                      <w:kern w:val="0"/>
                      <w:sz w:val="20"/>
                      <w:lang w:val="en-US" w:eastAsia="zh-CN"/>
                    </w:rPr>
                    <w:t>282.03</w:t>
                  </w:r>
                </w:p>
              </w:tc>
              <w:tc>
                <w:tcPr>
                  <w:tcW w:w="60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一、一般公共服务</w:t>
                  </w:r>
                  <w:r>
                    <w:rPr>
                      <w:rFonts w:hint="default" w:eastAsia="华文细黑"/>
                      <w:color w:val="000000"/>
                      <w:kern w:val="0"/>
                      <w:sz w:val="20"/>
                      <w:lang w:val="en-US" w:eastAsia="zh-CN"/>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218.85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cs="Times New Roman"/>
                      <w:b/>
                      <w:bCs/>
                      <w:color w:val="000000"/>
                      <w:kern w:val="0"/>
                      <w:sz w:val="20"/>
                      <w:lang w:val="en-US" w:eastAsia="zh-CN" w:bidi="ar-SA"/>
                    </w:rPr>
                    <w:t>198.85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169.93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28.92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组织</w:t>
                  </w:r>
                  <w:r>
                    <w:rPr>
                      <w:rFonts w:eastAsia="宋体"/>
                      <w:color w:val="000000"/>
                      <w:kern w:val="0"/>
                      <w:sz w:val="20"/>
                    </w:rPr>
                    <w:t>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218.85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cs="Times New Roman"/>
                      <w:b/>
                      <w:bCs/>
                      <w:color w:val="000000"/>
                      <w:kern w:val="0"/>
                      <w:sz w:val="20"/>
                      <w:lang w:val="en-US" w:eastAsia="zh-CN" w:bidi="ar-SA"/>
                    </w:rPr>
                    <w:t>198.85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169.93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28.92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133.26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b/>
                      <w:bCs/>
                      <w:color w:val="000000"/>
                      <w:kern w:val="0"/>
                      <w:sz w:val="20"/>
                      <w:lang w:val="en-US" w:eastAsia="zh-CN"/>
                    </w:rPr>
                  </w:pPr>
                  <w:r>
                    <w:rPr>
                      <w:rFonts w:hint="eastAsia" w:eastAsia="宋体"/>
                      <w:b w:val="0"/>
                      <w:bCs w:val="0"/>
                      <w:color w:val="000000"/>
                      <w:kern w:val="0"/>
                      <w:sz w:val="20"/>
                      <w:lang w:val="en-US" w:eastAsia="zh-CN"/>
                    </w:rPr>
                    <w:t>20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both"/>
                    <w:textAlignment w:val="center"/>
                    <w:rPr>
                      <w:rFonts w:eastAsia="宋体"/>
                      <w:color w:val="000000"/>
                      <w:kern w:val="0"/>
                      <w:sz w:val="20"/>
                    </w:rPr>
                  </w:pPr>
                  <w:r>
                    <w:rPr>
                      <w:rFonts w:hint="eastAsia" w:ascii="宋体" w:hAnsi="宋体" w:eastAsia="宋体" w:cs="宋体"/>
                      <w:i w:val="0"/>
                      <w:color w:val="000000"/>
                      <w:kern w:val="0"/>
                      <w:sz w:val="20"/>
                      <w:szCs w:val="20"/>
                      <w:u w:val="none"/>
                      <w:lang w:val="en-US" w:eastAsia="zh-CN" w:bidi="ar"/>
                    </w:rPr>
                    <w:t>　　</w:t>
                  </w:r>
                  <w:r>
                    <w:rPr>
                      <w:rFonts w:hint="default" w:ascii="Arial" w:hAnsi="Arial" w:eastAsia="宋体" w:cs="Arial"/>
                      <w:i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65.59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58.87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eastAsia="华文细黑"/>
                      <w:color w:val="000000"/>
                      <w:kern w:val="0"/>
                      <w:sz w:val="20"/>
                      <w:lang w:val="en-US" w:eastAsia="zh-CN"/>
                    </w:rPr>
                    <w:t>二、</w:t>
                  </w:r>
                  <w:r>
                    <w:rPr>
                      <w:rFonts w:hint="default" w:eastAsia="华文细黑"/>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32.61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bidi w:val="0"/>
                    <w:jc w:val="both"/>
                    <w:rPr>
                      <w:rFonts w:eastAsia="华文细黑"/>
                      <w:color w:val="000000"/>
                      <w:kern w:val="0"/>
                      <w:sz w:val="20"/>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华文细黑"/>
                      <w:color w:val="000000"/>
                      <w:kern w:val="0"/>
                      <w:sz w:val="20"/>
                      <w:lang w:eastAsia="zh-CN"/>
                    </w:rPr>
                    <w:t>三、</w:t>
                  </w:r>
                  <w:r>
                    <w:rPr>
                      <w:rFonts w:hint="eastAsia" w:eastAsia="华文细黑"/>
                      <w:color w:val="000000"/>
                      <w:kern w:val="0"/>
                      <w:sz w:val="20"/>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eastAsia="华文细黑"/>
                      <w:color w:val="000000"/>
                      <w:kern w:val="0"/>
                      <w:sz w:val="20"/>
                      <w:lang w:val="en-US" w:eastAsia="zh-CN"/>
                    </w:rPr>
                    <w:t>四、住房保障</w:t>
                  </w:r>
                  <w:r>
                    <w:rPr>
                      <w:rFonts w:hint="default" w:eastAsia="华文细黑"/>
                      <w:color w:val="000000"/>
                      <w:kern w:val="0"/>
                      <w:sz w:val="20"/>
                      <w:lang w:val="en-US" w:eastAsia="zh-CN"/>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cs="Times New Roman"/>
                      <w:b/>
                      <w:bCs/>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cs="Times New Roman"/>
                      <w:b/>
                      <w:bCs/>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cs="Times New Roman"/>
                      <w:b/>
                      <w:bCs/>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hint="eastAsia" w:eastAsia="宋体"/>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19.47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eastAsia="华文细黑"/>
                      <w:color w:val="000000"/>
                      <w:kern w:val="0"/>
                      <w:sz w:val="20"/>
                      <w:lang w:eastAsia="zh-CN"/>
                    </w:rPr>
                  </w:pPr>
                  <w:r>
                    <w:rPr>
                      <w:rFonts w:hint="eastAsia" w:eastAsia="华文细黑"/>
                      <w:color w:val="000000"/>
                      <w:kern w:val="0"/>
                      <w:sz w:val="20"/>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262.03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233.11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28.92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bookmarkStart w:id="0" w:name="_GoBack"/>
                  <w:r>
                    <w:rPr>
                      <w:rFonts w:hint="eastAsia" w:eastAsia="宋体"/>
                      <w:color w:val="000000"/>
                      <w:kern w:val="0"/>
                      <w:sz w:val="20"/>
                      <w:lang w:val="en-US" w:eastAsia="zh-CN"/>
                    </w:rPr>
                    <w:t>20</w:t>
                  </w:r>
                  <w:bookmarkEnd w:id="0"/>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023"/>
        <w:gridCol w:w="2373"/>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023"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373"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500" w:hRule="atLeast"/>
          <w:jc w:val="center"/>
        </w:trPr>
        <w:tc>
          <w:tcPr>
            <w:tcW w:w="3023"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373"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374"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232.47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28.92</w:t>
            </w:r>
          </w:p>
        </w:tc>
      </w:tr>
      <w:tr>
        <w:tblPrEx>
          <w:tblCellMar>
            <w:top w:w="0" w:type="dxa"/>
            <w:left w:w="108" w:type="dxa"/>
            <w:bottom w:w="0" w:type="dxa"/>
            <w:right w:w="108" w:type="dxa"/>
          </w:tblCellMar>
        </w:tblPrEx>
        <w:trPr>
          <w:trHeight w:val="336"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79.36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25"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39.51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02"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29.27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02"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18.88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71"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color w:val="000000"/>
                <w:sz w:val="20"/>
              </w:rPr>
              <w:t>机关事业单位基本养老保险缴费</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25.96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26"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　职业年金缴费</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6.25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36"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kern w:val="0"/>
                <w:sz w:val="20"/>
              </w:rPr>
              <w:t>　</w:t>
            </w:r>
            <w:r>
              <w:rPr>
                <w:rFonts w:hint="eastAsia" w:eastAsia="宋体"/>
                <w:kern w:val="0"/>
                <w:sz w:val="20"/>
                <w:lang w:val="en-US" w:eastAsia="zh-CN"/>
              </w:rPr>
              <w:t xml:space="preserve">  </w:t>
            </w:r>
            <w:r>
              <w:rPr>
                <w:rFonts w:hint="eastAsia" w:eastAsia="宋体"/>
                <w:kern w:val="0"/>
                <w:sz w:val="20"/>
              </w:rPr>
              <w:t>职工基本医疗保险缴费</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10.88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47" w:hRule="atLeast"/>
          <w:jc w:val="center"/>
        </w:trPr>
        <w:tc>
          <w:tcPr>
            <w:tcW w:w="302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　其他社会保障缴费</w:t>
            </w:r>
          </w:p>
        </w:tc>
        <w:tc>
          <w:tcPr>
            <w:tcW w:w="237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2"/>
                <w:szCs w:val="22"/>
                <w:lang w:val="en-US" w:eastAsia="zh-CN"/>
              </w:rPr>
            </w:pPr>
            <w:r>
              <w:rPr>
                <w:rFonts w:hint="eastAsia"/>
                <w:sz w:val="22"/>
                <w:szCs w:val="22"/>
                <w:lang w:val="en-US" w:eastAsia="zh-CN"/>
              </w:rPr>
              <w:t>0.63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sz w:val="22"/>
                <w:szCs w:val="22"/>
              </w:rPr>
            </w:pPr>
          </w:p>
        </w:tc>
      </w:tr>
      <w:tr>
        <w:tblPrEx>
          <w:tblCellMar>
            <w:top w:w="0" w:type="dxa"/>
            <w:left w:w="108" w:type="dxa"/>
            <w:bottom w:w="0" w:type="dxa"/>
            <w:right w:w="108" w:type="dxa"/>
          </w:tblCellMar>
        </w:tblPrEx>
        <w:trPr>
          <w:trHeight w:val="336"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kern w:val="0"/>
                <w:sz w:val="20"/>
              </w:rPr>
              <w:t>　住房公积金</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2"/>
                <w:szCs w:val="22"/>
                <w:lang w:val="en-US" w:eastAsia="zh-CN"/>
              </w:rPr>
            </w:pPr>
            <w:r>
              <w:rPr>
                <w:rFonts w:hint="eastAsia"/>
                <w:sz w:val="22"/>
                <w:szCs w:val="22"/>
                <w:lang w:val="en-US" w:eastAsia="zh-CN"/>
              </w:rPr>
              <w:t>19.47</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9"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其他工资福利支出</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sz w:val="22"/>
                <w:szCs w:val="22"/>
                <w:lang w:val="en-US" w:eastAsia="zh-CN"/>
              </w:rPr>
            </w:pPr>
            <w:r>
              <w:rPr>
                <w:rFonts w:hint="eastAsia"/>
                <w:sz w:val="22"/>
                <w:szCs w:val="22"/>
                <w:lang w:val="en-US" w:eastAsia="zh-CN"/>
              </w:rPr>
              <w:t>2.26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9"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27.92</w:t>
            </w:r>
          </w:p>
        </w:tc>
      </w:tr>
      <w:tr>
        <w:tblPrEx>
          <w:tblCellMar>
            <w:top w:w="0" w:type="dxa"/>
            <w:left w:w="108" w:type="dxa"/>
            <w:bottom w:w="0" w:type="dxa"/>
            <w:right w:w="108" w:type="dxa"/>
          </w:tblCellMar>
        </w:tblPrEx>
        <w:trPr>
          <w:trHeight w:val="313"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eastAsia="宋体"/>
                <w:color w:val="000000"/>
                <w:sz w:val="20"/>
              </w:rPr>
              <w:t>办公费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10.42</w:t>
            </w:r>
          </w:p>
        </w:tc>
      </w:tr>
      <w:tr>
        <w:tblPrEx>
          <w:tblCellMar>
            <w:top w:w="0" w:type="dxa"/>
            <w:left w:w="108" w:type="dxa"/>
            <w:bottom w:w="0" w:type="dxa"/>
            <w:right w:w="108" w:type="dxa"/>
          </w:tblCellMar>
        </w:tblPrEx>
        <w:trPr>
          <w:trHeight w:val="394"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eastAsia" w:eastAsia="宋体"/>
                <w:color w:val="000000"/>
                <w:kern w:val="0"/>
                <w:sz w:val="20"/>
                <w:lang w:val="en-US" w:eastAsia="zh-CN"/>
              </w:rPr>
              <w:t>印刷费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2"/>
                <w:szCs w:val="22"/>
                <w:lang w:val="en-US" w:eastAsia="zh-CN"/>
              </w:rPr>
            </w:pPr>
            <w:r>
              <w:rPr>
                <w:rFonts w:hint="eastAsia"/>
                <w:sz w:val="22"/>
                <w:szCs w:val="22"/>
                <w:lang w:val="en-US" w:eastAsia="zh-CN"/>
              </w:rPr>
              <w:t>1</w:t>
            </w:r>
          </w:p>
        </w:tc>
      </w:tr>
      <w:tr>
        <w:tblPrEx>
          <w:tblCellMar>
            <w:top w:w="0" w:type="dxa"/>
            <w:left w:w="108" w:type="dxa"/>
            <w:bottom w:w="0" w:type="dxa"/>
            <w:right w:w="108" w:type="dxa"/>
          </w:tblCellMar>
        </w:tblPrEx>
        <w:trPr>
          <w:trHeight w:val="383"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手续费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0.1</w:t>
            </w:r>
          </w:p>
        </w:tc>
      </w:tr>
      <w:tr>
        <w:tblPrEx>
          <w:tblCellMar>
            <w:top w:w="0" w:type="dxa"/>
            <w:left w:w="108" w:type="dxa"/>
            <w:bottom w:w="0" w:type="dxa"/>
            <w:right w:w="108" w:type="dxa"/>
          </w:tblCellMar>
        </w:tblPrEx>
        <w:trPr>
          <w:trHeight w:val="27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水费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0.4</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邮电费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0.3</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差旅费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3.6</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both"/>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公务接待费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0.3</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工会经费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2"/>
                <w:szCs w:val="22"/>
                <w:lang w:val="en-US" w:eastAsia="zh-CN"/>
              </w:rPr>
            </w:pPr>
            <w:r>
              <w:rPr>
                <w:rFonts w:hint="eastAsia"/>
                <w:sz w:val="22"/>
                <w:szCs w:val="22"/>
                <w:lang w:val="en-US" w:eastAsia="zh-CN"/>
              </w:rPr>
              <w:t>4</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其他交通费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7.8</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ascii="Arial" w:hAnsi="Arial" w:eastAsia="宋体" w:cs="Arial"/>
                <w:i w:val="0"/>
                <w:color w:val="000000"/>
                <w:kern w:val="0"/>
                <w:sz w:val="20"/>
                <w:szCs w:val="20"/>
                <w:u w:val="none"/>
                <w:lang w:val="en-US" w:eastAsia="zh-CN" w:bidi="ar"/>
              </w:rPr>
              <w:t>三、</w:t>
            </w:r>
            <w:r>
              <w:rPr>
                <w:rFonts w:hint="default" w:ascii="Arial" w:hAnsi="Arial" w:eastAsia="宋体" w:cs="Arial"/>
                <w:i w:val="0"/>
                <w:color w:val="000000"/>
                <w:kern w:val="0"/>
                <w:sz w:val="20"/>
                <w:szCs w:val="20"/>
                <w:u w:val="none"/>
                <w:lang w:val="en-US" w:eastAsia="zh-CN" w:bidi="ar"/>
              </w:rPr>
              <w:t>对个人和家庭的补助</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0.65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default" w:ascii="Arial" w:hAnsi="Arial" w:eastAsia="宋体" w:cs="Arial"/>
                <w:i w:val="0"/>
                <w:color w:val="000000"/>
                <w:kern w:val="0"/>
                <w:sz w:val="20"/>
                <w:szCs w:val="20"/>
                <w:u w:val="none"/>
                <w:lang w:val="en-US" w:eastAsia="zh-CN" w:bidi="ar"/>
              </w:rPr>
              <w:t>退休费</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仿宋_GB2312"/>
                <w:sz w:val="22"/>
                <w:szCs w:val="22"/>
                <w:lang w:val="en-US" w:eastAsia="zh-CN"/>
              </w:rPr>
            </w:pPr>
            <w:r>
              <w:rPr>
                <w:rFonts w:hint="eastAsia"/>
                <w:sz w:val="22"/>
                <w:szCs w:val="22"/>
                <w:lang w:val="en-US" w:eastAsia="zh-CN"/>
              </w:rPr>
              <w:t>0.65</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lang w:eastAsia="zh-CN"/>
              </w:rPr>
            </w:pPr>
            <w:r>
              <w:rPr>
                <w:rFonts w:hint="eastAsia" w:eastAsia="宋体"/>
                <w:color w:val="000000"/>
                <w:kern w:val="0"/>
                <w:sz w:val="20"/>
                <w:lang w:eastAsia="zh-CN"/>
              </w:rPr>
              <w:t>四、资本性支出</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2"/>
                <w:szCs w:val="22"/>
                <w:lang w:val="en-US" w:eastAsia="zh-CN"/>
              </w:rPr>
            </w:pPr>
            <w:r>
              <w:rPr>
                <w:rFonts w:hint="eastAsia"/>
                <w:sz w:val="22"/>
                <w:szCs w:val="22"/>
                <w:lang w:val="en-US" w:eastAsia="zh-CN"/>
              </w:rPr>
              <w:t>1</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办公设备购置</w:t>
            </w: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仿宋_GB2312"/>
                <w:sz w:val="22"/>
                <w:szCs w:val="22"/>
                <w:lang w:val="en-US" w:eastAsia="zh-CN"/>
              </w:rPr>
            </w:pPr>
            <w:r>
              <w:rPr>
                <w:rFonts w:hint="eastAsia"/>
                <w:sz w:val="22"/>
                <w:szCs w:val="22"/>
                <w:lang w:val="en-US" w:eastAsia="zh-CN"/>
              </w:rPr>
              <w:t>1</w:t>
            </w: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2"/>
                <w:szCs w:val="22"/>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sz w:val="22"/>
                <w:szCs w:val="22"/>
              </w:rPr>
            </w:pPr>
          </w:p>
        </w:tc>
      </w:tr>
      <w:tr>
        <w:tblPrEx>
          <w:tblCellMar>
            <w:top w:w="0" w:type="dxa"/>
            <w:left w:w="108" w:type="dxa"/>
            <w:bottom w:w="0" w:type="dxa"/>
            <w:right w:w="108" w:type="dxa"/>
          </w:tblCellMar>
        </w:tblPrEx>
        <w:trPr>
          <w:trHeight w:val="358" w:hRule="atLeast"/>
          <w:jc w:val="center"/>
        </w:trPr>
        <w:tc>
          <w:tcPr>
            <w:tcW w:w="3023"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p>
        </w:tc>
        <w:tc>
          <w:tcPr>
            <w:tcW w:w="23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rPr>
            </w:pPr>
            <w:r>
              <w:rPr>
                <w:rFonts w:hAnsi="楷体" w:eastAsia="楷体"/>
              </w:rPr>
              <w:br w:type="page"/>
            </w:r>
            <w:r>
              <w:rPr>
                <w:rFonts w:hint="eastAsia" w:hAnsi="楷体" w:eastAsia="楷体"/>
                <w:lang w:val="en-US" w:eastAsia="zh-CN"/>
              </w:rPr>
              <w:t xml:space="preserve">         </w:t>
            </w: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0.3</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20</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int="eastAsia" w:ascii="楷体" w:hAnsi="楷体" w:eastAsia="楷体" w:cs="楷体"/>
          <w:kern w:val="0"/>
          <w:sz w:val="24"/>
          <w:szCs w:val="24"/>
        </w:rPr>
      </w:pPr>
      <w:r>
        <w:rPr>
          <w:rFonts w:eastAsia="楷体"/>
          <w:kern w:val="0"/>
          <w:szCs w:val="32"/>
        </w:rPr>
        <w:t xml:space="preserve"> </w:t>
      </w: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exact"/>
          <w:jc w:val="center"/>
        </w:trPr>
        <w:tc>
          <w:tcPr>
            <w:tcW w:w="759" w:type="dxa"/>
            <w:noWrap w:val="0"/>
            <w:vAlign w:val="center"/>
          </w:tcPr>
          <w:p>
            <w:pPr>
              <w:spacing w:line="240" w:lineRule="auto"/>
              <w:jc w:val="both"/>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专项业务支出</w:t>
            </w:r>
          </w:p>
        </w:tc>
        <w:tc>
          <w:tcPr>
            <w:tcW w:w="1063" w:type="dxa"/>
            <w:noWrap w:val="0"/>
            <w:vAlign w:val="center"/>
          </w:tcPr>
          <w:p>
            <w:pPr>
              <w:spacing w:line="240" w:lineRule="auto"/>
              <w:jc w:val="both"/>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编办2024年编制系统运行维护费</w:t>
            </w:r>
          </w:p>
        </w:tc>
        <w:tc>
          <w:tcPr>
            <w:tcW w:w="1107" w:type="dxa"/>
            <w:noWrap w:val="0"/>
            <w:vAlign w:val="center"/>
          </w:tcPr>
          <w:p>
            <w:pPr>
              <w:spacing w:line="240" w:lineRule="auto"/>
              <w:jc w:val="both"/>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编办2024编制系统运行维护费</w:t>
            </w:r>
          </w:p>
        </w:tc>
        <w:tc>
          <w:tcPr>
            <w:tcW w:w="864" w:type="dxa"/>
            <w:noWrap w:val="0"/>
            <w:vAlign w:val="center"/>
          </w:tcPr>
          <w:p>
            <w:pPr>
              <w:spacing w:line="240" w:lineRule="auto"/>
              <w:jc w:val="both"/>
              <w:rPr>
                <w:rFonts w:hint="eastAsia" w:asciiTheme="minorEastAsia" w:hAnsiTheme="minorEastAsia" w:eastAsiaTheme="minorEastAsia" w:cstheme="minorEastAsia"/>
                <w:kern w:val="0"/>
                <w:sz w:val="16"/>
                <w:szCs w:val="16"/>
              </w:rPr>
            </w:pPr>
            <w:r>
              <w:rPr>
                <w:rFonts w:hint="eastAsia" w:asciiTheme="minorEastAsia" w:hAnsiTheme="minorEastAsia" w:eastAsiaTheme="minorEastAsia" w:cstheme="minorEastAsia"/>
                <w:kern w:val="0"/>
                <w:sz w:val="16"/>
                <w:szCs w:val="16"/>
              </w:rPr>
              <w:t>通榆县机构编制电子政务中心</w:t>
            </w:r>
          </w:p>
        </w:tc>
        <w:tc>
          <w:tcPr>
            <w:tcW w:w="498" w:type="dxa"/>
            <w:noWrap w:val="0"/>
            <w:vAlign w:val="center"/>
          </w:tcPr>
          <w:p>
            <w:pPr>
              <w:spacing w:line="70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553" w:type="dxa"/>
            <w:noWrap w:val="0"/>
            <w:vAlign w:val="center"/>
          </w:tcPr>
          <w:p>
            <w:pPr>
              <w:spacing w:line="700" w:lineRule="exact"/>
              <w:jc w:val="center"/>
              <w:rPr>
                <w:rFonts w:hint="default"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lang w:val="en-US" w:eastAsia="zh-CN"/>
              </w:rPr>
              <w:t>20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1107"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864"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498"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553"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1107"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864"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498"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553"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1107"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864"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498"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553" w:type="dxa"/>
            <w:noWrap w:val="0"/>
            <w:vAlign w:val="center"/>
          </w:tcPr>
          <w:p>
            <w:pPr>
              <w:spacing w:line="700" w:lineRule="exact"/>
              <w:jc w:val="center"/>
              <w:rPr>
                <w:rFonts w:hint="eastAsia" w:asciiTheme="minorEastAsia" w:hAnsiTheme="minorEastAsia" w:eastAsiaTheme="minorEastAsia" w:cstheme="minorEastAsia"/>
                <w:kern w:val="0"/>
                <w:sz w:val="24"/>
                <w:szCs w:val="24"/>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spacing w:line="240" w:lineRule="auto"/>
              <w:jc w:val="both"/>
              <w:rPr>
                <w:rFonts w:hint="eastAsia" w:asciiTheme="minorEastAsia" w:hAnsiTheme="minorEastAsia" w:eastAsiaTheme="minorEastAsia" w:cstheme="minorEastAsia"/>
                <w:kern w:val="0"/>
                <w:sz w:val="16"/>
                <w:szCs w:val="16"/>
                <w:lang w:val="en-US" w:eastAsia="zh-CN" w:bidi="ar-SA"/>
              </w:rPr>
            </w:pPr>
            <w:r>
              <w:rPr>
                <w:rFonts w:hint="eastAsia" w:asciiTheme="minorEastAsia" w:hAnsiTheme="minorEastAsia" w:eastAsiaTheme="minorEastAsia" w:cstheme="minorEastAsia"/>
                <w:kern w:val="0"/>
                <w:sz w:val="16"/>
                <w:szCs w:val="16"/>
              </w:rPr>
              <w:t>编办2024年编制系统运行维护费</w:t>
            </w:r>
          </w:p>
        </w:tc>
        <w:tc>
          <w:tcPr>
            <w:tcW w:w="1107" w:type="dxa"/>
            <w:noWrap w:val="0"/>
            <w:vAlign w:val="center"/>
          </w:tcPr>
          <w:p>
            <w:pPr>
              <w:spacing w:line="240" w:lineRule="auto"/>
              <w:jc w:val="both"/>
              <w:rPr>
                <w:rFonts w:hint="eastAsia" w:asciiTheme="minorEastAsia" w:hAnsiTheme="minorEastAsia" w:eastAsiaTheme="minorEastAsia" w:cstheme="minorEastAsia"/>
                <w:kern w:val="0"/>
                <w:sz w:val="16"/>
                <w:szCs w:val="16"/>
                <w:lang w:val="en-US" w:eastAsia="zh-CN" w:bidi="ar-SA"/>
              </w:rPr>
            </w:pPr>
            <w:r>
              <w:rPr>
                <w:rFonts w:hint="eastAsia" w:asciiTheme="minorEastAsia" w:hAnsiTheme="minorEastAsia" w:eastAsiaTheme="minorEastAsia" w:cstheme="minorEastAsia"/>
                <w:kern w:val="0"/>
                <w:sz w:val="16"/>
                <w:szCs w:val="16"/>
              </w:rPr>
              <w:t>编办2024编制系统运行维护费</w:t>
            </w:r>
          </w:p>
        </w:tc>
        <w:tc>
          <w:tcPr>
            <w:tcW w:w="864" w:type="dxa"/>
            <w:noWrap w:val="0"/>
            <w:vAlign w:val="center"/>
          </w:tcPr>
          <w:p>
            <w:pPr>
              <w:spacing w:line="240" w:lineRule="auto"/>
              <w:jc w:val="both"/>
              <w:rPr>
                <w:rFonts w:hint="eastAsia" w:asciiTheme="minorEastAsia" w:hAnsiTheme="minorEastAsia" w:eastAsiaTheme="minorEastAsia" w:cstheme="minorEastAsia"/>
                <w:kern w:val="0"/>
                <w:sz w:val="16"/>
                <w:szCs w:val="16"/>
                <w:lang w:val="en-US" w:eastAsia="zh-CN" w:bidi="ar-SA"/>
              </w:rPr>
            </w:pPr>
            <w:r>
              <w:rPr>
                <w:rFonts w:hint="eastAsia" w:asciiTheme="minorEastAsia" w:hAnsiTheme="minorEastAsia" w:eastAsiaTheme="minorEastAsia" w:cstheme="minorEastAsia"/>
                <w:kern w:val="0"/>
                <w:sz w:val="16"/>
                <w:szCs w:val="16"/>
              </w:rPr>
              <w:t>通榆县机构编制电子政务中心</w:t>
            </w:r>
          </w:p>
        </w:tc>
        <w:tc>
          <w:tcPr>
            <w:tcW w:w="498" w:type="dxa"/>
            <w:noWrap w:val="0"/>
            <w:vAlign w:val="center"/>
          </w:tcPr>
          <w:p>
            <w:pPr>
              <w:spacing w:line="70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20</w:t>
            </w:r>
          </w:p>
        </w:tc>
        <w:tc>
          <w:tcPr>
            <w:tcW w:w="553" w:type="dxa"/>
            <w:noWrap w:val="0"/>
            <w:vAlign w:val="center"/>
          </w:tcPr>
          <w:p>
            <w:pPr>
              <w:spacing w:line="700" w:lineRule="exact"/>
              <w:jc w:val="center"/>
              <w:rPr>
                <w:rFonts w:hint="eastAsia" w:asciiTheme="minorEastAsia" w:hAnsiTheme="minorEastAsia" w:eastAsiaTheme="minorEastAsia" w:cstheme="minorEastAsia"/>
                <w:kern w:val="0"/>
                <w:sz w:val="21"/>
                <w:szCs w:val="21"/>
                <w:lang w:val="en-US" w:eastAsia="zh-CN" w:bidi="ar-SA"/>
              </w:rPr>
            </w:pPr>
            <w:r>
              <w:rPr>
                <w:rFonts w:hint="eastAsia" w:asciiTheme="minorEastAsia" w:hAnsiTheme="minorEastAsia" w:eastAsiaTheme="minorEastAsia" w:cstheme="minorEastAsia"/>
                <w:kern w:val="0"/>
                <w:sz w:val="21"/>
                <w:szCs w:val="21"/>
                <w:lang w:val="en-US" w:eastAsia="zh-CN"/>
              </w:rPr>
              <w:t>20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Theme="minorEastAsia" w:hAnsiTheme="minorEastAsia" w:eastAsiaTheme="minorEastAsia" w:cstheme="minorEastAsia"/>
                <w:kern w:val="0"/>
                <w:sz w:val="16"/>
                <w:szCs w:val="16"/>
              </w:rPr>
              <w:t>编办2024年编制系统运行维护费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仿宋_GB2312" w:cs="宋体"/>
                <w:color w:val="000000"/>
                <w:sz w:val="20"/>
                <w:lang w:eastAsia="zh-CN"/>
              </w:rPr>
            </w:pPr>
            <w:r>
              <w:rPr>
                <w:rFonts w:hint="eastAsia" w:eastAsia="宋体"/>
                <w:sz w:val="24"/>
                <w:szCs w:val="16"/>
                <w:lang w:eastAsia="zh-CN"/>
              </w:rPr>
              <w:t>实现电子档案系统正常运用</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kern w:val="2"/>
                <w:sz w:val="15"/>
                <w:szCs w:val="15"/>
                <w:lang w:val="en-US" w:eastAsia="zh-CN" w:bidi="ar-SA"/>
              </w:rPr>
            </w:pPr>
            <w:r>
              <w:rPr>
                <w:rFonts w:ascii="宋体" w:hAnsi="宋体" w:eastAsia="宋体" w:cs="宋体"/>
                <w:color w:val="auto"/>
                <w:kern w:val="0"/>
                <w:sz w:val="15"/>
                <w:szCs w:val="15"/>
                <w:lang w:val="en-US" w:eastAsia="zh-CN" w:bidi="ar"/>
              </w:rPr>
              <w:t>电子档案系统开发运行支出类别</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》=2个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15"/>
                <w:szCs w:val="15"/>
                <w:lang w:val="en-US" w:eastAsia="zh-CN" w:bidi="ar-SA"/>
              </w:rPr>
            </w:pPr>
            <w:r>
              <w:rPr>
                <w:rFonts w:ascii="宋体" w:hAnsi="宋体" w:eastAsia="宋体" w:cs="宋体"/>
                <w:color w:val="auto"/>
                <w:sz w:val="15"/>
                <w:szCs w:val="15"/>
              </w:rPr>
              <w:t>系统使用稳定性率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kern w:val="2"/>
                <w:sz w:val="15"/>
                <w:szCs w:val="15"/>
                <w:lang w:val="en-US" w:eastAsia="zh-CN" w:bidi="ar-SA"/>
              </w:rPr>
            </w:pPr>
            <w:r>
              <w:rPr>
                <w:rFonts w:ascii="宋体" w:hAnsi="宋体" w:eastAsia="宋体" w:cs="宋体"/>
                <w:color w:val="auto"/>
                <w:kern w:val="0"/>
                <w:sz w:val="15"/>
                <w:szCs w:val="15"/>
                <w:lang w:val="en-US" w:eastAsia="zh-CN" w:bidi="ar"/>
              </w:rPr>
              <w:t>软件与硬件费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《=17万元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kern w:val="2"/>
                <w:sz w:val="15"/>
                <w:szCs w:val="15"/>
                <w:lang w:val="en-US" w:eastAsia="zh-CN" w:bidi="ar-SA"/>
              </w:rPr>
            </w:pPr>
            <w:r>
              <w:rPr>
                <w:rFonts w:ascii="宋体" w:hAnsi="宋体" w:eastAsia="宋体" w:cs="宋体"/>
                <w:color w:val="auto"/>
                <w:kern w:val="0"/>
                <w:sz w:val="15"/>
                <w:szCs w:val="15"/>
                <w:lang w:val="en-US" w:eastAsia="zh-CN" w:bidi="ar"/>
              </w:rPr>
              <w:t>系统开发及时率反应电子档案系统开发是否及时</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auto"/>
                <w:sz w:val="15"/>
                <w:szCs w:val="15"/>
              </w:rPr>
              <w:t>推动电子办公建设效率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auto"/>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pBdr>
                <w:top w:val="none" w:color="auto" w:sz="0" w:space="0"/>
                <w:left w:val="none" w:color="auto" w:sz="0" w:space="0"/>
                <w:bottom w:val="none" w:color="auto" w:sz="0" w:space="0"/>
              </w:pBdr>
              <w:spacing w:line="23" w:lineRule="atLeast"/>
              <w:jc w:val="center"/>
              <w:rPr>
                <w:rFonts w:hint="eastAsia" w:ascii="宋体" w:hAnsi="宋体" w:eastAsia="宋体" w:cs="宋体"/>
                <w:color w:val="auto"/>
                <w:kern w:val="2"/>
                <w:sz w:val="15"/>
                <w:szCs w:val="15"/>
                <w:lang w:val="en-US" w:eastAsia="zh-CN" w:bidi="ar-SA"/>
              </w:rPr>
            </w:pPr>
            <w:r>
              <w:rPr>
                <w:rFonts w:ascii="宋体" w:hAnsi="宋体" w:eastAsia="宋体" w:cs="宋体"/>
                <w:color w:val="auto"/>
                <w:kern w:val="0"/>
                <w:sz w:val="15"/>
                <w:szCs w:val="15"/>
                <w:lang w:val="en-US" w:eastAsia="zh-CN" w:bidi="ar"/>
              </w:rPr>
              <w:t>办事群众满意程度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auto"/>
                <w:kern w:val="2"/>
                <w:sz w:val="20"/>
                <w:lang w:val="en-US" w:eastAsia="zh-CN" w:bidi="ar-SA"/>
              </w:rPr>
            </w:pPr>
            <w:r>
              <w:rPr>
                <w:rFonts w:hint="eastAsia" w:ascii="宋体" w:hAnsi="宋体" w:eastAsia="宋体" w:cs="宋体"/>
                <w:color w:val="auto"/>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282.03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20.21</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本年度工作人员有增加，经费增加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万元；财政专户管理资金结转结</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262.03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92.91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7.09</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218.85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32.61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11.1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19.47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282.03</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262.03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92.91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7.09</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233.11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88.96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28.92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11.04</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218.85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77.6</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工资福利支出和公务经费支出</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32.61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11.56%</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人员社保缴费支出</w:t>
      </w:r>
      <w:r>
        <w:rPr>
          <w:rFonts w:hint="eastAsia" w:ascii="仿宋_GB2312" w:hAnsi="仿宋_GB2312" w:eastAsia="仿宋_GB2312" w:cs="仿宋_GB2312"/>
          <w:szCs w:val="32"/>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11.1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3.93</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人员医疗保障支出</w:t>
      </w:r>
      <w:r>
        <w:rPr>
          <w:rFonts w:hint="eastAsia" w:ascii="仿宋_GB2312" w:hAnsi="仿宋_GB2312" w:eastAsia="仿宋_GB2312" w:cs="仿宋_GB2312"/>
          <w:szCs w:val="32"/>
          <w:u w:val="single"/>
        </w:rPr>
        <w:t>。</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19.47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6.91</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人员住房公积金支出</w:t>
      </w:r>
      <w:r>
        <w:rPr>
          <w:rFonts w:hint="eastAsia" w:ascii="仿宋_GB2312" w:hAnsi="仿宋_GB2312" w:eastAsia="仿宋_GB2312" w:cs="仿宋_GB2312"/>
          <w:szCs w:val="32"/>
          <w:u w:val="single"/>
        </w:rPr>
        <w:t>。</w:t>
      </w:r>
    </w:p>
    <w:p>
      <w:pPr>
        <w:spacing w:line="520" w:lineRule="exact"/>
        <w:ind w:firstLine="640" w:firstLineChars="200"/>
        <w:rPr>
          <w:rFonts w:hint="eastAsia"/>
          <w:szCs w:val="32"/>
        </w:rPr>
      </w:pPr>
      <w:r>
        <w:rPr>
          <w:rFonts w:hint="eastAsia" w:ascii="仿宋_GB2312" w:hAnsi="仿宋_GB2312" w:cs="仿宋_GB2312"/>
          <w:szCs w:val="32"/>
          <w:lang w:eastAsia="zh-CN"/>
        </w:rPr>
        <w:t>本部门无</w:t>
      </w:r>
      <w:r>
        <w:rPr>
          <w:rFonts w:hint="eastAsia" w:ascii="仿宋_GB2312" w:hAnsi="仿宋_GB2312" w:eastAsia="仿宋_GB2312" w:cs="仿宋_GB2312"/>
          <w:szCs w:val="32"/>
        </w:rPr>
        <w:t>国防（类）支出</w:t>
      </w:r>
      <w:r>
        <w:rPr>
          <w:rFonts w:hint="eastAsia" w:ascii="仿宋_GB2312" w:hAnsi="仿宋_GB2312" w:cs="仿宋_GB2312"/>
          <w:szCs w:val="32"/>
          <w:lang w:eastAsia="zh-CN"/>
        </w:rPr>
        <w:t>、</w:t>
      </w:r>
      <w:r>
        <w:rPr>
          <w:rFonts w:hint="eastAsia" w:ascii="仿宋_GB2312" w:hAnsi="仿宋_GB2312" w:eastAsia="仿宋_GB2312" w:cs="仿宋_GB2312"/>
          <w:szCs w:val="32"/>
        </w:rPr>
        <w:t>教育（类）支出</w:t>
      </w:r>
      <w:r>
        <w:rPr>
          <w:rFonts w:hint="eastAsia" w:ascii="仿宋_GB2312" w:hAnsi="仿宋_GB2312" w:cs="仿宋_GB2312"/>
          <w:szCs w:val="32"/>
          <w:lang w:eastAsia="zh-CN"/>
        </w:rPr>
        <w:t>、</w:t>
      </w:r>
      <w:r>
        <w:rPr>
          <w:rFonts w:hint="eastAsia" w:ascii="仿宋_GB2312" w:hAnsi="仿宋_GB2312" w:eastAsia="仿宋_GB2312" w:cs="仿宋_GB2312"/>
          <w:szCs w:val="32"/>
        </w:rPr>
        <w:t>科学技术（类）支出</w:t>
      </w:r>
      <w:r>
        <w:rPr>
          <w:rFonts w:hint="eastAsia" w:ascii="仿宋_GB2312" w:hAnsi="仿宋_GB2312" w:cs="仿宋_GB2312"/>
          <w:szCs w:val="32"/>
          <w:lang w:eastAsia="zh-CN"/>
        </w:rPr>
        <w:t>、</w:t>
      </w: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eastAsia="zh-CN"/>
        </w:rPr>
        <w:t>、</w:t>
      </w:r>
      <w:r>
        <w:rPr>
          <w:rFonts w:hint="eastAsia" w:ascii="仿宋_GB2312" w:hAnsi="仿宋_GB2312" w:eastAsia="仿宋_GB2312" w:cs="仿宋_GB2312"/>
          <w:szCs w:val="32"/>
        </w:rPr>
        <w:t>农林水支出（类）支出。</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262.03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233.11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、机关事业单位职业年金缴费支出</w:t>
      </w:r>
      <w:r>
        <w:rPr>
          <w:rFonts w:hint="eastAsia" w:ascii="仿宋_GB2312" w:hAnsi="仿宋_GB2312" w:cs="仿宋_GB2312"/>
          <w:szCs w:val="32"/>
          <w:lang w:eastAsia="zh-CN"/>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28.92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工会经费、其他交通补助</w:t>
      </w:r>
      <w:r>
        <w:rPr>
          <w:rFonts w:hint="eastAsia" w:ascii="仿宋_GB2312" w:hAnsi="仿宋_GB2312" w:cs="仿宋_GB2312"/>
          <w:kern w:val="0"/>
          <w:szCs w:val="32"/>
          <w:lang w:eastAsia="zh-CN"/>
        </w:rPr>
        <w:t>、办公设备购置</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无预算</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0.2</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接待人次减少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无预算</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无预算</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cs="仿宋_GB2312"/>
          <w:szCs w:val="32"/>
          <w:highlight w:val="none"/>
          <w:lang w:eastAsia="zh-CN"/>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cs="仿宋_GB2312"/>
          <w:szCs w:val="32"/>
          <w:highlight w:val="none"/>
          <w:lang w:eastAsia="zh-CN"/>
        </w:rPr>
        <w:t>年本部门无政府性基金预算拨款。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年本部门无国有资本经营预算拨款。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22.2</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7.8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54.17</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工作量增加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cs="仿宋_GB2312"/>
          <w:szCs w:val="32"/>
          <w:lang w:eastAsia="zh-CN"/>
        </w:rPr>
        <w:t>年</w:t>
      </w:r>
      <w:r>
        <w:rPr>
          <w:rFonts w:hint="eastAsia" w:ascii="仿宋_GB2312" w:hAnsi="仿宋_GB2312" w:cs="仿宋_GB2312"/>
          <w:highlight w:val="none"/>
          <w:lang w:eastAsia="zh-CN"/>
        </w:rPr>
        <w:t>本</w:t>
      </w:r>
      <w:r>
        <w:rPr>
          <w:rFonts w:hint="eastAsia" w:ascii="仿宋_GB2312" w:hAnsi="仿宋_GB2312" w:eastAsia="仿宋_GB2312" w:cs="仿宋_GB2312"/>
          <w:highlight w:val="none"/>
        </w:rPr>
        <w:t>部门</w:t>
      </w:r>
      <w:r>
        <w:rPr>
          <w:rFonts w:hint="eastAsia" w:ascii="仿宋_GB2312" w:hAnsi="仿宋_GB2312" w:cs="仿宋_GB2312"/>
          <w:highlight w:val="none"/>
          <w:lang w:eastAsia="zh-CN"/>
        </w:rPr>
        <w:t>无</w:t>
      </w:r>
      <w:r>
        <w:rPr>
          <w:rFonts w:hint="eastAsia" w:ascii="仿宋_GB2312" w:hAnsi="仿宋_GB2312" w:cs="仿宋_GB2312"/>
          <w:szCs w:val="32"/>
          <w:lang w:eastAsia="zh-CN"/>
        </w:rPr>
        <w:t>政府采购预算。</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w:t>
      </w:r>
      <w:r>
        <w:rPr>
          <w:rFonts w:hint="eastAsia" w:ascii="仿宋_GB2312" w:hAnsi="仿宋_GB2312" w:cs="仿宋_GB2312"/>
          <w:szCs w:val="32"/>
          <w:u w:val="none"/>
          <w:lang w:val="en-US" w:eastAsia="zh-CN"/>
        </w:rPr>
        <w:t>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w:t>
      </w:r>
      <w:r>
        <w:rPr>
          <w:rFonts w:hint="eastAsia" w:ascii="仿宋_GB2312" w:hAnsi="仿宋_GB2312" w:cs="仿宋_GB2312"/>
          <w:szCs w:val="32"/>
          <w:lang w:eastAsia="zh-CN"/>
        </w:rPr>
        <w:t>无</w:t>
      </w:r>
      <w:r>
        <w:rPr>
          <w:rFonts w:hint="eastAsia" w:ascii="仿宋_GB2312" w:hAnsi="仿宋_GB2312" w:eastAsia="仿宋_GB2312" w:cs="仿宋_GB2312"/>
          <w:szCs w:val="32"/>
        </w:rPr>
        <w:t>安排购置车辆</w:t>
      </w:r>
      <w:r>
        <w:rPr>
          <w:rFonts w:hint="eastAsia" w:ascii="仿宋_GB2312" w:hAnsi="仿宋_GB2312" w:cs="仿宋_GB2312"/>
          <w:szCs w:val="32"/>
          <w:lang w:val="en-US" w:eastAsia="zh-CN"/>
        </w:rPr>
        <w:t>、</w:t>
      </w:r>
      <w:r>
        <w:rPr>
          <w:rFonts w:hint="eastAsia" w:ascii="仿宋_GB2312" w:hAnsi="仿宋_GB2312" w:eastAsia="仿宋_GB2312" w:cs="仿宋_GB2312"/>
          <w:szCs w:val="32"/>
        </w:rPr>
        <w:t>土地</w:t>
      </w:r>
      <w:r>
        <w:rPr>
          <w:rFonts w:hint="eastAsia" w:ascii="仿宋_GB2312" w:hAnsi="仿宋_GB2312" w:cs="仿宋_GB2312"/>
          <w:szCs w:val="32"/>
          <w:lang w:val="en-US" w:eastAsia="zh-CN"/>
        </w:rPr>
        <w:t>、</w:t>
      </w:r>
      <w:r>
        <w:rPr>
          <w:rFonts w:hint="eastAsia" w:ascii="仿宋_GB2312" w:hAnsi="仿宋_GB2312" w:eastAsia="仿宋_GB2312" w:cs="仿宋_GB2312"/>
          <w:szCs w:val="32"/>
        </w:rPr>
        <w:t>房屋</w:t>
      </w:r>
      <w:r>
        <w:rPr>
          <w:rFonts w:hint="eastAsia" w:ascii="仿宋_GB2312" w:hAnsi="仿宋_GB2312" w:cs="仿宋_GB2312"/>
          <w:szCs w:val="32"/>
          <w:lang w:val="en-US" w:eastAsia="zh-CN"/>
        </w:rPr>
        <w:t>、</w:t>
      </w:r>
      <w:r>
        <w:rPr>
          <w:rFonts w:hint="eastAsia" w:ascii="仿宋_GB2312" w:hAnsi="仿宋_GB2312" w:eastAsia="仿宋_GB2312" w:cs="仿宋_GB2312"/>
          <w:szCs w:val="32"/>
        </w:rPr>
        <w:t>单价50万元及以上的通用设备</w:t>
      </w:r>
      <w:r>
        <w:rPr>
          <w:rFonts w:hint="eastAsia" w:ascii="仿宋_GB2312" w:hAnsi="仿宋_GB2312" w:cs="仿宋_GB2312"/>
          <w:szCs w:val="32"/>
          <w:lang w:val="en-US" w:eastAsia="zh-CN"/>
        </w:rPr>
        <w:t>、</w:t>
      </w:r>
      <w:r>
        <w:rPr>
          <w:rFonts w:hint="eastAsia" w:ascii="仿宋_GB2312" w:hAnsi="仿宋_GB2312" w:eastAsia="仿宋_GB2312" w:cs="仿宋_GB2312"/>
          <w:szCs w:val="32"/>
        </w:rPr>
        <w:t>单价100万元及以上的专用设备</w:t>
      </w:r>
      <w:r>
        <w:rPr>
          <w:rFonts w:hint="eastAsia" w:ascii="仿宋_GB2312" w:hAnsi="仿宋_GB2312" w:cs="仿宋_GB2312"/>
          <w:szCs w:val="32"/>
          <w:lang w:eastAsia="zh-CN"/>
        </w:rPr>
        <w:t>。</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20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20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37700"/>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6B4881"/>
    <w:rsid w:val="019B69D8"/>
    <w:rsid w:val="020E6D2C"/>
    <w:rsid w:val="02181788"/>
    <w:rsid w:val="023D2CD1"/>
    <w:rsid w:val="031D7D4B"/>
    <w:rsid w:val="03543B51"/>
    <w:rsid w:val="03C10438"/>
    <w:rsid w:val="04022755"/>
    <w:rsid w:val="0486486A"/>
    <w:rsid w:val="04954460"/>
    <w:rsid w:val="04DA0480"/>
    <w:rsid w:val="04F026C1"/>
    <w:rsid w:val="050D06DA"/>
    <w:rsid w:val="050F3BA7"/>
    <w:rsid w:val="05513E94"/>
    <w:rsid w:val="056F5A6D"/>
    <w:rsid w:val="059B3770"/>
    <w:rsid w:val="063949A0"/>
    <w:rsid w:val="067960C1"/>
    <w:rsid w:val="06BD5BC7"/>
    <w:rsid w:val="078C584B"/>
    <w:rsid w:val="07D21289"/>
    <w:rsid w:val="07DB539F"/>
    <w:rsid w:val="07F544B0"/>
    <w:rsid w:val="084224BD"/>
    <w:rsid w:val="08FD448E"/>
    <w:rsid w:val="095F04E9"/>
    <w:rsid w:val="09A0082A"/>
    <w:rsid w:val="0A334D52"/>
    <w:rsid w:val="0A6F56AF"/>
    <w:rsid w:val="0ABA06FE"/>
    <w:rsid w:val="0B5F5ADA"/>
    <w:rsid w:val="0B710869"/>
    <w:rsid w:val="0BB45050"/>
    <w:rsid w:val="0C2A5C84"/>
    <w:rsid w:val="0C4B1B1C"/>
    <w:rsid w:val="0DA001B0"/>
    <w:rsid w:val="0DB6446C"/>
    <w:rsid w:val="0DEB170B"/>
    <w:rsid w:val="0E4C7841"/>
    <w:rsid w:val="0EB72079"/>
    <w:rsid w:val="0F3E0406"/>
    <w:rsid w:val="0F8B592F"/>
    <w:rsid w:val="0FD62F63"/>
    <w:rsid w:val="107728C7"/>
    <w:rsid w:val="10AE7F82"/>
    <w:rsid w:val="10C93B35"/>
    <w:rsid w:val="11177619"/>
    <w:rsid w:val="112605C8"/>
    <w:rsid w:val="11A76A24"/>
    <w:rsid w:val="12E711B7"/>
    <w:rsid w:val="136D62BD"/>
    <w:rsid w:val="137E697A"/>
    <w:rsid w:val="13A536BA"/>
    <w:rsid w:val="13F21722"/>
    <w:rsid w:val="1441443C"/>
    <w:rsid w:val="14C12787"/>
    <w:rsid w:val="15593E10"/>
    <w:rsid w:val="159F7E25"/>
    <w:rsid w:val="15F848D0"/>
    <w:rsid w:val="160E1FA5"/>
    <w:rsid w:val="160E4C2E"/>
    <w:rsid w:val="160F2600"/>
    <w:rsid w:val="164E2591"/>
    <w:rsid w:val="17476CB6"/>
    <w:rsid w:val="17595362"/>
    <w:rsid w:val="17765BCA"/>
    <w:rsid w:val="17A027D8"/>
    <w:rsid w:val="19AA37BB"/>
    <w:rsid w:val="1A817DF8"/>
    <w:rsid w:val="1ADC594E"/>
    <w:rsid w:val="1AEB5252"/>
    <w:rsid w:val="1C852172"/>
    <w:rsid w:val="1CA40C0C"/>
    <w:rsid w:val="1CFF4A32"/>
    <w:rsid w:val="1D075C9C"/>
    <w:rsid w:val="1D581690"/>
    <w:rsid w:val="1D8227DA"/>
    <w:rsid w:val="1D833200"/>
    <w:rsid w:val="1D935ED1"/>
    <w:rsid w:val="1E2D59A2"/>
    <w:rsid w:val="1E3A3FD0"/>
    <w:rsid w:val="1EB55C07"/>
    <w:rsid w:val="1F351A10"/>
    <w:rsid w:val="1F541E21"/>
    <w:rsid w:val="1F763C06"/>
    <w:rsid w:val="1FED47E9"/>
    <w:rsid w:val="206816AC"/>
    <w:rsid w:val="21371589"/>
    <w:rsid w:val="22387EA3"/>
    <w:rsid w:val="2291395C"/>
    <w:rsid w:val="22A4003E"/>
    <w:rsid w:val="231E7DB1"/>
    <w:rsid w:val="23984063"/>
    <w:rsid w:val="23CE11F0"/>
    <w:rsid w:val="23EC61F6"/>
    <w:rsid w:val="244C543C"/>
    <w:rsid w:val="24624768"/>
    <w:rsid w:val="25114AED"/>
    <w:rsid w:val="2539376C"/>
    <w:rsid w:val="254C6FAD"/>
    <w:rsid w:val="259B5BC5"/>
    <w:rsid w:val="25C7462E"/>
    <w:rsid w:val="25F62C4E"/>
    <w:rsid w:val="264C014C"/>
    <w:rsid w:val="265718D7"/>
    <w:rsid w:val="26643D6C"/>
    <w:rsid w:val="26FE109D"/>
    <w:rsid w:val="27073E1E"/>
    <w:rsid w:val="2771170A"/>
    <w:rsid w:val="27B04AB3"/>
    <w:rsid w:val="27D56F9A"/>
    <w:rsid w:val="28226DC9"/>
    <w:rsid w:val="288C1985"/>
    <w:rsid w:val="28A63332"/>
    <w:rsid w:val="2915243D"/>
    <w:rsid w:val="293D7C78"/>
    <w:rsid w:val="29C45F24"/>
    <w:rsid w:val="29FD4690"/>
    <w:rsid w:val="2B5C5C1B"/>
    <w:rsid w:val="2C13207F"/>
    <w:rsid w:val="2C2B4B3D"/>
    <w:rsid w:val="2C6661BB"/>
    <w:rsid w:val="2DF8796C"/>
    <w:rsid w:val="2EB22F18"/>
    <w:rsid w:val="2EE12108"/>
    <w:rsid w:val="2EED35E3"/>
    <w:rsid w:val="2F250383"/>
    <w:rsid w:val="2F63610B"/>
    <w:rsid w:val="300965A3"/>
    <w:rsid w:val="30730D6E"/>
    <w:rsid w:val="30B91A70"/>
    <w:rsid w:val="30BE28EB"/>
    <w:rsid w:val="31B41889"/>
    <w:rsid w:val="32CF2C5D"/>
    <w:rsid w:val="335402B5"/>
    <w:rsid w:val="339466B2"/>
    <w:rsid w:val="34555AF5"/>
    <w:rsid w:val="35616772"/>
    <w:rsid w:val="35AB7469"/>
    <w:rsid w:val="35EA1663"/>
    <w:rsid w:val="36152513"/>
    <w:rsid w:val="364C598E"/>
    <w:rsid w:val="36CC2B0F"/>
    <w:rsid w:val="371A614D"/>
    <w:rsid w:val="381B5766"/>
    <w:rsid w:val="3838492F"/>
    <w:rsid w:val="387258D7"/>
    <w:rsid w:val="3887374F"/>
    <w:rsid w:val="38AF6637"/>
    <w:rsid w:val="38B438F4"/>
    <w:rsid w:val="39041A07"/>
    <w:rsid w:val="39043B77"/>
    <w:rsid w:val="393F0DCD"/>
    <w:rsid w:val="39670895"/>
    <w:rsid w:val="3A0D02CB"/>
    <w:rsid w:val="3A3718EC"/>
    <w:rsid w:val="3A494BF1"/>
    <w:rsid w:val="3A657F9A"/>
    <w:rsid w:val="3A9113D4"/>
    <w:rsid w:val="3AC54F32"/>
    <w:rsid w:val="3B144A0A"/>
    <w:rsid w:val="3B1B2A0D"/>
    <w:rsid w:val="3B7C071F"/>
    <w:rsid w:val="3B8009A6"/>
    <w:rsid w:val="3BC92948"/>
    <w:rsid w:val="3BE370D4"/>
    <w:rsid w:val="3C29381E"/>
    <w:rsid w:val="3C581E71"/>
    <w:rsid w:val="3C711E1D"/>
    <w:rsid w:val="3C7F463D"/>
    <w:rsid w:val="3CAE3960"/>
    <w:rsid w:val="3CDD162C"/>
    <w:rsid w:val="3CE50361"/>
    <w:rsid w:val="3D2001C5"/>
    <w:rsid w:val="3D365BF6"/>
    <w:rsid w:val="3DF23324"/>
    <w:rsid w:val="3E4D0438"/>
    <w:rsid w:val="3E7C1DE0"/>
    <w:rsid w:val="3EA14040"/>
    <w:rsid w:val="3EB024D7"/>
    <w:rsid w:val="3EE8108D"/>
    <w:rsid w:val="405745EF"/>
    <w:rsid w:val="40B80EFF"/>
    <w:rsid w:val="414244D2"/>
    <w:rsid w:val="41A35364"/>
    <w:rsid w:val="41AD7B11"/>
    <w:rsid w:val="41B81A8B"/>
    <w:rsid w:val="41C31686"/>
    <w:rsid w:val="42982B4E"/>
    <w:rsid w:val="433B08BF"/>
    <w:rsid w:val="436B1E42"/>
    <w:rsid w:val="43993170"/>
    <w:rsid w:val="43C113D3"/>
    <w:rsid w:val="44054362"/>
    <w:rsid w:val="449C5E6A"/>
    <w:rsid w:val="44A56947"/>
    <w:rsid w:val="456D114B"/>
    <w:rsid w:val="45C77A32"/>
    <w:rsid w:val="45EB670F"/>
    <w:rsid w:val="46AB7C0D"/>
    <w:rsid w:val="46C25350"/>
    <w:rsid w:val="46D44808"/>
    <w:rsid w:val="46E42DB3"/>
    <w:rsid w:val="47CF49E6"/>
    <w:rsid w:val="47F6404B"/>
    <w:rsid w:val="4843587B"/>
    <w:rsid w:val="48674ED2"/>
    <w:rsid w:val="487708E6"/>
    <w:rsid w:val="4956371A"/>
    <w:rsid w:val="49645F71"/>
    <w:rsid w:val="499F5C68"/>
    <w:rsid w:val="4AF16062"/>
    <w:rsid w:val="4B16164B"/>
    <w:rsid w:val="4B646DDD"/>
    <w:rsid w:val="4B7F44F8"/>
    <w:rsid w:val="4BAC24C5"/>
    <w:rsid w:val="4BBA3C63"/>
    <w:rsid w:val="4BFA0656"/>
    <w:rsid w:val="4C5567C9"/>
    <w:rsid w:val="4D730507"/>
    <w:rsid w:val="4D741DD3"/>
    <w:rsid w:val="4DC311C4"/>
    <w:rsid w:val="4DC93207"/>
    <w:rsid w:val="4E2A22FD"/>
    <w:rsid w:val="4E8D5761"/>
    <w:rsid w:val="4ED56AF0"/>
    <w:rsid w:val="4EF54A85"/>
    <w:rsid w:val="4F2A4204"/>
    <w:rsid w:val="4F6F75D9"/>
    <w:rsid w:val="501B3C66"/>
    <w:rsid w:val="504B40C5"/>
    <w:rsid w:val="50987DC2"/>
    <w:rsid w:val="50A4703E"/>
    <w:rsid w:val="5136104F"/>
    <w:rsid w:val="51900C9F"/>
    <w:rsid w:val="519401A5"/>
    <w:rsid w:val="51E55C99"/>
    <w:rsid w:val="52071113"/>
    <w:rsid w:val="52447C09"/>
    <w:rsid w:val="525A440D"/>
    <w:rsid w:val="54741940"/>
    <w:rsid w:val="54810E66"/>
    <w:rsid w:val="54C2556E"/>
    <w:rsid w:val="55480EEF"/>
    <w:rsid w:val="55934CFB"/>
    <w:rsid w:val="56570E30"/>
    <w:rsid w:val="5657446F"/>
    <w:rsid w:val="57AE5C26"/>
    <w:rsid w:val="57DD75A9"/>
    <w:rsid w:val="58256ABD"/>
    <w:rsid w:val="59472AC7"/>
    <w:rsid w:val="598B3B5C"/>
    <w:rsid w:val="59BD150F"/>
    <w:rsid w:val="59DD570D"/>
    <w:rsid w:val="59FF5EDC"/>
    <w:rsid w:val="5A084708"/>
    <w:rsid w:val="5AB343F7"/>
    <w:rsid w:val="5ABF50F2"/>
    <w:rsid w:val="5AF76904"/>
    <w:rsid w:val="5B052E7A"/>
    <w:rsid w:val="5B3D7F7E"/>
    <w:rsid w:val="5B7C7777"/>
    <w:rsid w:val="5B9462A0"/>
    <w:rsid w:val="5BEC6771"/>
    <w:rsid w:val="5C0F0139"/>
    <w:rsid w:val="5CA506B9"/>
    <w:rsid w:val="5CFD5FB2"/>
    <w:rsid w:val="5D2B52D8"/>
    <w:rsid w:val="5D5A7C63"/>
    <w:rsid w:val="5E256F6F"/>
    <w:rsid w:val="5F6235A9"/>
    <w:rsid w:val="5FBE01C7"/>
    <w:rsid w:val="60BC693F"/>
    <w:rsid w:val="614125C2"/>
    <w:rsid w:val="617B4BC8"/>
    <w:rsid w:val="61DD771B"/>
    <w:rsid w:val="624C5C52"/>
    <w:rsid w:val="62B1335A"/>
    <w:rsid w:val="63952BB5"/>
    <w:rsid w:val="63DF08E4"/>
    <w:rsid w:val="64127E15"/>
    <w:rsid w:val="64A27F29"/>
    <w:rsid w:val="64C04AFD"/>
    <w:rsid w:val="65047474"/>
    <w:rsid w:val="65725FDB"/>
    <w:rsid w:val="65F71AB9"/>
    <w:rsid w:val="66175AB3"/>
    <w:rsid w:val="661A7B69"/>
    <w:rsid w:val="664909C1"/>
    <w:rsid w:val="669E47F4"/>
    <w:rsid w:val="66C63EB5"/>
    <w:rsid w:val="66FF40EB"/>
    <w:rsid w:val="677772D0"/>
    <w:rsid w:val="679461D3"/>
    <w:rsid w:val="6858287E"/>
    <w:rsid w:val="68D868C9"/>
    <w:rsid w:val="69157114"/>
    <w:rsid w:val="691A443E"/>
    <w:rsid w:val="6A80735F"/>
    <w:rsid w:val="6ACC5E47"/>
    <w:rsid w:val="6AD43ED1"/>
    <w:rsid w:val="6B08734A"/>
    <w:rsid w:val="6B11024D"/>
    <w:rsid w:val="6B7D5B36"/>
    <w:rsid w:val="6B921C39"/>
    <w:rsid w:val="6CA90351"/>
    <w:rsid w:val="6CF120A8"/>
    <w:rsid w:val="6E5033F4"/>
    <w:rsid w:val="6E9747DA"/>
    <w:rsid w:val="6FBC078B"/>
    <w:rsid w:val="6FC93D79"/>
    <w:rsid w:val="6FFF4010"/>
    <w:rsid w:val="714213DD"/>
    <w:rsid w:val="717F272E"/>
    <w:rsid w:val="728027C6"/>
    <w:rsid w:val="72D54D7C"/>
    <w:rsid w:val="737664E0"/>
    <w:rsid w:val="73FE7ACC"/>
    <w:rsid w:val="74053F35"/>
    <w:rsid w:val="744B43A8"/>
    <w:rsid w:val="74556746"/>
    <w:rsid w:val="74AB7A24"/>
    <w:rsid w:val="760B17EA"/>
    <w:rsid w:val="76BB79B1"/>
    <w:rsid w:val="76C17E06"/>
    <w:rsid w:val="76CA67BD"/>
    <w:rsid w:val="774E6400"/>
    <w:rsid w:val="775B0046"/>
    <w:rsid w:val="78796248"/>
    <w:rsid w:val="792F7D61"/>
    <w:rsid w:val="79700BEF"/>
    <w:rsid w:val="79F85634"/>
    <w:rsid w:val="7A090695"/>
    <w:rsid w:val="7A1B7539"/>
    <w:rsid w:val="7A733338"/>
    <w:rsid w:val="7AE175F4"/>
    <w:rsid w:val="7B417685"/>
    <w:rsid w:val="7B5220F0"/>
    <w:rsid w:val="7B7208A0"/>
    <w:rsid w:val="7BA169C0"/>
    <w:rsid w:val="7BE95D3C"/>
    <w:rsid w:val="7C4B7F1F"/>
    <w:rsid w:val="7CAD595B"/>
    <w:rsid w:val="7CEB2793"/>
    <w:rsid w:val="7CF65D07"/>
    <w:rsid w:val="7D2975D1"/>
    <w:rsid w:val="7DCC0CD6"/>
    <w:rsid w:val="7E0A6C7A"/>
    <w:rsid w:val="7F6720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6776</Words>
  <Characters>7767</Characters>
  <Lines>71</Lines>
  <Paragraphs>20</Paragraphs>
  <TotalTime>3</TotalTime>
  <ScaleCrop>false</ScaleCrop>
  <LinksUpToDate>false</LinksUpToDate>
  <CharactersWithSpaces>8322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2024-01-30T03:35:00Z</cp:lastPrinted>
  <dcterms:modified xsi:type="dcterms:W3CDTF">2024-02-19T06:47:44Z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