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中共通榆县委政法</w:t>
      </w:r>
      <w:bookmarkStart w:id="0" w:name="_GoBack"/>
      <w:bookmarkEnd w:id="0"/>
      <w:r>
        <w:rPr>
          <w:rFonts w:hint="eastAsia" w:eastAsia="方正小标宋简体"/>
          <w:sz w:val="44"/>
          <w:szCs w:val="44"/>
          <w:u w:val="single"/>
          <w:lang w:val="en-US" w:eastAsia="zh-CN"/>
        </w:rPr>
        <w:t>委员会（汇总）</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8"/>
        <w:spacing w:beforeAutospacing="0" w:afterAutospacing="0" w:line="600" w:lineRule="exact"/>
        <w:ind w:firstLine="640" w:firstLineChars="200"/>
        <w:jc w:val="both"/>
        <w:rPr>
          <w:rFonts w:ascii="仿宋" w:hAnsi="仿宋" w:eastAsia="仿宋"/>
          <w:color w:val="030303"/>
          <w:sz w:val="32"/>
          <w:szCs w:val="32"/>
        </w:rPr>
      </w:pPr>
      <w:r>
        <w:rPr>
          <w:rFonts w:hint="eastAsia" w:ascii="仿宋" w:hAnsi="仿宋" w:eastAsia="仿宋"/>
          <w:color w:val="030303"/>
          <w:sz w:val="32"/>
          <w:szCs w:val="32"/>
        </w:rPr>
        <w:t>（一）贯彻习近平新时代中国特色社会主义思想，坚决执行党的路线方针政策和党中央重大决策部署，坚持党对政法工作的绝对领导，统一全县政法各部门思想和行动，坚决维护党中央权威和集中统一领导。</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（二）贯彻党中央以及上级党组织决定，对政法工作提出全局性部署，推进平安通榆、法治通榆建设，加强过硬队伍建设，坚决维护国家政治安全、确保社会大局稳定、促进社会公平正义、保障人民安居乐业。</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（三）加强对政法领域重大实践和理论问题调查研究，提出重大决策部署和改革措施的意见和建议，协助党委决策和统筹推进政法改革等各项工作。</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四）了解掌握和分析研判社会稳定形势、政法工作情况动态，创新完善多部门参与的平安建设工作协调机制，协调推动预防、化解影响稳定的社会矛盾和风险，协调应对和妥善处置重大突发事件，协调指导政法单位和相关部门做好反邪教、反暴恐工作。</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（五）加强对政法工作的督查，统筹协调社会治安综合治理、维护社会稳定、反邪教、反暴恐等有关国家法律法规和政策的实施工作。</w:t>
      </w:r>
    </w:p>
    <w:p>
      <w:pPr>
        <w:pStyle w:val="8"/>
        <w:spacing w:beforeAutospacing="0" w:afterAutospacing="0" w:line="600" w:lineRule="exact"/>
        <w:ind w:firstLine="692"/>
        <w:jc w:val="both"/>
        <w:rPr>
          <w:rFonts w:ascii="仿宋" w:hAnsi="仿宋" w:eastAsia="仿宋"/>
          <w:color w:val="030303"/>
          <w:sz w:val="32"/>
          <w:szCs w:val="32"/>
        </w:rPr>
      </w:pPr>
      <w:r>
        <w:rPr>
          <w:rFonts w:hint="eastAsia" w:ascii="仿宋" w:hAnsi="仿宋" w:eastAsia="仿宋"/>
          <w:color w:val="030303"/>
          <w:sz w:val="32"/>
          <w:szCs w:val="32"/>
        </w:rPr>
        <w:t>（六）支持和监督政法单位依法行使职权，指导和协调政法各部门密切配合，完善与纪检监察机关工作衔接和协作配合机制，研究和协调重大、疑难案件，推进严格执法、公正司法。</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七）指导和推动政法单位党的建设和政法队伍建设，协助党委及组织部门加强政法单位领导班子和干部队伍建设，协助党委和纪检监察机关做好监督检查、审查调查工作，派员列席同级政法单位党组（党委）民主生活会。</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（八）掌握分析政法舆情动态，指导和协调政法单位和有关部门做好宣传报道和舆论引导等相关工作。</w:t>
      </w:r>
    </w:p>
    <w:p>
      <w:pPr>
        <w:ind w:firstLine="640" w:firstLineChars="200"/>
      </w:pPr>
      <w:r>
        <w:rPr>
          <w:rFonts w:hint="eastAsia" w:ascii="仿宋" w:hAnsi="仿宋" w:eastAsia="仿宋"/>
          <w:color w:val="030303"/>
          <w:sz w:val="32"/>
          <w:szCs w:val="32"/>
        </w:rPr>
        <w:t>（九）完成党委和上级党委政法委员会交办的其他任务。</w:t>
      </w:r>
      <w:r>
        <w:rPr>
          <w:rFonts w:eastAsia="楷体_GB2312"/>
        </w:rPr>
        <w:t>二、机构设置</w:t>
      </w:r>
    </w:p>
    <w:p>
      <w:pPr>
        <w:widowControl/>
        <w:ind w:firstLine="640" w:firstLineChars="200"/>
        <w:jc w:val="left"/>
        <w:rPr>
          <w:rFonts w:ascii="仿宋" w:hAnsi="仿宋" w:eastAsia="仿宋"/>
          <w:color w:val="030303"/>
          <w:szCs w:val="32"/>
          <w:shd w:val="clear" w:color="auto" w:fill="FFFFFF"/>
        </w:rPr>
      </w:pPr>
      <w:r>
        <w:rPr>
          <w:rFonts w:ascii="仿宋" w:hAnsi="仿宋" w:eastAsia="仿宋"/>
          <w:szCs w:val="32"/>
        </w:rPr>
        <w:t>根据上述职责，中共通榆县委政法委员会内</w:t>
      </w:r>
      <w:r>
        <w:rPr>
          <w:rFonts w:hint="eastAsia" w:ascii="仿宋" w:hAnsi="仿宋" w:eastAsia="仿宋"/>
          <w:szCs w:val="32"/>
        </w:rPr>
        <w:t>5</w:t>
      </w:r>
      <w:r>
        <w:rPr>
          <w:rFonts w:ascii="仿宋" w:hAnsi="仿宋" w:eastAsia="仿宋"/>
          <w:szCs w:val="32"/>
        </w:rPr>
        <w:t>个机构，分别为</w:t>
      </w:r>
      <w:r>
        <w:rPr>
          <w:rFonts w:hint="eastAsia" w:ascii="仿宋" w:hAnsi="仿宋" w:eastAsia="仿宋"/>
          <w:color w:val="030303"/>
          <w:szCs w:val="32"/>
          <w:shd w:val="clear" w:color="auto" w:fill="FFFFFF"/>
        </w:rPr>
        <w:t>政治部、基层社会治理科、维稳指导科、人秘科、执法监督科等5个内设机构。</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rPr>
        <w:t>家预算单位，分别为</w:t>
      </w:r>
      <w:r>
        <w:rPr>
          <w:rFonts w:hint="eastAsia" w:ascii="仿宋_GB2312" w:hAnsi="仿宋_GB2312" w:eastAsia="仿宋_GB2312" w:cs="仿宋_GB2312"/>
          <w:lang w:val="en-US" w:eastAsia="zh-CN"/>
        </w:rPr>
        <w:t>中共通榆县委政法委员会本级和通榆县法学会</w:t>
      </w:r>
      <w:r>
        <w:rPr>
          <w:rFonts w:hint="eastAsia" w:ascii="仿宋_GB2312" w:hAnsi="仿宋_GB2312" w:eastAsia="仿宋_GB2312" w:cs="仿宋_GB2312"/>
        </w:rPr>
        <w:t>。</w:t>
      </w:r>
    </w:p>
    <w:p>
      <w:pPr>
        <w:pStyle w:val="51"/>
        <w:ind w:firstLine="640" w:firstLineChars="200"/>
        <w:rPr>
          <w:rFonts w:eastAsia="楷体"/>
        </w:rPr>
      </w:pPr>
    </w:p>
    <w:p>
      <w:pPr>
        <w:jc w:val="both"/>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330" w:tblpY="2132"/>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331.80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260.99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260.99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36.43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36.43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21.86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331.80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331.80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331.80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p>
      <w:pPr>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中共通榆县委政府委员会（汇总）</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331.80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331.80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331.80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331.80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331.80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331.80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一、一般公共服务支持</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222.19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259.99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222.19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183.01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二</w:t>
                  </w:r>
                  <w:r>
                    <w:rPr>
                      <w:rFonts w:eastAsia="宋体"/>
                      <w:color w:val="000000"/>
                      <w:kern w:val="0"/>
                      <w:sz w:val="20"/>
                    </w:rPr>
                    <w:t>、</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eastAsia="宋体"/>
                      <w:color w:val="000000"/>
                      <w:kern w:val="0"/>
                      <w:sz w:val="20"/>
                      <w:lang w:val="en-US" w:eastAsia="zh-CN"/>
                    </w:rPr>
                  </w:pPr>
                  <w:r>
                    <w:rPr>
                      <w:rFonts w:hint="eastAsia" w:eastAsia="宋体"/>
                      <w:color w:val="000000"/>
                      <w:kern w:val="0"/>
                      <w:sz w:val="20"/>
                      <w:lang w:val="en-US" w:eastAsia="zh-CN"/>
                    </w:rPr>
                    <w:t>7.05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wordWrap/>
                    <w:jc w:val="right"/>
                    <w:rPr>
                      <w:rFonts w:hint="default" w:eastAsia="宋体"/>
                      <w:color w:val="000000"/>
                      <w:kern w:val="0"/>
                      <w:sz w:val="20"/>
                      <w:lang w:val="en-US" w:eastAsia="zh-CN"/>
                    </w:rPr>
                  </w:pPr>
                  <w:r>
                    <w:rPr>
                      <w:rFonts w:hint="eastAsia" w:eastAsia="宋体"/>
                      <w:color w:val="000000"/>
                      <w:kern w:val="0"/>
                      <w:sz w:val="20"/>
                      <w:lang w:val="en-US" w:eastAsia="zh-CN"/>
                    </w:rPr>
                    <w:t xml:space="preserve">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78"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 xml:space="preserve">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00" w:firstLineChars="30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s="Times New Roman"/>
                      <w:color w:val="000000"/>
                      <w:kern w:val="0"/>
                      <w:sz w:val="20"/>
                      <w:lang w:val="en-US" w:eastAsia="zh-CN" w:bidi="ar-SA"/>
                    </w:rPr>
                    <w:t>21.86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293.00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1328" w:tblpY="1205"/>
        <w:tblOverlap w:val="never"/>
        <w:tblW w:w="9020" w:type="dxa"/>
        <w:tblInd w:w="0" w:type="dxa"/>
        <w:tblLayout w:type="fixed"/>
        <w:tblCellMar>
          <w:top w:w="0" w:type="dxa"/>
          <w:left w:w="108" w:type="dxa"/>
          <w:bottom w:w="0" w:type="dxa"/>
          <w:right w:w="108" w:type="dxa"/>
        </w:tblCellMar>
      </w:tblPr>
      <w:tblGrid>
        <w:gridCol w:w="1727"/>
        <w:gridCol w:w="879"/>
        <w:gridCol w:w="806"/>
        <w:gridCol w:w="450"/>
        <w:gridCol w:w="1571"/>
        <w:gridCol w:w="788"/>
        <w:gridCol w:w="876"/>
        <w:gridCol w:w="482"/>
        <w:gridCol w:w="734"/>
        <w:gridCol w:w="707"/>
      </w:tblGrid>
      <w:tr>
        <w:tblPrEx>
          <w:tblCellMar>
            <w:top w:w="0" w:type="dxa"/>
            <w:left w:w="108" w:type="dxa"/>
            <w:bottom w:w="0" w:type="dxa"/>
            <w:right w:w="108" w:type="dxa"/>
          </w:tblCellMar>
        </w:tblPrEx>
        <w:trPr>
          <w:trHeight w:val="678" w:hRule="atLeast"/>
        </w:trPr>
        <w:tc>
          <w:tcPr>
            <w:tcW w:w="902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96" w:hRule="atLeast"/>
        </w:trPr>
        <w:tc>
          <w:tcPr>
            <w:tcW w:w="902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43" w:hRule="atLeast"/>
        </w:trPr>
        <w:tc>
          <w:tcPr>
            <w:tcW w:w="3862"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158"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50" w:hRule="atLeast"/>
        </w:trPr>
        <w:tc>
          <w:tcPr>
            <w:tcW w:w="172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7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0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5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57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7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35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87" w:hRule="atLeast"/>
        </w:trPr>
        <w:tc>
          <w:tcPr>
            <w:tcW w:w="172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45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57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73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0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43"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331.80</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4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239"/>
                <w:tab w:val="right" w:pos="968"/>
              </w:tabs>
              <w:jc w:val="lef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260.99</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239"/>
                <w:tab w:val="right" w:pos="968"/>
              </w:tabs>
              <w:jc w:val="lef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260.99</w:t>
            </w: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5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307"/>
                <w:tab w:val="right" w:pos="1067"/>
              </w:tabs>
              <w:jc w:val="left"/>
              <w:rPr>
                <w:rFonts w:hint="default" w:eastAsia="宋体"/>
                <w:kern w:val="0"/>
                <w:sz w:val="20"/>
                <w:lang w:val="en-US" w:eastAsia="zh-CN"/>
              </w:rPr>
            </w:pPr>
            <w:r>
              <w:rPr>
                <w:rFonts w:hint="eastAsia" w:eastAsia="宋体"/>
                <w:kern w:val="0"/>
                <w:sz w:val="20"/>
                <w:lang w:val="en-US" w:eastAsia="zh-CN"/>
              </w:rPr>
              <w:t>331.80</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307"/>
                <w:tab w:val="right" w:pos="1067"/>
              </w:tabs>
              <w:jc w:val="lef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5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5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36.43</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36.43</w:t>
            </w: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12.52</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12.52</w:t>
            </w: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56"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56"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56"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56"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78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21.86</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21.86</w:t>
            </w: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4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56"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6"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8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56"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5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5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50"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7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48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502" w:hRule="atLeast"/>
        </w:trPr>
        <w:tc>
          <w:tcPr>
            <w:tcW w:w="172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80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331.80</w:t>
            </w:r>
          </w:p>
        </w:tc>
        <w:tc>
          <w:tcPr>
            <w:tcW w:w="45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57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7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331.80</w:t>
            </w:r>
          </w:p>
        </w:tc>
        <w:tc>
          <w:tcPr>
            <w:tcW w:w="48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73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0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7980"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231"/>
              <w:gridCol w:w="1037"/>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3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一、一般公共服务支持</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221.19</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191.47</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30.72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38.80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222.19</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191.47</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s="Times New Roman"/>
                      <w:color w:val="000000"/>
                      <w:kern w:val="0"/>
                      <w:sz w:val="20"/>
                      <w:lang w:val="en-US" w:eastAsia="zh-CN" w:bidi="ar-SA"/>
                    </w:rPr>
                  </w:pPr>
                  <w:r>
                    <w:rPr>
                      <w:rFonts w:hint="eastAsia" w:eastAsia="宋体" w:cs="Times New Roman"/>
                      <w:color w:val="000000"/>
                      <w:kern w:val="0"/>
                      <w:sz w:val="20"/>
                      <w:lang w:val="en-US" w:eastAsia="zh-CN" w:bidi="ar-SA"/>
                    </w:rPr>
                    <w:t>30.72</w:t>
                  </w:r>
                </w:p>
                <w:p>
                  <w:pPr>
                    <w:widowControl/>
                    <w:jc w:val="center"/>
                    <w:rPr>
                      <w:rFonts w:hint="default"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38.80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183.01</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156.13</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39.18</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35.34</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二</w:t>
                  </w:r>
                  <w:r>
                    <w:rPr>
                      <w:rFonts w:eastAsia="宋体"/>
                      <w:color w:val="000000"/>
                      <w:kern w:val="0"/>
                      <w:sz w:val="20"/>
                    </w:rPr>
                    <w:t>、</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2"/>
                    </w:tabs>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2"/>
                    </w:tabs>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36.43</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2"/>
                    </w:tabs>
                    <w:ind w:firstLine="400" w:firstLineChars="200"/>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36.43</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36.43</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36.43</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29.14</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29.14</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7.05</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7.05</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0.24</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0.24</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12.52</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12.52</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12.52</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12.52</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行政</w:t>
                  </w:r>
                  <w:r>
                    <w:rPr>
                      <w:rFonts w:hint="default" w:ascii="Arial" w:hAnsi="Arial" w:eastAsia="宋体" w:cs="Arial"/>
                      <w:i w:val="0"/>
                      <w:iCs w:val="0"/>
                      <w:color w:val="000000"/>
                      <w:kern w:val="0"/>
                      <w:sz w:val="20"/>
                      <w:szCs w:val="20"/>
                      <w:u w:val="none"/>
                      <w:lang w:val="en-US" w:eastAsia="zh-CN" w:bidi="ar"/>
                    </w:rPr>
                    <w:t>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10.06</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10.06</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800" w:firstLineChars="40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2.24</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2.24</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21.86</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293</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262.28</w:t>
                  </w:r>
                </w:p>
              </w:tc>
              <w:tc>
                <w:tcPr>
                  <w:tcW w:w="103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38.80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260.13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260.13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86.81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86.81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60.20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60.20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奖金</w:t>
            </w:r>
          </w:p>
          <w:p>
            <w:pPr>
              <w:autoSpaceDN w:val="0"/>
              <w:ind w:firstLine="400" w:firstLineChars="200"/>
              <w:jc w:val="left"/>
              <w:textAlignment w:val="center"/>
              <w:rPr>
                <w:rFonts w:hint="eastAsia" w:ascii="宋体" w:hAnsi="宋体" w:eastAsia="宋体" w:cs="宋体"/>
                <w:color w:val="000000"/>
                <w:sz w:val="20"/>
                <w:szCs w:val="20"/>
                <w:lang w:val="en-US" w:eastAsia="zh-CN"/>
              </w:rPr>
            </w:pP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30.04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30.04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bidi w:val="0"/>
              <w:ind w:firstLine="400" w:firstLineChars="200"/>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10.16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bidi w:val="0"/>
              <w:ind w:firstLine="400" w:firstLineChars="200"/>
              <w:jc w:val="center"/>
              <w:rPr>
                <w:rFonts w:hint="default"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10.16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bidi w:val="0"/>
              <w:ind w:firstLine="400" w:firstLineChars="200"/>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29.14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bidi w:val="0"/>
              <w:ind w:firstLine="400" w:firstLineChars="200"/>
              <w:jc w:val="center"/>
              <w:rPr>
                <w:rFonts w:hint="default"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29.14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7.05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7.05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12.30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12.30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0.46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21.86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30.72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30.72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10.29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10.29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400" w:firstLineChars="20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1.90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1.90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400" w:firstLineChars="20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1.35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1.35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2.30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val="en-US"/>
              </w:rPr>
            </w:pPr>
            <w:r>
              <w:rPr>
                <w:rFonts w:hint="eastAsia" w:ascii="宋体" w:hAnsi="宋体" w:eastAsia="宋体" w:cs="宋体"/>
                <w:i w:val="0"/>
                <w:iCs w:val="0"/>
                <w:color w:val="000000"/>
                <w:kern w:val="0"/>
                <w:sz w:val="20"/>
                <w:szCs w:val="20"/>
                <w:u w:val="none"/>
                <w:lang w:val="en-US" w:eastAsia="zh-CN" w:bidi="ar"/>
              </w:rPr>
              <w:t>　 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tabs>
                <w:tab w:val="left" w:pos="792"/>
              </w:tabs>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其他交通费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10.28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0.50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21</w:t>
            </w:r>
            <w:r>
              <w:rPr>
                <w:color w:val="000000"/>
                <w:kern w:val="0"/>
                <w:sz w:val="28"/>
                <w:szCs w:val="28"/>
              </w:rPr>
              <w:t>人，其中：在职人员</w:t>
            </w:r>
            <w:r>
              <w:rPr>
                <w:rFonts w:hint="eastAsia" w:eastAsia="宋体"/>
                <w:color w:val="000000"/>
                <w:kern w:val="0"/>
                <w:sz w:val="28"/>
                <w:szCs w:val="28"/>
                <w:u w:val="single"/>
                <w:lang w:val="en-US" w:eastAsia="zh-CN"/>
              </w:rPr>
              <w:t>18</w:t>
            </w:r>
            <w:r>
              <w:rPr>
                <w:color w:val="000000"/>
                <w:kern w:val="0"/>
                <w:sz w:val="28"/>
                <w:szCs w:val="28"/>
              </w:rPr>
              <w:t>人，退休人员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6"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lang w:val="en-US" w:eastAsia="zh-CN"/>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71"/>
        <w:gridCol w:w="1442"/>
        <w:gridCol w:w="877"/>
        <w:gridCol w:w="762"/>
        <w:gridCol w:w="854"/>
        <w:gridCol w:w="269"/>
        <w:gridCol w:w="416"/>
        <w:gridCol w:w="416"/>
        <w:gridCol w:w="416"/>
        <w:gridCol w:w="416"/>
        <w:gridCol w:w="416"/>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947"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7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7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4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7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6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39"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080"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87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813"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77"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62"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39"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24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16"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1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jc w:val="center"/>
        </w:trPr>
        <w:tc>
          <w:tcPr>
            <w:tcW w:w="876" w:type="dxa"/>
            <w:vMerge w:val="continue"/>
            <w:noWrap w:val="0"/>
            <w:vAlign w:val="center"/>
          </w:tcPr>
          <w:p>
            <w:pPr>
              <w:autoSpaceDN w:val="0"/>
              <w:jc w:val="center"/>
              <w:textAlignment w:val="center"/>
              <w:rPr>
                <w:rFonts w:ascii="Calibri" w:hAnsi="Calibri" w:eastAsia="华文细黑"/>
                <w:color w:val="000000"/>
                <w:sz w:val="20"/>
                <w:szCs w:val="22"/>
              </w:rPr>
            </w:pPr>
          </w:p>
        </w:tc>
        <w:tc>
          <w:tcPr>
            <w:tcW w:w="1371"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44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77" w:type="dxa"/>
            <w:vMerge w:val="continue"/>
            <w:noWrap w:val="0"/>
            <w:vAlign w:val="center"/>
          </w:tcPr>
          <w:p>
            <w:pPr>
              <w:autoSpaceDN w:val="0"/>
              <w:jc w:val="center"/>
              <w:textAlignment w:val="center"/>
              <w:rPr>
                <w:rFonts w:ascii="Calibri" w:hAnsi="Calibri" w:eastAsia="华文细黑"/>
                <w:color w:val="000000"/>
                <w:sz w:val="20"/>
                <w:szCs w:val="22"/>
              </w:rPr>
            </w:pPr>
          </w:p>
        </w:tc>
        <w:tc>
          <w:tcPr>
            <w:tcW w:w="762" w:type="dxa"/>
            <w:vMerge w:val="continue"/>
            <w:noWrap w:val="0"/>
            <w:vAlign w:val="center"/>
          </w:tcPr>
          <w:p>
            <w:pPr>
              <w:autoSpaceDN w:val="0"/>
              <w:jc w:val="center"/>
              <w:textAlignment w:val="center"/>
              <w:rPr>
                <w:rFonts w:ascii="Calibri" w:hAnsi="Calibri" w:eastAsia="华文细黑"/>
                <w:color w:val="000000"/>
                <w:sz w:val="20"/>
                <w:szCs w:val="22"/>
              </w:rPr>
            </w:pPr>
          </w:p>
        </w:tc>
        <w:tc>
          <w:tcPr>
            <w:tcW w:w="8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26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16"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exact"/>
          <w:jc w:val="center"/>
        </w:trPr>
        <w:tc>
          <w:tcPr>
            <w:tcW w:w="876" w:type="dxa"/>
            <w:noWrap w:val="0"/>
            <w:vAlign w:val="center"/>
          </w:tcPr>
          <w:p>
            <w:pPr>
              <w:spacing w:line="240" w:lineRule="auto"/>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专项业务支出</w:t>
            </w:r>
          </w:p>
        </w:tc>
        <w:tc>
          <w:tcPr>
            <w:tcW w:w="1371"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政法委2024年驻村工作队生活补贴</w:t>
            </w:r>
          </w:p>
        </w:tc>
        <w:tc>
          <w:tcPr>
            <w:tcW w:w="1442"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政法委2024年驻村工作队生活补贴</w:t>
            </w:r>
          </w:p>
        </w:tc>
        <w:tc>
          <w:tcPr>
            <w:tcW w:w="877"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中共通榆县委政法委员会</w:t>
            </w:r>
          </w:p>
        </w:tc>
        <w:tc>
          <w:tcPr>
            <w:tcW w:w="762"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10.80</w:t>
            </w:r>
          </w:p>
        </w:tc>
        <w:tc>
          <w:tcPr>
            <w:tcW w:w="854"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10.80</w:t>
            </w:r>
          </w:p>
        </w:tc>
        <w:tc>
          <w:tcPr>
            <w:tcW w:w="269"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exact"/>
          <w:jc w:val="center"/>
        </w:trPr>
        <w:tc>
          <w:tcPr>
            <w:tcW w:w="876" w:type="dxa"/>
            <w:noWrap w:val="0"/>
            <w:vAlign w:val="center"/>
          </w:tcPr>
          <w:p>
            <w:pPr>
              <w:spacing w:line="240" w:lineRule="auto"/>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专项业务支出</w:t>
            </w:r>
          </w:p>
        </w:tc>
        <w:tc>
          <w:tcPr>
            <w:tcW w:w="1371" w:type="dxa"/>
            <w:noWrap w:val="0"/>
            <w:vAlign w:val="center"/>
          </w:tcPr>
          <w:p>
            <w:pPr>
              <w:tabs>
                <w:tab w:val="left" w:pos="224"/>
              </w:tabs>
              <w:spacing w:line="240" w:lineRule="auto"/>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政法委2024年反邪教工作经费</w:t>
            </w:r>
          </w:p>
        </w:tc>
        <w:tc>
          <w:tcPr>
            <w:tcW w:w="1442" w:type="dxa"/>
            <w:noWrap w:val="0"/>
            <w:vAlign w:val="center"/>
          </w:tcPr>
          <w:p>
            <w:pPr>
              <w:spacing w:line="240" w:lineRule="auto"/>
              <w:jc w:val="center"/>
              <w:rPr>
                <w:rFonts w:hint="default" w:ascii="宋体" w:hAnsi="宋体" w:eastAsia="宋体" w:cs="宋体"/>
                <w:kern w:val="0"/>
                <w:sz w:val="20"/>
                <w:szCs w:val="20"/>
                <w:lang w:val="en-US"/>
              </w:rPr>
            </w:pPr>
            <w:r>
              <w:rPr>
                <w:rFonts w:hint="eastAsia" w:ascii="宋体" w:hAnsi="宋体" w:eastAsia="宋体" w:cs="宋体"/>
                <w:kern w:val="0"/>
                <w:sz w:val="20"/>
                <w:szCs w:val="20"/>
                <w:lang w:val="en-US" w:eastAsia="zh-CN"/>
              </w:rPr>
              <w:t>政法委2024年反邪教工作经费</w:t>
            </w:r>
          </w:p>
        </w:tc>
        <w:tc>
          <w:tcPr>
            <w:tcW w:w="877"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中共通榆县委政法委员会</w:t>
            </w:r>
          </w:p>
        </w:tc>
        <w:tc>
          <w:tcPr>
            <w:tcW w:w="762"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8.00</w:t>
            </w:r>
          </w:p>
        </w:tc>
        <w:tc>
          <w:tcPr>
            <w:tcW w:w="854"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8.00</w:t>
            </w:r>
          </w:p>
        </w:tc>
        <w:tc>
          <w:tcPr>
            <w:tcW w:w="269"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2" w:hRule="exact"/>
          <w:jc w:val="center"/>
        </w:trPr>
        <w:tc>
          <w:tcPr>
            <w:tcW w:w="876" w:type="dxa"/>
            <w:noWrap w:val="0"/>
            <w:vAlign w:val="center"/>
          </w:tcPr>
          <w:p>
            <w:pPr>
              <w:autoSpaceDN w:val="0"/>
              <w:spacing w:line="240" w:lineRule="auto"/>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专项业务支出</w:t>
            </w:r>
          </w:p>
        </w:tc>
        <w:tc>
          <w:tcPr>
            <w:tcW w:w="1371" w:type="dxa"/>
            <w:noWrap w:val="0"/>
            <w:vAlign w:val="center"/>
          </w:tcPr>
          <w:p>
            <w:pPr>
              <w:autoSpaceDN w:val="0"/>
              <w:spacing w:line="240" w:lineRule="auto"/>
              <w:jc w:val="center"/>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扫黑除恶工作经费</w:t>
            </w:r>
          </w:p>
        </w:tc>
        <w:tc>
          <w:tcPr>
            <w:tcW w:w="1442" w:type="dxa"/>
            <w:noWrap w:val="0"/>
            <w:vAlign w:val="center"/>
          </w:tcPr>
          <w:p>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b w:val="0"/>
                <w:bCs w:val="0"/>
                <w:kern w:val="0"/>
                <w:sz w:val="20"/>
                <w:szCs w:val="20"/>
                <w:lang w:val="en-US" w:eastAsia="zh-CN"/>
              </w:rPr>
              <w:t>政法委2024年扫黑除恶工作</w:t>
            </w:r>
            <w:r>
              <w:rPr>
                <w:rFonts w:hint="eastAsia" w:ascii="宋体" w:hAnsi="宋体" w:eastAsia="宋体" w:cs="宋体"/>
                <w:kern w:val="0"/>
                <w:sz w:val="20"/>
                <w:szCs w:val="20"/>
                <w:lang w:val="en-US" w:eastAsia="zh-CN"/>
              </w:rPr>
              <w:t>经费</w:t>
            </w:r>
          </w:p>
        </w:tc>
        <w:tc>
          <w:tcPr>
            <w:tcW w:w="877"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中共通榆县委政法委员会</w:t>
            </w:r>
          </w:p>
        </w:tc>
        <w:tc>
          <w:tcPr>
            <w:tcW w:w="762"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20.00</w:t>
            </w:r>
          </w:p>
        </w:tc>
        <w:tc>
          <w:tcPr>
            <w:tcW w:w="854"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20.00</w:t>
            </w:r>
          </w:p>
        </w:tc>
        <w:tc>
          <w:tcPr>
            <w:tcW w:w="269"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jc w:val="center"/>
        </w:trPr>
        <w:tc>
          <w:tcPr>
            <w:tcW w:w="876"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合计</w:t>
            </w:r>
          </w:p>
        </w:tc>
        <w:tc>
          <w:tcPr>
            <w:tcW w:w="1371" w:type="dxa"/>
            <w:noWrap w:val="0"/>
            <w:vAlign w:val="center"/>
          </w:tcPr>
          <w:p>
            <w:pPr>
              <w:autoSpaceDN w:val="0"/>
              <w:jc w:val="center"/>
              <w:textAlignment w:val="center"/>
              <w:rPr>
                <w:rFonts w:hint="eastAsia" w:ascii="宋体" w:hAnsi="宋体" w:eastAsia="宋体" w:cs="宋体"/>
                <w:color w:val="000000"/>
                <w:sz w:val="20"/>
                <w:szCs w:val="20"/>
              </w:rPr>
            </w:pPr>
          </w:p>
        </w:tc>
        <w:tc>
          <w:tcPr>
            <w:tcW w:w="1442" w:type="dxa"/>
            <w:noWrap w:val="0"/>
            <w:vAlign w:val="center"/>
          </w:tcPr>
          <w:p>
            <w:pPr>
              <w:spacing w:line="700" w:lineRule="exact"/>
              <w:jc w:val="center"/>
              <w:rPr>
                <w:rFonts w:hint="eastAsia" w:ascii="宋体" w:hAnsi="宋体" w:eastAsia="宋体" w:cs="宋体"/>
                <w:kern w:val="0"/>
                <w:sz w:val="20"/>
                <w:szCs w:val="20"/>
              </w:rPr>
            </w:pPr>
          </w:p>
        </w:tc>
        <w:tc>
          <w:tcPr>
            <w:tcW w:w="877" w:type="dxa"/>
            <w:noWrap w:val="0"/>
            <w:vAlign w:val="center"/>
          </w:tcPr>
          <w:p>
            <w:pPr>
              <w:spacing w:line="700" w:lineRule="exact"/>
              <w:jc w:val="center"/>
              <w:rPr>
                <w:rFonts w:hint="eastAsia" w:ascii="宋体" w:hAnsi="宋体" w:eastAsia="宋体" w:cs="宋体"/>
                <w:kern w:val="0"/>
                <w:sz w:val="20"/>
                <w:szCs w:val="20"/>
              </w:rPr>
            </w:pPr>
          </w:p>
        </w:tc>
        <w:tc>
          <w:tcPr>
            <w:tcW w:w="762" w:type="dxa"/>
            <w:noWrap w:val="0"/>
            <w:vAlign w:val="center"/>
          </w:tcPr>
          <w:p>
            <w:pPr>
              <w:spacing w:line="7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38.80</w:t>
            </w:r>
          </w:p>
        </w:tc>
        <w:tc>
          <w:tcPr>
            <w:tcW w:w="854" w:type="dxa"/>
            <w:noWrap w:val="0"/>
            <w:vAlign w:val="center"/>
          </w:tcPr>
          <w:p>
            <w:pPr>
              <w:spacing w:line="7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38.80</w:t>
            </w:r>
          </w:p>
        </w:tc>
        <w:tc>
          <w:tcPr>
            <w:tcW w:w="269"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892" w:tblpY="37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政法委2024年驻村工作对生活补贴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审核</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王新强1-12月发放驻村生活补贴3.60万元；</w:t>
            </w:r>
          </w:p>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王玉新1-12月发放驻村生活补贴3.60万元；</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董晓宝1-12月发放驻村生活补贴3.60万元；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=630天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工作任务完成率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生活补贴标准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驻村补贴发放及时率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3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人民群众生活水平率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bl>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777" w:tblpY="120"/>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政法委2024年反邪教工作经费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审核</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申请用于2024年度反邪教工作经费8.00万元。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宣传手册印刷数量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≥10000册</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宣传单印刷数量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≥50000张</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宣传展板绘制数量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≥50块</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笔记本印制数量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≥50000本</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反邪教工作宣传普及率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宣传手册单价</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tabs>
                <w:tab w:val="center" w:pos="1241"/>
                <w:tab w:val="right" w:pos="2362"/>
              </w:tabs>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ab/>
            </w:r>
            <w:r>
              <w:rPr>
                <w:rFonts w:hint="eastAsia" w:ascii="宋体" w:hAnsi="宋体" w:eastAsia="宋体" w:cs="宋体"/>
                <w:color w:val="000000"/>
                <w:sz w:val="20"/>
                <w:lang w:val="en-US" w:eastAsia="zh-CN"/>
              </w:rPr>
              <w:t>≤3.90元/册</w:t>
            </w:r>
            <w:r>
              <w:rPr>
                <w:rFonts w:hint="eastAsia" w:ascii="宋体" w:hAnsi="宋体" w:eastAsia="宋体" w:cs="宋体"/>
                <w:color w:val="000000"/>
                <w:sz w:val="20"/>
                <w:lang w:val="en-US" w:eastAsia="zh-CN"/>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宣传单单价</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800" w:firstLineChars="4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≤0.10元/张</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宣传展板单价</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≤350元/块</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笔记本单价</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≤3.70元/本</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反邪教工作经费拨付及时率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3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人民群众对反邪教政策知晓率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人民群众满意度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扫黑除恶工作经费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审核</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申请用于2024年度扫黑除恶工作经费20.00万元。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印制扫黑除恶宣传手册数量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≥4000册</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制作扫黑除恶宣传微视频数量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≥3篇</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开展扫黑除恶督导工作次数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≥25次</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开展扫黑除恶日常工作（水电办公用品等）支出次数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≥5次</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修缮办公用房面积</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≥400平</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制作扫黑除恶宣传展板数量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≥20块</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印制扫黑除恶宣传手册合格率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制作扫黑除恶宣传视频合格率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57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开展扫黑除恶督导工作完成率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开展扫黑除恶督日常工作完成率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修缮办公用房完成率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制作扫黑除恶宣传展板完成率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auto" w:sz="4" w:space="0"/>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印制扫黑除恶宣传手册费用</w:t>
            </w:r>
          </w:p>
        </w:tc>
        <w:tc>
          <w:tcPr>
            <w:tcW w:w="2392" w:type="dxa"/>
            <w:tcBorders>
              <w:top w:val="single" w:color="000000" w:sz="4" w:space="0"/>
              <w:left w:val="single" w:color="auto" w:sz="4" w:space="0"/>
              <w:bottom w:val="single" w:color="000000" w:sz="4" w:space="0"/>
              <w:right w:val="single" w:color="000000" w:sz="4" w:space="0"/>
            </w:tcBorders>
            <w:noWrap w:val="0"/>
            <w:vAlign w:val="center"/>
          </w:tcPr>
          <w:p>
            <w:pPr>
              <w:tabs>
                <w:tab w:val="center" w:pos="1241"/>
                <w:tab w:val="right" w:pos="2362"/>
              </w:tabs>
              <w:autoSpaceDN w:val="0"/>
              <w:ind w:firstLine="800" w:firstLineChars="40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≤13.50元/册</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auto" w:sz="4" w:space="0"/>
              <w:bottom w:val="single" w:color="000000"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制作扫黑除恶微视频费用</w:t>
            </w:r>
          </w:p>
        </w:tc>
        <w:tc>
          <w:tcPr>
            <w:tcW w:w="2392" w:type="dxa"/>
            <w:tcBorders>
              <w:top w:val="single" w:color="000000" w:sz="4" w:space="0"/>
              <w:left w:val="single" w:color="auto" w:sz="4" w:space="0"/>
              <w:bottom w:val="single" w:color="000000" w:sz="4" w:space="0"/>
              <w:right w:val="single" w:color="000000" w:sz="4" w:space="0"/>
            </w:tcBorders>
            <w:noWrap w:val="0"/>
            <w:vAlign w:val="center"/>
          </w:tcPr>
          <w:p>
            <w:pPr>
              <w:tabs>
                <w:tab w:val="center" w:pos="1241"/>
                <w:tab w:val="right" w:pos="2362"/>
              </w:tabs>
              <w:autoSpaceDN w:val="0"/>
              <w:ind w:firstLine="800" w:firstLineChars="40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≤3000元/篇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lang w:val="en-US" w:eastAsia="zh-CN"/>
              </w:rPr>
              <w:t>开展扫黑除恶督导工作费用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800" w:firstLineChars="400"/>
              <w:jc w:val="both"/>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≤500元/次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开展扫黑除恶日常工作（水电办公用品等）费用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修缮办公用房费用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≤50元/平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制作扫黑除恶宣传展板</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≤250元/块</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扫黑除恶工作经费及时发放</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3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群众对扫黑除恶工作知晓率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331.8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增加26.20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上涨5.57%</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人员工资增长导致人员经费增加及2024年增加项目支出预算。</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293.00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88.31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38.80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11.69</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260.99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36.43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12.52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21.86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331.80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293.00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88.31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38.80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11.69</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262.28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89.52</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30.72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10.48</w:t>
      </w:r>
      <w:r>
        <w:rPr>
          <w:rFonts w:hint="eastAsia" w:ascii="仿宋_GB2312" w:hAnsi="仿宋_GB2312" w:eastAsia="仿宋_GB2312" w:cs="仿宋_GB2312"/>
          <w:szCs w:val="32"/>
        </w:rPr>
        <w:t>%。</w:t>
      </w:r>
    </w:p>
    <w:p>
      <w:pPr>
        <w:spacing w:line="520" w:lineRule="exact"/>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260.99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78.66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行政运行支出和事业运行支出</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36.43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10.98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机关事业单位基本养老保险缴费支出、机关事业单位职业年金缴费支出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21.86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6.59</w:t>
      </w:r>
      <w:r>
        <w:rPr>
          <w:rFonts w:hint="eastAsia" w:ascii="仿宋_GB2312" w:hAnsi="仿宋_GB2312" w:eastAsia="仿宋_GB2312" w:cs="仿宋_GB2312"/>
          <w:szCs w:val="32"/>
        </w:rPr>
        <w:t>%，主要用于住房公积金</w:t>
      </w:r>
      <w:r>
        <w:rPr>
          <w:rFonts w:hint="eastAsia" w:ascii="仿宋_GB2312" w:hAnsi="仿宋_GB2312" w:cs="仿宋_GB2312"/>
          <w:szCs w:val="32"/>
          <w:lang w:val="en-US" w:eastAsia="zh-CN"/>
        </w:rPr>
        <w:t>支出</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卫生健康支出</w:t>
      </w:r>
      <w:r>
        <w:rPr>
          <w:rFonts w:hint="eastAsia" w:ascii="仿宋_GB2312" w:hAnsi="仿宋_GB2312" w:cs="仿宋_GB2312"/>
          <w:szCs w:val="32"/>
          <w:lang w:eastAsia="zh-CN"/>
        </w:rPr>
        <w:t>（</w:t>
      </w:r>
      <w:r>
        <w:rPr>
          <w:rFonts w:hint="eastAsia" w:ascii="仿宋_GB2312" w:hAnsi="仿宋_GB2312" w:cs="仿宋_GB2312"/>
          <w:szCs w:val="32"/>
          <w:lang w:val="en-US" w:eastAsia="zh-CN"/>
        </w:rPr>
        <w:t>类</w:t>
      </w:r>
      <w:r>
        <w:rPr>
          <w:rFonts w:hint="eastAsia" w:ascii="仿宋_GB2312" w:hAnsi="仿宋_GB2312" w:cs="仿宋_GB2312"/>
          <w:szCs w:val="32"/>
          <w:lang w:eastAsia="zh-CN"/>
        </w:rPr>
        <w:t>）</w:t>
      </w:r>
      <w:r>
        <w:rPr>
          <w:rFonts w:hint="eastAsia" w:ascii="仿宋_GB2312" w:hAnsi="仿宋_GB2312" w:cs="仿宋_GB2312"/>
          <w:szCs w:val="32"/>
          <w:lang w:val="en-US" w:eastAsia="zh-CN"/>
        </w:rPr>
        <w:t>支出12.52万元，占3.77%，主要用于行政单位医疗支出事业单位医疗支出。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293.00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262.28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　机关事业单位基本养老保险缴费、机关事业单位职业年金缴费、职工基本医疗保险缴费、其他</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住房公积金、</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30.72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咨询费、手续费、</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w:t>
      </w:r>
      <w:r>
        <w:rPr>
          <w:rFonts w:hint="eastAsia" w:ascii="仿宋_GB2312" w:hAnsi="仿宋_GB2312" w:cs="仿宋_GB2312"/>
          <w:kern w:val="0"/>
          <w:szCs w:val="32"/>
          <w:lang w:val="en-US" w:eastAsia="zh-CN"/>
        </w:rPr>
        <w:t>公务接待费、工会经费和其他交通费</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0.50</w:t>
      </w:r>
      <w:r>
        <w:rPr>
          <w:rFonts w:hint="eastAsia" w:ascii="仿宋_GB2312" w:hAnsi="仿宋_GB2312" w:eastAsia="仿宋_GB2312" w:cs="仿宋_GB2312"/>
          <w:szCs w:val="32"/>
          <w:lang w:eastAsia="zh-CN"/>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b/>
          <w:bCs/>
          <w:szCs w:val="32"/>
        </w:rPr>
        <w:t>万元，</w:t>
      </w:r>
      <w:r>
        <w:rPr>
          <w:rFonts w:hint="eastAsia" w:ascii="仿宋_GB2312" w:hAnsi="仿宋_GB2312" w:eastAsia="仿宋_GB2312" w:cs="仿宋_GB2312"/>
          <w:b/>
          <w:bCs/>
          <w:szCs w:val="32"/>
          <w:lang w:eastAsia="zh-CN"/>
        </w:rPr>
        <w:t>其中：当年预算</w:t>
      </w:r>
      <w:r>
        <w:rPr>
          <w:rFonts w:hint="eastAsia" w:ascii="仿宋_GB2312" w:hAnsi="仿宋_GB2312" w:cs="仿宋_GB2312"/>
          <w:b/>
          <w:bCs/>
          <w:szCs w:val="32"/>
          <w:lang w:val="en-US" w:eastAsia="zh-CN"/>
        </w:rPr>
        <w:t>0</w:t>
      </w:r>
      <w:r>
        <w:rPr>
          <w:rFonts w:hint="eastAsia" w:ascii="仿宋_GB2312" w:hAnsi="仿宋_GB2312" w:eastAsia="仿宋_GB2312" w:cs="仿宋_GB2312"/>
          <w:b/>
          <w:bCs/>
          <w:szCs w:val="32"/>
          <w:lang w:eastAsia="zh-CN"/>
        </w:rPr>
        <w:t>万元；上年结转</w:t>
      </w:r>
      <w:r>
        <w:rPr>
          <w:rFonts w:hint="eastAsia" w:ascii="仿宋_GB2312" w:hAnsi="仿宋_GB2312" w:cs="仿宋_GB2312"/>
          <w:b/>
          <w:bCs/>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万元，主要原因是___。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楷体"/>
          <w:szCs w:val="32"/>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26.88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8.88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49.33</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本年度增加了财政拨款预算收入</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tabs>
          <w:tab w:val="left" w:pos="634"/>
        </w:tabs>
        <w:spacing w:line="540" w:lineRule="exact"/>
        <w:rPr>
          <w:rFonts w:hint="eastAsia" w:ascii="仿宋_GB2312" w:hAnsi="仿宋_GB2312" w:cs="仿宋_GB2312"/>
          <w:szCs w:val="32"/>
          <w:lang w:val="en-US" w:eastAsia="zh-CN"/>
        </w:rPr>
      </w:pPr>
      <w:r>
        <w:rPr>
          <w:rFonts w:hint="eastAsia" w:ascii="仿宋_GB2312" w:hAnsi="仿宋_GB2312" w:cs="仿宋_GB2312"/>
          <w:szCs w:val="32"/>
          <w:lang w:val="en-US" w:eastAsia="zh-CN"/>
        </w:rPr>
        <w:t xml:space="preserve">  本部门无政府采购情况。</w:t>
      </w:r>
    </w:p>
    <w:p>
      <w:pPr>
        <w:spacing w:line="540" w:lineRule="exact"/>
        <w:rPr>
          <w:rFonts w:hint="eastAsia" w:ascii="仿宋_GB2312" w:hAnsi="仿宋_GB2312" w:cs="仿宋_GB2312"/>
          <w:szCs w:val="32"/>
          <w:lang w:val="en-US" w:eastAsia="zh-CN"/>
        </w:rPr>
      </w:pP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320" w:firstLineChars="100"/>
        <w:rPr>
          <w:rFonts w:hint="eastAsia" w:ascii="仿宋_GB2312" w:hAnsi="仿宋_GB2312" w:eastAsia="仿宋_GB2312" w:cs="仿宋_GB2312"/>
          <w:szCs w:val="32"/>
        </w:rPr>
      </w:pPr>
      <w:r>
        <w:rPr>
          <w:rFonts w:hint="eastAsia" w:ascii="仿宋_GB2312" w:hAnsi="仿宋_GB2312" w:cs="仿宋_GB2312"/>
          <w:szCs w:val="32"/>
          <w:lang w:val="en-US" w:eastAsia="zh-CN"/>
        </w:rPr>
        <w:t>本部门无国有资产占有使用情况</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38.80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38.80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38.80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23584C"/>
    <w:rsid w:val="01620FE6"/>
    <w:rsid w:val="019B69D8"/>
    <w:rsid w:val="020E6D2C"/>
    <w:rsid w:val="031D7D4B"/>
    <w:rsid w:val="04022755"/>
    <w:rsid w:val="0486486A"/>
    <w:rsid w:val="04954460"/>
    <w:rsid w:val="04CC742D"/>
    <w:rsid w:val="04F026C1"/>
    <w:rsid w:val="050D06DA"/>
    <w:rsid w:val="050F3BA7"/>
    <w:rsid w:val="05513E94"/>
    <w:rsid w:val="056F5A6D"/>
    <w:rsid w:val="059B3770"/>
    <w:rsid w:val="063949A0"/>
    <w:rsid w:val="06517244"/>
    <w:rsid w:val="067960C1"/>
    <w:rsid w:val="06BD5BC7"/>
    <w:rsid w:val="07D21289"/>
    <w:rsid w:val="07F544B0"/>
    <w:rsid w:val="09A0082A"/>
    <w:rsid w:val="0A334D52"/>
    <w:rsid w:val="0A8E536A"/>
    <w:rsid w:val="0ABA06FE"/>
    <w:rsid w:val="0B5F5ADA"/>
    <w:rsid w:val="0B710869"/>
    <w:rsid w:val="0C2A5C84"/>
    <w:rsid w:val="0C6B6C9F"/>
    <w:rsid w:val="0D8A05C0"/>
    <w:rsid w:val="0DA001B0"/>
    <w:rsid w:val="0DB6446C"/>
    <w:rsid w:val="0DEB170B"/>
    <w:rsid w:val="0E4C7841"/>
    <w:rsid w:val="0ED563A0"/>
    <w:rsid w:val="0EF23FA5"/>
    <w:rsid w:val="0F3E0406"/>
    <w:rsid w:val="0F8B592F"/>
    <w:rsid w:val="0FD62F63"/>
    <w:rsid w:val="107728C7"/>
    <w:rsid w:val="10AE7F82"/>
    <w:rsid w:val="10C93B35"/>
    <w:rsid w:val="10EB1E0F"/>
    <w:rsid w:val="11177619"/>
    <w:rsid w:val="112605C8"/>
    <w:rsid w:val="12E711B7"/>
    <w:rsid w:val="136D62BD"/>
    <w:rsid w:val="13F21722"/>
    <w:rsid w:val="1441443C"/>
    <w:rsid w:val="14C12787"/>
    <w:rsid w:val="15593E10"/>
    <w:rsid w:val="159F7E25"/>
    <w:rsid w:val="15C8574D"/>
    <w:rsid w:val="15F848D0"/>
    <w:rsid w:val="160E1FA5"/>
    <w:rsid w:val="160F2600"/>
    <w:rsid w:val="16400EB7"/>
    <w:rsid w:val="16E01FAC"/>
    <w:rsid w:val="17765BCA"/>
    <w:rsid w:val="17A027D8"/>
    <w:rsid w:val="191719ED"/>
    <w:rsid w:val="191E4439"/>
    <w:rsid w:val="1A1E6D50"/>
    <w:rsid w:val="1A623830"/>
    <w:rsid w:val="1A817DF8"/>
    <w:rsid w:val="1ADC594E"/>
    <w:rsid w:val="1AEB5252"/>
    <w:rsid w:val="1B7558EA"/>
    <w:rsid w:val="1C852172"/>
    <w:rsid w:val="1CA40C0C"/>
    <w:rsid w:val="1CFF4A32"/>
    <w:rsid w:val="1D833200"/>
    <w:rsid w:val="1E2D59A2"/>
    <w:rsid w:val="1E3A3FD0"/>
    <w:rsid w:val="1E652C73"/>
    <w:rsid w:val="1EB55C07"/>
    <w:rsid w:val="1EDA3596"/>
    <w:rsid w:val="1F351A10"/>
    <w:rsid w:val="1FED47E9"/>
    <w:rsid w:val="206816AC"/>
    <w:rsid w:val="21BD45F8"/>
    <w:rsid w:val="22A4003E"/>
    <w:rsid w:val="23984063"/>
    <w:rsid w:val="23CE11F0"/>
    <w:rsid w:val="23EC61F6"/>
    <w:rsid w:val="241237D2"/>
    <w:rsid w:val="244C543C"/>
    <w:rsid w:val="24624768"/>
    <w:rsid w:val="24755A22"/>
    <w:rsid w:val="2539376C"/>
    <w:rsid w:val="254C6FAD"/>
    <w:rsid w:val="259B5BC5"/>
    <w:rsid w:val="25C7462E"/>
    <w:rsid w:val="25F62C4E"/>
    <w:rsid w:val="26643D6C"/>
    <w:rsid w:val="26FE109D"/>
    <w:rsid w:val="27073E1E"/>
    <w:rsid w:val="27B04AB3"/>
    <w:rsid w:val="28041684"/>
    <w:rsid w:val="28A63332"/>
    <w:rsid w:val="296E3EDE"/>
    <w:rsid w:val="29C45F24"/>
    <w:rsid w:val="2A735861"/>
    <w:rsid w:val="2DF8796C"/>
    <w:rsid w:val="2E437539"/>
    <w:rsid w:val="2EB22F18"/>
    <w:rsid w:val="2EE12108"/>
    <w:rsid w:val="2EED35E3"/>
    <w:rsid w:val="2F250383"/>
    <w:rsid w:val="2F5068A3"/>
    <w:rsid w:val="2F63610B"/>
    <w:rsid w:val="300965A3"/>
    <w:rsid w:val="30730D6E"/>
    <w:rsid w:val="30B91A70"/>
    <w:rsid w:val="31B70185"/>
    <w:rsid w:val="32051904"/>
    <w:rsid w:val="32CF2C5D"/>
    <w:rsid w:val="335402B5"/>
    <w:rsid w:val="339466B2"/>
    <w:rsid w:val="34555AF5"/>
    <w:rsid w:val="345C25AA"/>
    <w:rsid w:val="35616772"/>
    <w:rsid w:val="35EA1663"/>
    <w:rsid w:val="35EF4E58"/>
    <w:rsid w:val="36357FA4"/>
    <w:rsid w:val="364C598E"/>
    <w:rsid w:val="36CC2B0F"/>
    <w:rsid w:val="371A614D"/>
    <w:rsid w:val="3838492F"/>
    <w:rsid w:val="387258D7"/>
    <w:rsid w:val="3887374F"/>
    <w:rsid w:val="38AF6637"/>
    <w:rsid w:val="39041A07"/>
    <w:rsid w:val="39043B77"/>
    <w:rsid w:val="393F0DCD"/>
    <w:rsid w:val="39670895"/>
    <w:rsid w:val="3A657F9A"/>
    <w:rsid w:val="3A9113D4"/>
    <w:rsid w:val="3A9852EE"/>
    <w:rsid w:val="3AC54F32"/>
    <w:rsid w:val="3B144A0A"/>
    <w:rsid w:val="3B1B2A0D"/>
    <w:rsid w:val="3B7C071F"/>
    <w:rsid w:val="3BC92948"/>
    <w:rsid w:val="3BE370D4"/>
    <w:rsid w:val="3C29381E"/>
    <w:rsid w:val="3C711E1D"/>
    <w:rsid w:val="3C7F463D"/>
    <w:rsid w:val="3CAE3960"/>
    <w:rsid w:val="3D365BF6"/>
    <w:rsid w:val="3DF23324"/>
    <w:rsid w:val="3E997EF1"/>
    <w:rsid w:val="3EA14040"/>
    <w:rsid w:val="3EE8108D"/>
    <w:rsid w:val="3FDF5616"/>
    <w:rsid w:val="405745EF"/>
    <w:rsid w:val="40765AEB"/>
    <w:rsid w:val="40B80EFF"/>
    <w:rsid w:val="41772796"/>
    <w:rsid w:val="41A35364"/>
    <w:rsid w:val="41C31686"/>
    <w:rsid w:val="427F6578"/>
    <w:rsid w:val="42982B4E"/>
    <w:rsid w:val="436B1E42"/>
    <w:rsid w:val="43993170"/>
    <w:rsid w:val="44054362"/>
    <w:rsid w:val="449C5E6A"/>
    <w:rsid w:val="456D114B"/>
    <w:rsid w:val="4580013E"/>
    <w:rsid w:val="45EB670F"/>
    <w:rsid w:val="46AB7C0D"/>
    <w:rsid w:val="46D44808"/>
    <w:rsid w:val="47CF49E6"/>
    <w:rsid w:val="4843587B"/>
    <w:rsid w:val="48674ED2"/>
    <w:rsid w:val="487708E6"/>
    <w:rsid w:val="496312E6"/>
    <w:rsid w:val="49645F71"/>
    <w:rsid w:val="499F5C68"/>
    <w:rsid w:val="4A3440FE"/>
    <w:rsid w:val="4AB556A7"/>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0E36FCD"/>
    <w:rsid w:val="5136104F"/>
    <w:rsid w:val="5178134E"/>
    <w:rsid w:val="519A3929"/>
    <w:rsid w:val="519D358B"/>
    <w:rsid w:val="51E55C99"/>
    <w:rsid w:val="52071113"/>
    <w:rsid w:val="52447C09"/>
    <w:rsid w:val="525A440D"/>
    <w:rsid w:val="54741940"/>
    <w:rsid w:val="54810E66"/>
    <w:rsid w:val="54C2556E"/>
    <w:rsid w:val="55480EEF"/>
    <w:rsid w:val="56570E30"/>
    <w:rsid w:val="57AE5C26"/>
    <w:rsid w:val="57DD75A9"/>
    <w:rsid w:val="58256ABD"/>
    <w:rsid w:val="5846096B"/>
    <w:rsid w:val="59472AC7"/>
    <w:rsid w:val="59BD150F"/>
    <w:rsid w:val="59DD570D"/>
    <w:rsid w:val="59FF5EDC"/>
    <w:rsid w:val="5A084708"/>
    <w:rsid w:val="5AA122AA"/>
    <w:rsid w:val="5AB343F7"/>
    <w:rsid w:val="5ABF50F2"/>
    <w:rsid w:val="5AF76904"/>
    <w:rsid w:val="5B052E7A"/>
    <w:rsid w:val="5B3D7F7E"/>
    <w:rsid w:val="5B7C7777"/>
    <w:rsid w:val="5B9462A0"/>
    <w:rsid w:val="5BEC6771"/>
    <w:rsid w:val="5CA506B9"/>
    <w:rsid w:val="5CFD5FB2"/>
    <w:rsid w:val="5D2B52D8"/>
    <w:rsid w:val="5D5A7C63"/>
    <w:rsid w:val="5E256F6F"/>
    <w:rsid w:val="5F6235A9"/>
    <w:rsid w:val="60383623"/>
    <w:rsid w:val="60C927EE"/>
    <w:rsid w:val="614125C2"/>
    <w:rsid w:val="616554D4"/>
    <w:rsid w:val="61940767"/>
    <w:rsid w:val="624C5C52"/>
    <w:rsid w:val="63952BB5"/>
    <w:rsid w:val="63DF08E4"/>
    <w:rsid w:val="64127E15"/>
    <w:rsid w:val="64C04AFD"/>
    <w:rsid w:val="65B17FF6"/>
    <w:rsid w:val="661A7B69"/>
    <w:rsid w:val="664909C1"/>
    <w:rsid w:val="66C63EB5"/>
    <w:rsid w:val="66CF6E3E"/>
    <w:rsid w:val="677772D0"/>
    <w:rsid w:val="679461D3"/>
    <w:rsid w:val="6858287E"/>
    <w:rsid w:val="68976054"/>
    <w:rsid w:val="69157114"/>
    <w:rsid w:val="691A443E"/>
    <w:rsid w:val="69934B18"/>
    <w:rsid w:val="6A80735F"/>
    <w:rsid w:val="6ACC5E47"/>
    <w:rsid w:val="6AD43ED1"/>
    <w:rsid w:val="6B11024D"/>
    <w:rsid w:val="6B7D5B36"/>
    <w:rsid w:val="6CF120A8"/>
    <w:rsid w:val="6E19609F"/>
    <w:rsid w:val="712516C0"/>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6B04BE"/>
    <w:rsid w:val="7BA169C0"/>
    <w:rsid w:val="7BE95D3C"/>
    <w:rsid w:val="7CAD595B"/>
    <w:rsid w:val="7CF65D07"/>
    <w:rsid w:val="7D2975D1"/>
    <w:rsid w:val="7DCC0CD6"/>
    <w:rsid w:val="7EF76E2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33</Pages>
  <Words>8208</Words>
  <Characters>9572</Characters>
  <Lines>71</Lines>
  <Paragraphs>20</Paragraphs>
  <TotalTime>1</TotalTime>
  <ScaleCrop>false</ScaleCrop>
  <LinksUpToDate>false</LinksUpToDate>
  <CharactersWithSpaces>10207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lenovo</cp:lastModifiedBy>
  <cp:lastPrinted>2022-02-21T08:08:00Z</cp:lastPrinted>
  <dcterms:modified xsi:type="dcterms:W3CDTF">2024-03-07T09:03:30Z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commondata">
    <vt:lpwstr>eyJoZGlkIjoiZWM5MjE1YWFmYzZkMzU5ZGRkN2NlNjYxOGIzMjAyOWQifQ==</vt:lpwstr>
  </property>
  <property fmtid="{D5CDD505-2E9C-101B-9397-08002B2CF9AE}" pid="4" name="ICV">
    <vt:lpwstr>D2F2DDFE820C45219E0EEDE46001CEF7_13</vt:lpwstr>
  </property>
</Properties>
</file>