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中共通榆县委党校</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numPr>
          <w:ilvl w:val="0"/>
          <w:numId w:val="1"/>
        </w:numPr>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对党员和干部进行培养和教育。</w:t>
      </w:r>
    </w:p>
    <w:p>
      <w:pPr>
        <w:numPr>
          <w:ilvl w:val="0"/>
          <w:numId w:val="1"/>
        </w:numPr>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制定全县党员干部培养和教育大纲并组织实施深入基层调查研究，撰写符合本县实际的教育素材。</w:t>
      </w:r>
    </w:p>
    <w:p>
      <w:pPr>
        <w:numPr>
          <w:ilvl w:val="0"/>
          <w:numId w:val="1"/>
        </w:numPr>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配合有关部门负责组织党员干部培训，提高社会主义市场经济理论水平。</w:t>
      </w:r>
    </w:p>
    <w:p>
      <w:pPr>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rPr>
        <w:t>二、机构设置</w:t>
      </w:r>
    </w:p>
    <w:p>
      <w:pPr>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rPr>
        <w:t>根据上述职责，中共通榆县委党校内设四个科室，分别为：教务科、行政科、第一教研室、第二教研室。</w:t>
      </w:r>
    </w:p>
    <w:p>
      <w:pPr>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rPr>
        <w:t>2、人员编制情况</w:t>
      </w:r>
    </w:p>
    <w:p>
      <w:pPr>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rPr>
        <w:t xml:space="preserve">  本部门编制2</w:t>
      </w:r>
      <w:r>
        <w:rPr>
          <w:rFonts w:hint="eastAsia" w:ascii="楷体" w:hAnsi="楷体" w:eastAsia="楷体" w:cs="楷体"/>
          <w:b w:val="0"/>
          <w:bCs/>
          <w:sz w:val="32"/>
          <w:szCs w:val="32"/>
          <w:lang w:val="en-US" w:eastAsia="zh-CN"/>
        </w:rPr>
        <w:t>7</w:t>
      </w:r>
      <w:r>
        <w:rPr>
          <w:rFonts w:hint="eastAsia" w:ascii="楷体" w:hAnsi="楷体" w:eastAsia="楷体" w:cs="楷体"/>
          <w:b w:val="0"/>
          <w:bCs/>
          <w:sz w:val="32"/>
          <w:szCs w:val="32"/>
        </w:rPr>
        <w:t>人。</w:t>
      </w:r>
    </w:p>
    <w:p>
      <w:pPr>
        <w:numPr>
          <w:ilvl w:val="0"/>
          <w:numId w:val="2"/>
        </w:numPr>
        <w:rPr>
          <w:rFonts w:hint="eastAsia" w:ascii="楷体" w:hAnsi="楷体" w:eastAsia="楷体" w:cs="楷体"/>
          <w:b w:val="0"/>
          <w:bCs/>
          <w:sz w:val="32"/>
          <w:szCs w:val="32"/>
        </w:rPr>
      </w:pPr>
      <w:r>
        <w:rPr>
          <w:rFonts w:hint="eastAsia" w:ascii="楷体" w:hAnsi="楷体" w:eastAsia="楷体" w:cs="楷体"/>
          <w:b w:val="0"/>
          <w:bCs/>
          <w:sz w:val="32"/>
          <w:szCs w:val="32"/>
        </w:rPr>
        <w:t>实有人员情况</w:t>
      </w:r>
    </w:p>
    <w:p>
      <w:pPr>
        <w:ind w:left="640"/>
        <w:rPr>
          <w:rFonts w:hint="eastAsia" w:ascii="楷体" w:hAnsi="楷体" w:eastAsia="楷体" w:cs="楷体"/>
          <w:b w:val="0"/>
          <w:bCs/>
          <w:sz w:val="32"/>
          <w:szCs w:val="32"/>
        </w:rPr>
      </w:pPr>
      <w:r>
        <w:rPr>
          <w:rFonts w:hint="eastAsia" w:ascii="楷体" w:hAnsi="楷体" w:eastAsia="楷体" w:cs="楷体"/>
          <w:b w:val="0"/>
          <w:bCs/>
          <w:sz w:val="32"/>
          <w:szCs w:val="32"/>
        </w:rPr>
        <w:t xml:space="preserve">   事业在职</w:t>
      </w:r>
      <w:r>
        <w:rPr>
          <w:rFonts w:hint="eastAsia" w:ascii="楷体" w:hAnsi="楷体" w:eastAsia="楷体" w:cs="楷体"/>
          <w:b w:val="0"/>
          <w:bCs/>
          <w:sz w:val="32"/>
          <w:szCs w:val="32"/>
          <w:lang w:val="en-US" w:eastAsia="zh-CN"/>
        </w:rPr>
        <w:t>25</w:t>
      </w:r>
      <w:r>
        <w:rPr>
          <w:rFonts w:hint="eastAsia" w:ascii="楷体" w:hAnsi="楷体" w:eastAsia="楷体" w:cs="楷体"/>
          <w:b w:val="0"/>
          <w:bCs/>
          <w:sz w:val="32"/>
          <w:szCs w:val="32"/>
        </w:rPr>
        <w:t>人；退休2</w:t>
      </w:r>
      <w:r>
        <w:rPr>
          <w:rFonts w:hint="eastAsia" w:ascii="楷体" w:hAnsi="楷体" w:eastAsia="楷体" w:cs="楷体"/>
          <w:b w:val="0"/>
          <w:bCs/>
          <w:sz w:val="32"/>
          <w:szCs w:val="32"/>
          <w:lang w:val="en-US" w:eastAsia="zh-CN"/>
        </w:rPr>
        <w:t>8</w:t>
      </w:r>
      <w:r>
        <w:rPr>
          <w:rFonts w:hint="eastAsia" w:ascii="楷体" w:hAnsi="楷体" w:eastAsia="楷体" w:cs="楷体"/>
          <w:b w:val="0"/>
          <w:bCs/>
          <w:sz w:val="32"/>
          <w:szCs w:val="32"/>
        </w:rPr>
        <w:t>人</w:t>
      </w:r>
    </w:p>
    <w:p>
      <w:pPr>
        <w:pStyle w:val="55"/>
        <w:ind w:firstLine="640" w:firstLineChars="200"/>
        <w:rPr>
          <w:rFonts w:eastAsia="楷体"/>
        </w:rPr>
      </w:pPr>
    </w:p>
    <w:p>
      <w:pPr>
        <w:pStyle w:val="55"/>
        <w:ind w:firstLine="640" w:firstLineChars="200"/>
        <w:rPr>
          <w:rFonts w:hAnsi="楷体" w:eastAsia="楷体"/>
        </w:rPr>
      </w:pPr>
    </w:p>
    <w:p>
      <w:pPr>
        <w:pStyle w:val="55"/>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480.51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363.18</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35.88</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19.75</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480.51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28" w:type="dxa"/>
        <w:jc w:val="center"/>
        <w:tblLayout w:type="fixed"/>
        <w:tblCellMar>
          <w:top w:w="0" w:type="dxa"/>
          <w:left w:w="108" w:type="dxa"/>
          <w:bottom w:w="0" w:type="dxa"/>
          <w:right w:w="108" w:type="dxa"/>
        </w:tblCellMar>
      </w:tblPr>
      <w:tblGrid>
        <w:gridCol w:w="428"/>
        <w:gridCol w:w="1000"/>
        <w:gridCol w:w="807"/>
        <w:gridCol w:w="808"/>
        <w:gridCol w:w="859"/>
        <w:gridCol w:w="366"/>
        <w:gridCol w:w="290"/>
        <w:gridCol w:w="119"/>
        <w:gridCol w:w="308"/>
        <w:gridCol w:w="325"/>
        <w:gridCol w:w="309"/>
        <w:gridCol w:w="291"/>
        <w:gridCol w:w="240"/>
        <w:gridCol w:w="60"/>
        <w:gridCol w:w="308"/>
        <w:gridCol w:w="163"/>
        <w:gridCol w:w="146"/>
        <w:gridCol w:w="385"/>
        <w:gridCol w:w="381"/>
        <w:gridCol w:w="484"/>
        <w:gridCol w:w="293"/>
        <w:gridCol w:w="240"/>
        <w:gridCol w:w="31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6"/>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807"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283"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410" w:type="dxa"/>
            <w:gridSpan w:val="8"/>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807"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6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3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38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84"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293"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2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31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中共通榆县委党校</w:t>
            </w:r>
          </w:p>
        </w:tc>
        <w:tc>
          <w:tcPr>
            <w:tcW w:w="807" w:type="dxa"/>
            <w:tcBorders>
              <w:top w:val="single" w:color="000000" w:sz="4" w:space="0"/>
              <w:left w:val="single" w:color="000000" w:sz="4" w:space="0"/>
              <w:right w:val="single" w:color="000000" w:sz="4" w:space="0"/>
            </w:tcBorders>
            <w:noWrap w:val="0"/>
            <w:vAlign w:val="center"/>
          </w:tcPr>
          <w:p>
            <w:pPr>
              <w:widowControl/>
              <w:jc w:val="center"/>
              <w:rPr>
                <w:rFonts w:eastAsia="宋体"/>
                <w:color w:val="000000"/>
                <w:sz w:val="20"/>
              </w:rPr>
            </w:pPr>
            <w:r>
              <w:rPr>
                <w:rFonts w:hint="eastAsia" w:eastAsia="宋体"/>
                <w:kern w:val="0"/>
                <w:sz w:val="20"/>
                <w:lang w:val="en-US" w:eastAsia="zh-CN"/>
              </w:rPr>
              <w:t>480.51</w:t>
            </w:r>
          </w:p>
        </w:tc>
        <w:tc>
          <w:tcPr>
            <w:tcW w:w="808" w:type="dxa"/>
            <w:tcBorders>
              <w:top w:val="single" w:color="000000" w:sz="4" w:space="0"/>
              <w:left w:val="single" w:color="000000" w:sz="4" w:space="0"/>
              <w:right w:val="single" w:color="000000" w:sz="4" w:space="0"/>
            </w:tcBorders>
            <w:noWrap w:val="0"/>
            <w:vAlign w:val="center"/>
          </w:tcPr>
          <w:p>
            <w:pPr>
              <w:widowControl/>
              <w:jc w:val="center"/>
              <w:rPr>
                <w:rFonts w:eastAsia="宋体"/>
                <w:color w:val="000000"/>
                <w:sz w:val="20"/>
              </w:rPr>
            </w:pPr>
            <w:r>
              <w:rPr>
                <w:rFonts w:hint="eastAsia" w:eastAsia="宋体"/>
                <w:kern w:val="0"/>
                <w:sz w:val="20"/>
                <w:lang w:val="en-US" w:eastAsia="zh-CN"/>
              </w:rPr>
              <w:t>480.51</w:t>
            </w:r>
          </w:p>
        </w:tc>
        <w:tc>
          <w:tcPr>
            <w:tcW w:w="859" w:type="dxa"/>
            <w:tcBorders>
              <w:top w:val="single" w:color="000000" w:sz="4" w:space="0"/>
              <w:left w:val="single" w:color="000000" w:sz="4" w:space="0"/>
              <w:right w:val="single" w:color="000000" w:sz="4" w:space="0"/>
            </w:tcBorders>
            <w:noWrap w:val="0"/>
            <w:vAlign w:val="center"/>
          </w:tcPr>
          <w:p>
            <w:pPr>
              <w:widowControl/>
              <w:jc w:val="center"/>
              <w:rPr>
                <w:rFonts w:eastAsia="宋体"/>
                <w:color w:val="000000"/>
                <w:sz w:val="20"/>
              </w:rPr>
            </w:pPr>
            <w:r>
              <w:rPr>
                <w:rFonts w:hint="eastAsia" w:eastAsia="宋体"/>
                <w:kern w:val="0"/>
                <w:sz w:val="20"/>
                <w:lang w:val="en-US" w:eastAsia="zh-CN"/>
              </w:rPr>
              <w:t>480.51</w:t>
            </w:r>
          </w:p>
        </w:tc>
        <w:tc>
          <w:tcPr>
            <w:tcW w:w="36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09"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8"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2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91"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9"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8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81" w:type="dxa"/>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8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9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1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color w:val="000000"/>
                <w:sz w:val="20"/>
                <w:shd w:val="clear" w:color="auto" w:fill="FFFFFF"/>
              </w:rPr>
            </w:pPr>
            <w:r>
              <w:rPr>
                <w:rFonts w:hint="eastAsia" w:eastAsia="宋体"/>
                <w:kern w:val="0"/>
                <w:sz w:val="20"/>
                <w:lang w:val="en-US" w:eastAsia="zh-CN"/>
              </w:rPr>
              <w:t>480.51</w:t>
            </w: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color w:val="000000"/>
                <w:sz w:val="20"/>
                <w:shd w:val="clear" w:color="auto" w:fill="FFFFFF"/>
              </w:rPr>
            </w:pPr>
            <w:r>
              <w:rPr>
                <w:rFonts w:hint="eastAsia" w:eastAsia="宋体"/>
                <w:kern w:val="0"/>
                <w:sz w:val="20"/>
                <w:lang w:val="en-US" w:eastAsia="zh-CN"/>
              </w:rPr>
              <w:t>480.51</w:t>
            </w: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color w:val="000000"/>
                <w:sz w:val="20"/>
                <w:shd w:val="clear" w:color="auto" w:fill="FFFFFF"/>
              </w:rPr>
            </w:pPr>
            <w:r>
              <w:rPr>
                <w:rFonts w:hint="eastAsia" w:eastAsia="宋体"/>
                <w:kern w:val="0"/>
                <w:sz w:val="20"/>
                <w:lang w:val="en-US" w:eastAsia="zh-CN"/>
              </w:rPr>
              <w:t>480.51</w:t>
            </w: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58" w:type="dxa"/>
              <w:tblInd w:w="430" w:type="dxa"/>
              <w:tblLayout w:type="fixed"/>
              <w:tblCellMar>
                <w:top w:w="15" w:type="dxa"/>
                <w:left w:w="15" w:type="dxa"/>
                <w:bottom w:w="15" w:type="dxa"/>
                <w:right w:w="15" w:type="dxa"/>
              </w:tblCellMar>
            </w:tblPr>
            <w:tblGrid>
              <w:gridCol w:w="2390"/>
              <w:gridCol w:w="1217"/>
              <w:gridCol w:w="1441"/>
              <w:gridCol w:w="78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28"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39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1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color w:val="000000"/>
                      <w:kern w:val="0"/>
                      <w:sz w:val="20"/>
                      <w:szCs w:val="20"/>
                      <w:u w:val="none"/>
                      <w:lang w:val="en-US" w:eastAsia="zh-CN" w:bidi="ar"/>
                    </w:rPr>
                    <w:t>一、</w:t>
                  </w:r>
                  <w:r>
                    <w:rPr>
                      <w:rFonts w:hint="default" w:ascii="Arial" w:hAnsi="Arial" w:eastAsia="宋体" w:cs="Arial"/>
                      <w:i w:val="0"/>
                      <w:color w:val="000000"/>
                      <w:kern w:val="0"/>
                      <w:sz w:val="20"/>
                      <w:szCs w:val="20"/>
                      <w:u w:val="none"/>
                      <w:lang w:val="en-US" w:eastAsia="zh-CN" w:bidi="ar"/>
                    </w:rPr>
                    <w:t>教育支出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363.18</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363.18</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20.8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进修及培训</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363.18</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363.18</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lang w:val="en-US" w:eastAsia="zh-CN"/>
                    </w:rPr>
                    <w:t>20.8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干部教育</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363.18</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363.18</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lang w:val="en-US" w:eastAsia="zh-CN"/>
                    </w:rPr>
                    <w:t>20.8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二、</w:t>
                  </w:r>
                  <w:r>
                    <w:rPr>
                      <w:rFonts w:hint="default" w:ascii="Arial" w:hAnsi="Arial" w:eastAsia="宋体" w:cs="Arial"/>
                      <w:i w:val="0"/>
                      <w:color w:val="000000"/>
                      <w:kern w:val="0"/>
                      <w:sz w:val="20"/>
                      <w:szCs w:val="20"/>
                      <w:u w:val="none"/>
                      <w:lang w:val="en-US" w:eastAsia="zh-CN" w:bidi="ar"/>
                    </w:rPr>
                    <w:t>社会保障和就业支出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61.7</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61.7</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行政事业单位养老支出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61.7</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61.7</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机关事业单位基本养老保险缴费支出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47.83</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47.83</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机关事业单位职业年金缴费支出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11.77</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11.77</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其他行政事业单位养老支出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2.09</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2.09</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三、</w:t>
                  </w:r>
                  <w:r>
                    <w:rPr>
                      <w:rFonts w:hint="default" w:ascii="Arial" w:hAnsi="Arial" w:eastAsia="宋体" w:cs="Arial"/>
                      <w:i w:val="0"/>
                      <w:color w:val="000000"/>
                      <w:kern w:val="0"/>
                      <w:sz w:val="20"/>
                      <w:szCs w:val="20"/>
                      <w:u w:val="none"/>
                      <w:lang w:val="en-US" w:eastAsia="zh-CN" w:bidi="ar"/>
                    </w:rPr>
                    <w:t>卫生健康支出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19.75</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19.75</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行政事业单位医疗</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19.75</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19.75</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事业单位医疗</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19.75</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19.75</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其他行政事业单位医疗支出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0.6</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0.6</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四、</w:t>
                  </w:r>
                  <w:r>
                    <w:rPr>
                      <w:rFonts w:hint="default" w:ascii="Arial" w:hAnsi="Arial" w:eastAsia="宋体" w:cs="Arial"/>
                      <w:i w:val="0"/>
                      <w:color w:val="000000"/>
                      <w:kern w:val="0"/>
                      <w:sz w:val="20"/>
                      <w:szCs w:val="20"/>
                      <w:u w:val="none"/>
                      <w:lang w:val="en-US" w:eastAsia="zh-CN" w:bidi="ar"/>
                    </w:rPr>
                    <w:t>住房保障支出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35.88</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35.88</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住房改革支出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35.88</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35.88</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住房公积金</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35.88</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宋体" w:hAnsi="宋体" w:eastAsia="宋体" w:cs="宋体"/>
                      <w:i w:val="0"/>
                      <w:color w:val="000000"/>
                      <w:kern w:val="0"/>
                      <w:sz w:val="20"/>
                      <w:szCs w:val="20"/>
                      <w:u w:val="none"/>
                      <w:lang w:val="en-US" w:eastAsia="zh-CN" w:bidi="ar"/>
                    </w:rPr>
                    <w:t>35.88</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39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480.51</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val="en-US" w:eastAsia="zh-CN"/>
                    </w:rPr>
                    <w:t>480.51</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10123" w:type="dxa"/>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9880" w:type="dxa"/>
              <w:tblInd w:w="0" w:type="dxa"/>
              <w:tblLayout w:type="fixed"/>
              <w:tblCellMar>
                <w:top w:w="0" w:type="dxa"/>
                <w:left w:w="108" w:type="dxa"/>
                <w:bottom w:w="0" w:type="dxa"/>
                <w:right w:w="108" w:type="dxa"/>
              </w:tblCellMar>
            </w:tblPr>
            <w:tblGrid>
              <w:gridCol w:w="1892"/>
              <w:gridCol w:w="963"/>
              <w:gridCol w:w="688"/>
              <w:gridCol w:w="688"/>
              <w:gridCol w:w="1721"/>
              <w:gridCol w:w="864"/>
              <w:gridCol w:w="816"/>
              <w:gridCol w:w="672"/>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kern w:val="0"/>
                      <w:sz w:val="20"/>
                    </w:rPr>
                  </w:pPr>
                  <w:r>
                    <w:rPr>
                      <w:rFonts w:hint="eastAsia" w:eastAsia="宋体"/>
                      <w:color w:val="000000"/>
                      <w:kern w:val="0"/>
                      <w:sz w:val="20"/>
                      <w:lang w:val="en-US" w:eastAsia="zh-CN"/>
                    </w:rPr>
                    <w:t>363.18</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kern w:val="0"/>
                      <w:sz w:val="20"/>
                    </w:rPr>
                  </w:pPr>
                  <w:r>
                    <w:rPr>
                      <w:rFonts w:hint="eastAsia" w:eastAsia="宋体"/>
                      <w:color w:val="000000"/>
                      <w:kern w:val="0"/>
                      <w:sz w:val="20"/>
                      <w:lang w:val="en-US" w:eastAsia="zh-CN"/>
                    </w:rPr>
                    <w:t>363.18</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61.7</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61.7</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19.75</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19.75</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35.88</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35.88</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宋体"/>
                      <w:kern w:val="0"/>
                      <w:sz w:val="20"/>
                      <w:lang w:val="en-US" w:eastAsia="zh-CN"/>
                    </w:rPr>
                    <w:t>480.51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480.51</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8804" w:type="dxa"/>
              <w:tblInd w:w="856" w:type="dxa"/>
              <w:tblLayout w:type="fixed"/>
              <w:tblCellMar>
                <w:top w:w="15" w:type="dxa"/>
                <w:left w:w="15" w:type="dxa"/>
                <w:bottom w:w="15" w:type="dxa"/>
                <w:right w:w="15" w:type="dxa"/>
              </w:tblCellMar>
            </w:tblPr>
            <w:tblGrid>
              <w:gridCol w:w="3706"/>
              <w:gridCol w:w="675"/>
              <w:gridCol w:w="750"/>
              <w:gridCol w:w="838"/>
              <w:gridCol w:w="1134"/>
              <w:gridCol w:w="1701"/>
            </w:tblGrid>
            <w:tr>
              <w:tblPrEx>
                <w:tblCellMar>
                  <w:top w:w="15" w:type="dxa"/>
                  <w:left w:w="15" w:type="dxa"/>
                  <w:bottom w:w="15" w:type="dxa"/>
                  <w:right w:w="15" w:type="dxa"/>
                </w:tblCellMar>
              </w:tblPrEx>
              <w:trPr>
                <w:trHeight w:val="390" w:hRule="atLeast"/>
              </w:trPr>
              <w:tc>
                <w:tcPr>
                  <w:tcW w:w="8804"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3706"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675"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272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3706"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675"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272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3706"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675"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一、</w:t>
                  </w:r>
                  <w:r>
                    <w:rPr>
                      <w:rFonts w:hint="default" w:ascii="Arial" w:hAnsi="Arial" w:eastAsia="宋体" w:cs="Arial"/>
                      <w:i w:val="0"/>
                      <w:color w:val="000000"/>
                      <w:kern w:val="0"/>
                      <w:sz w:val="20"/>
                      <w:szCs w:val="20"/>
                      <w:u w:val="none"/>
                      <w:lang w:val="en-US" w:eastAsia="zh-CN" w:bidi="ar"/>
                    </w:rPr>
                    <w:t>教育支出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363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18</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342.38</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318.38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20.8</w:t>
                  </w:r>
                </w:p>
              </w:tc>
            </w:tr>
            <w:tr>
              <w:tblPrEx>
                <w:tblCellMar>
                  <w:top w:w="15" w:type="dxa"/>
                  <w:left w:w="15" w:type="dxa"/>
                  <w:bottom w:w="15" w:type="dxa"/>
                  <w:right w:w="15" w:type="dxa"/>
                </w:tblCellMar>
              </w:tblPrEx>
              <w:trPr>
                <w:trHeight w:val="39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进修及培训</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363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18</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color w:val="000000"/>
                      <w:kern w:val="0"/>
                      <w:sz w:val="20"/>
                      <w:szCs w:val="20"/>
                      <w:u w:val="none"/>
                      <w:lang w:val="en-US" w:eastAsia="zh-CN" w:bidi="ar"/>
                    </w:rPr>
                    <w:t>342.38</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color w:val="000000"/>
                      <w:kern w:val="0"/>
                      <w:sz w:val="20"/>
                      <w:szCs w:val="20"/>
                      <w:u w:val="none"/>
                      <w:lang w:val="en-US" w:eastAsia="zh-CN" w:bidi="ar"/>
                    </w:rPr>
                    <w:t>318.38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20.8</w:t>
                  </w:r>
                </w:p>
              </w:tc>
            </w:tr>
            <w:tr>
              <w:tblPrEx>
                <w:tblCellMar>
                  <w:top w:w="15" w:type="dxa"/>
                  <w:left w:w="15" w:type="dxa"/>
                  <w:bottom w:w="15" w:type="dxa"/>
                  <w:right w:w="15" w:type="dxa"/>
                </w:tblCellMar>
              </w:tblPrEx>
              <w:trPr>
                <w:trHeight w:val="39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干部教育</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363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18</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342.38</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318.38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w:t>
                  </w: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color w:val="000000"/>
                      <w:kern w:val="0"/>
                      <w:sz w:val="20"/>
                      <w:szCs w:val="20"/>
                      <w:u w:val="none"/>
                      <w:lang w:val="en-US" w:eastAsia="zh-CN" w:bidi="ar"/>
                    </w:rPr>
                    <w:t>二、</w:t>
                  </w:r>
                  <w:r>
                    <w:rPr>
                      <w:rFonts w:hint="default" w:ascii="Arial" w:hAnsi="Arial" w:eastAsia="宋体" w:cs="Arial"/>
                      <w:i w:val="0"/>
                      <w:color w:val="000000"/>
                      <w:kern w:val="0"/>
                      <w:sz w:val="20"/>
                      <w:szCs w:val="20"/>
                      <w:u w:val="none"/>
                      <w:lang w:val="en-US" w:eastAsia="zh-CN" w:bidi="ar"/>
                    </w:rPr>
                    <w:t>社会保障和就业支出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w:t>
                  </w: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行政事业单位养老支出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机关事业单位基本养老保险缴费支出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机关事业单位职业年金缴费支出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47</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83</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47</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83</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47</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其他行政事业单位养老支出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77</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77</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三、</w:t>
                  </w:r>
                  <w:r>
                    <w:rPr>
                      <w:rFonts w:hint="default" w:ascii="Arial" w:hAnsi="Arial" w:eastAsia="宋体" w:cs="Arial"/>
                      <w:i w:val="0"/>
                      <w:color w:val="000000"/>
                      <w:kern w:val="0"/>
                      <w:sz w:val="20"/>
                      <w:szCs w:val="20"/>
                      <w:u w:val="none"/>
                      <w:lang w:val="en-US" w:eastAsia="zh-CN" w:bidi="ar"/>
                    </w:rPr>
                    <w:t>卫生健康支出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行政事业单位医疗</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事业单位医疗</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其他行政事业单位医疗支出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color w:val="000000"/>
                      <w:kern w:val="0"/>
                      <w:sz w:val="20"/>
                      <w:szCs w:val="20"/>
                      <w:u w:val="none"/>
                      <w:lang w:val="en-US" w:eastAsia="zh-CN" w:bidi="ar"/>
                    </w:rPr>
                    <w:t>四、</w:t>
                  </w:r>
                  <w:r>
                    <w:rPr>
                      <w:rFonts w:hint="default" w:ascii="Arial" w:hAnsi="Arial" w:eastAsia="宋体" w:cs="Arial"/>
                      <w:i w:val="0"/>
                      <w:color w:val="000000"/>
                      <w:kern w:val="0"/>
                      <w:sz w:val="20"/>
                      <w:szCs w:val="20"/>
                      <w:u w:val="none"/>
                      <w:lang w:val="en-US" w:eastAsia="zh-CN" w:bidi="ar"/>
                    </w:rPr>
                    <w:t>住房保障支出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住房改革支出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住房公积金</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eastAsia" w:ascii="Arial" w:hAnsi="Arial" w:eastAsia="宋体" w:cs="Arial"/>
                      <w:i w:val="0"/>
                      <w:color w:val="000000"/>
                      <w:kern w:val="0"/>
                      <w:sz w:val="20"/>
                      <w:szCs w:val="20"/>
                      <w:u w:val="none"/>
                      <w:lang w:val="en-US" w:eastAsia="zh-CN" w:bidi="ar"/>
                    </w:rPr>
                    <w:t>合计</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480.51</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459.71</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435.71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20.8</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8931" w:type="dxa"/>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一、</w:t>
            </w:r>
            <w:r>
              <w:rPr>
                <w:rFonts w:hint="default" w:ascii="Arial" w:hAnsi="Arial" w:eastAsia="宋体" w:cs="Arial"/>
                <w:i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420</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420</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lang w:val="en-US"/>
              </w:rPr>
            </w:pPr>
            <w:r>
              <w:rPr>
                <w:rFonts w:hint="eastAsia" w:ascii="Arial" w:hAnsi="Arial" w:eastAsia="宋体" w:cs="Arial"/>
                <w:i w:val="0"/>
                <w:color w:val="000000"/>
                <w:kern w:val="0"/>
                <w:sz w:val="20"/>
                <w:szCs w:val="20"/>
                <w:u w:val="none"/>
                <w:lang w:val="en-US" w:eastAsia="zh-CN" w:bidi="ar"/>
              </w:rPr>
              <w:t>24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color w:val="000000"/>
                <w:kern w:val="0"/>
                <w:sz w:val="20"/>
                <w:szCs w:val="20"/>
                <w:u w:val="none"/>
                <w:lang w:val="en-US" w:eastAsia="zh-CN" w:bidi="ar"/>
              </w:rPr>
              <w:t>177</w:t>
            </w:r>
            <w:r>
              <w:rPr>
                <w:rFonts w:hint="eastAsia" w:ascii="Arial" w:hAnsi="Arial" w:eastAsia="宋体" w:cs="Arial"/>
                <w:i w:val="0"/>
                <w:color w:val="000000"/>
                <w:kern w:val="0"/>
                <w:sz w:val="20"/>
                <w:szCs w:val="20"/>
                <w:u w:val="none"/>
                <w:lang w:val="en-US" w:eastAsia="zh-CN" w:bidi="ar"/>
              </w:rPr>
              <w:t>.30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177</w:t>
            </w:r>
            <w:r>
              <w:rPr>
                <w:rFonts w:hint="eastAsia" w:ascii="Arial" w:hAnsi="Arial" w:eastAsia="宋体" w:cs="Arial"/>
                <w:i w:val="0"/>
                <w:color w:val="000000"/>
                <w:kern w:val="0"/>
                <w:sz w:val="20"/>
                <w:szCs w:val="20"/>
                <w:u w:val="none"/>
                <w:lang w:val="en-US" w:eastAsia="zh-CN" w:bidi="ar"/>
              </w:rPr>
              <w:t>.30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32</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4</w:t>
            </w:r>
            <w:r>
              <w:rPr>
                <w:rFonts w:hint="eastAsia" w:ascii="Arial" w:hAnsi="Arial" w:eastAsia="宋体" w:cs="Arial"/>
                <w:i w:val="0"/>
                <w:color w:val="000000"/>
                <w:kern w:val="0"/>
                <w:sz w:val="20"/>
                <w:szCs w:val="20"/>
                <w:u w:val="none"/>
                <w:lang w:val="en-US" w:eastAsia="zh-CN" w:bidi="ar"/>
              </w:rPr>
              <w:t>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32</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4</w:t>
            </w:r>
            <w:r>
              <w:rPr>
                <w:rFonts w:hint="eastAsia" w:ascii="Arial" w:hAnsi="Arial" w:eastAsia="宋体" w:cs="Arial"/>
                <w:i w:val="0"/>
                <w:color w:val="000000"/>
                <w:kern w:val="0"/>
                <w:sz w:val="20"/>
                <w:szCs w:val="20"/>
                <w:u w:val="none"/>
                <w:lang w:val="en-US" w:eastAsia="zh-CN" w:bidi="ar"/>
              </w:rPr>
              <w:t>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79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79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47</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47</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1</w:t>
            </w:r>
            <w:r>
              <w:rPr>
                <w:rFonts w:hint="eastAsia" w:ascii="Arial" w:hAnsi="Arial" w:eastAsia="宋体" w:cs="Arial"/>
                <w:i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19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1</w:t>
            </w:r>
            <w:r>
              <w:rPr>
                <w:rFonts w:hint="eastAsia" w:ascii="Arial" w:hAnsi="Arial" w:eastAsia="宋体" w:cs="Arial"/>
                <w:i w:val="0"/>
                <w:color w:val="000000"/>
                <w:kern w:val="0"/>
                <w:sz w:val="20"/>
                <w:szCs w:val="20"/>
                <w:u w:val="none"/>
                <w:lang w:val="en-US" w:eastAsia="zh-CN" w:bidi="ar"/>
              </w:rPr>
              <w:t>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35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35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二、</w:t>
            </w:r>
            <w:r>
              <w:rPr>
                <w:rFonts w:hint="default" w:ascii="Arial" w:hAnsi="Arial" w:eastAsia="宋体" w:cs="Arial"/>
                <w:i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20</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20</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10</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0</w:t>
            </w:r>
            <w:r>
              <w:rPr>
                <w:rFonts w:hint="eastAsia" w:ascii="Arial" w:hAnsi="Arial" w:eastAsia="宋体" w:cs="Arial"/>
                <w:i w:val="0"/>
                <w:color w:val="000000"/>
                <w:kern w:val="0"/>
                <w:sz w:val="20"/>
                <w:szCs w:val="20"/>
                <w:u w:val="none"/>
                <w:lang w:val="en-US" w:eastAsia="zh-CN" w:bidi="ar"/>
              </w:rPr>
              <w:t>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10</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0</w:t>
            </w:r>
            <w:r>
              <w:rPr>
                <w:rFonts w:hint="eastAsia" w:ascii="Arial" w:hAnsi="Arial" w:eastAsia="宋体" w:cs="Arial"/>
                <w:i w:val="0"/>
                <w:color w:val="000000"/>
                <w:kern w:val="0"/>
                <w:sz w:val="20"/>
                <w:szCs w:val="20"/>
                <w:u w:val="none"/>
                <w:lang w:val="en-US" w:eastAsia="zh-CN" w:bidi="ar"/>
              </w:rPr>
              <w:t>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劳务费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15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15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15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15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459.71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435.71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24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53</w:t>
            </w:r>
            <w:r>
              <w:rPr>
                <w:color w:val="000000"/>
                <w:kern w:val="0"/>
                <w:sz w:val="28"/>
                <w:szCs w:val="28"/>
              </w:rPr>
              <w:t>人，其中：在职人员</w:t>
            </w:r>
            <w:r>
              <w:rPr>
                <w:rFonts w:hint="eastAsia" w:eastAsia="宋体"/>
                <w:color w:val="000000"/>
                <w:kern w:val="0"/>
                <w:sz w:val="28"/>
                <w:szCs w:val="28"/>
                <w:u w:val="single"/>
                <w:lang w:val="en-US" w:eastAsia="zh-CN"/>
              </w:rPr>
              <w:t>25</w:t>
            </w:r>
            <w:r>
              <w:rPr>
                <w:color w:val="000000"/>
                <w:kern w:val="0"/>
                <w:sz w:val="28"/>
                <w:szCs w:val="28"/>
              </w:rPr>
              <w:t>人，离退休人员</w:t>
            </w:r>
            <w:r>
              <w:rPr>
                <w:rFonts w:hint="eastAsia" w:eastAsia="宋体"/>
                <w:color w:val="000000"/>
                <w:kern w:val="0"/>
                <w:sz w:val="28"/>
                <w:szCs w:val="28"/>
                <w:u w:val="single"/>
                <w:lang w:val="en-US" w:eastAsia="zh-CN"/>
              </w:rPr>
              <w:t>28</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8789" w:type="dxa"/>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875"/>
        <w:gridCol w:w="1134"/>
        <w:gridCol w:w="635"/>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4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7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3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3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14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009"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63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1149" w:type="dxa"/>
            <w:vMerge w:val="continue"/>
            <w:noWrap w:val="0"/>
            <w:vAlign w:val="center"/>
          </w:tcPr>
          <w:p>
            <w:pPr>
              <w:autoSpaceDN w:val="0"/>
              <w:jc w:val="center"/>
              <w:textAlignment w:val="center"/>
              <w:rPr>
                <w:rFonts w:ascii="Calibri" w:hAnsi="Calibri" w:eastAsia="华文细黑"/>
                <w:color w:val="000000"/>
                <w:sz w:val="20"/>
                <w:szCs w:val="22"/>
              </w:rPr>
            </w:pPr>
          </w:p>
        </w:tc>
        <w:tc>
          <w:tcPr>
            <w:tcW w:w="87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3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635" w:type="dxa"/>
            <w:noWrap w:val="0"/>
            <w:vAlign w:val="center"/>
          </w:tcPr>
          <w:p>
            <w:pPr>
              <w:autoSpaceDN w:val="0"/>
              <w:jc w:val="center"/>
              <w:textAlignment w:val="center"/>
              <w:rPr>
                <w:rFonts w:ascii="Calibri" w:hAnsi="Calibri" w:eastAsia="华文细黑"/>
                <w:color w:val="000000"/>
                <w:sz w:val="20"/>
                <w:szCs w:val="22"/>
              </w:rPr>
            </w:pPr>
          </w:p>
        </w:tc>
        <w:tc>
          <w:tcPr>
            <w:tcW w:w="498" w:type="dxa"/>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noWrap w:val="0"/>
            <w:vAlign w:val="center"/>
          </w:tcPr>
          <w:p>
            <w:pPr>
              <w:autoSpaceDN w:val="0"/>
              <w:jc w:val="center"/>
              <w:textAlignment w:val="center"/>
              <w:rPr>
                <w:rFonts w:hint="eastAsia" w:ascii="Calibri" w:hAnsi="Calibri" w:eastAsia="华文细黑"/>
                <w:color w:val="000000"/>
                <w:sz w:val="8"/>
                <w:szCs w:val="11"/>
              </w:rPr>
            </w:pPr>
            <w:r>
              <w:rPr>
                <w:rFonts w:hint="eastAsia"/>
                <w:sz w:val="16"/>
                <w:szCs w:val="8"/>
              </w:rPr>
              <w:t>311-专项业务支出</w:t>
            </w:r>
          </w:p>
        </w:tc>
        <w:tc>
          <w:tcPr>
            <w:tcW w:w="875" w:type="dxa"/>
            <w:noWrap w:val="0"/>
            <w:vAlign w:val="center"/>
          </w:tcPr>
          <w:p>
            <w:pPr>
              <w:autoSpaceDN w:val="0"/>
              <w:jc w:val="center"/>
              <w:textAlignment w:val="center"/>
              <w:rPr>
                <w:rFonts w:ascii="Calibri" w:hAnsi="Calibri" w:eastAsia="华文细黑"/>
                <w:color w:val="000000"/>
                <w:sz w:val="8"/>
                <w:szCs w:val="11"/>
              </w:rPr>
            </w:pPr>
            <w:r>
              <w:rPr>
                <w:rFonts w:hint="eastAsia" w:ascii="Calibri" w:hAnsi="Calibri" w:eastAsia="华文细黑"/>
                <w:color w:val="000000"/>
                <w:sz w:val="8"/>
                <w:szCs w:val="11"/>
              </w:rPr>
              <w:t>中共通榆县委党校2024年培训经费等</w:t>
            </w:r>
          </w:p>
        </w:tc>
        <w:tc>
          <w:tcPr>
            <w:tcW w:w="1134" w:type="dxa"/>
            <w:noWrap w:val="0"/>
            <w:vAlign w:val="center"/>
          </w:tcPr>
          <w:p>
            <w:pPr>
              <w:autoSpaceDN w:val="0"/>
              <w:jc w:val="center"/>
              <w:textAlignment w:val="center"/>
              <w:rPr>
                <w:rFonts w:ascii="Calibri" w:hAnsi="Calibri" w:eastAsia="楷体"/>
                <w:kern w:val="0"/>
                <w:szCs w:val="32"/>
              </w:rPr>
            </w:pPr>
            <w:r>
              <w:rPr>
                <w:rFonts w:hint="eastAsia" w:ascii="Calibri" w:hAnsi="Calibri" w:eastAsia="华文细黑"/>
                <w:color w:val="000000"/>
                <w:sz w:val="8"/>
                <w:szCs w:val="11"/>
              </w:rPr>
              <w:t>中共通榆县委党校2024年培训经费等</w:t>
            </w:r>
          </w:p>
        </w:tc>
        <w:tc>
          <w:tcPr>
            <w:tcW w:w="635" w:type="dxa"/>
            <w:noWrap w:val="0"/>
            <w:vAlign w:val="center"/>
          </w:tcPr>
          <w:p>
            <w:pPr>
              <w:autoSpaceDN w:val="0"/>
              <w:jc w:val="center"/>
              <w:textAlignment w:val="center"/>
              <w:rPr>
                <w:rFonts w:ascii="Calibri" w:hAnsi="Calibri" w:eastAsia="楷体"/>
                <w:kern w:val="0"/>
                <w:sz w:val="10"/>
                <w:szCs w:val="10"/>
              </w:rPr>
            </w:pPr>
            <w:r>
              <w:rPr>
                <w:rFonts w:hint="eastAsia" w:ascii="Calibri" w:hAnsi="Calibri" w:eastAsia="楷体"/>
                <w:kern w:val="0"/>
                <w:sz w:val="10"/>
                <w:szCs w:val="10"/>
              </w:rPr>
              <w:t>中共通榆县委党校</w:t>
            </w:r>
          </w:p>
        </w:tc>
        <w:tc>
          <w:tcPr>
            <w:tcW w:w="498" w:type="dxa"/>
            <w:noWrap w:val="0"/>
            <w:vAlign w:val="center"/>
          </w:tcPr>
          <w:p>
            <w:pPr>
              <w:autoSpaceDN w:val="0"/>
              <w:jc w:val="center"/>
              <w:textAlignment w:val="center"/>
              <w:rPr>
                <w:rFonts w:hint="eastAsia" w:ascii="宋体" w:hAnsi="宋体" w:eastAsia="宋体" w:cs="宋体"/>
                <w:kern w:val="0"/>
                <w:sz w:val="13"/>
                <w:szCs w:val="13"/>
                <w:lang w:val="en-US" w:eastAsia="zh-CN"/>
              </w:rPr>
            </w:pPr>
            <w:r>
              <w:rPr>
                <w:rFonts w:hint="eastAsia" w:ascii="宋体" w:hAnsi="宋体" w:eastAsia="宋体" w:cs="宋体"/>
                <w:kern w:val="0"/>
                <w:sz w:val="13"/>
                <w:szCs w:val="13"/>
                <w:lang w:val="en-US" w:eastAsia="zh-CN"/>
              </w:rPr>
              <w:t>10</w:t>
            </w:r>
          </w:p>
        </w:tc>
        <w:tc>
          <w:tcPr>
            <w:tcW w:w="553" w:type="dxa"/>
            <w:noWrap w:val="0"/>
            <w:vAlign w:val="center"/>
          </w:tcPr>
          <w:p>
            <w:pPr>
              <w:autoSpaceDN w:val="0"/>
              <w:jc w:val="center"/>
              <w:textAlignment w:val="center"/>
              <w:rPr>
                <w:rFonts w:hint="eastAsia" w:ascii="宋体" w:hAnsi="宋体" w:eastAsia="宋体" w:cs="宋体"/>
                <w:kern w:val="0"/>
                <w:sz w:val="18"/>
                <w:szCs w:val="18"/>
              </w:rPr>
            </w:pPr>
            <w:r>
              <w:rPr>
                <w:rFonts w:hint="eastAsia" w:ascii="宋体" w:hAnsi="宋体" w:eastAsia="宋体" w:cs="宋体"/>
                <w:kern w:val="0"/>
                <w:sz w:val="13"/>
                <w:szCs w:val="13"/>
                <w:lang w:val="en-US" w:eastAsia="zh-CN"/>
              </w:rPr>
              <w:t>10</w:t>
            </w:r>
          </w:p>
        </w:tc>
        <w:tc>
          <w:tcPr>
            <w:tcW w:w="554" w:type="dxa"/>
            <w:noWrap w:val="0"/>
            <w:vAlign w:val="center"/>
          </w:tcPr>
          <w:p>
            <w:pPr>
              <w:autoSpaceDN w:val="0"/>
              <w:jc w:val="center"/>
              <w:textAlignment w:val="center"/>
              <w:rPr>
                <w:rFonts w:hint="eastAsia" w:ascii="宋体" w:hAnsi="宋体" w:eastAsia="宋体" w:cs="宋体"/>
                <w:kern w:val="0"/>
                <w:sz w:val="18"/>
                <w:szCs w:val="18"/>
              </w:rPr>
            </w:pPr>
          </w:p>
        </w:tc>
        <w:tc>
          <w:tcPr>
            <w:tcW w:w="521" w:type="dxa"/>
            <w:noWrap w:val="0"/>
            <w:vAlign w:val="center"/>
          </w:tcPr>
          <w:p>
            <w:pPr>
              <w:autoSpaceDN w:val="0"/>
              <w:jc w:val="center"/>
              <w:textAlignment w:val="center"/>
              <w:rPr>
                <w:rFonts w:hint="eastAsia" w:ascii="宋体" w:hAnsi="宋体" w:eastAsia="宋体" w:cs="宋体"/>
                <w:kern w:val="0"/>
                <w:sz w:val="18"/>
                <w:szCs w:val="18"/>
              </w:rPr>
            </w:pPr>
          </w:p>
        </w:tc>
        <w:tc>
          <w:tcPr>
            <w:tcW w:w="564" w:type="dxa"/>
            <w:noWrap w:val="0"/>
            <w:vAlign w:val="center"/>
          </w:tcPr>
          <w:p>
            <w:pPr>
              <w:autoSpaceDN w:val="0"/>
              <w:jc w:val="center"/>
              <w:textAlignment w:val="center"/>
              <w:rPr>
                <w:rFonts w:hint="eastAsia" w:ascii="宋体" w:hAnsi="宋体" w:eastAsia="宋体" w:cs="宋体"/>
                <w:kern w:val="0"/>
                <w:sz w:val="18"/>
                <w:szCs w:val="18"/>
              </w:rPr>
            </w:pPr>
          </w:p>
        </w:tc>
        <w:tc>
          <w:tcPr>
            <w:tcW w:w="532" w:type="dxa"/>
            <w:noWrap w:val="0"/>
            <w:vAlign w:val="center"/>
          </w:tcPr>
          <w:p>
            <w:pPr>
              <w:autoSpaceDN w:val="0"/>
              <w:jc w:val="center"/>
              <w:textAlignment w:val="center"/>
              <w:rPr>
                <w:rFonts w:hint="eastAsia" w:ascii="宋体" w:hAnsi="宋体" w:eastAsia="宋体" w:cs="宋体"/>
                <w:kern w:val="0"/>
                <w:sz w:val="18"/>
                <w:szCs w:val="18"/>
              </w:rPr>
            </w:pPr>
          </w:p>
        </w:tc>
        <w:tc>
          <w:tcPr>
            <w:tcW w:w="598" w:type="dxa"/>
            <w:noWrap w:val="0"/>
            <w:vAlign w:val="center"/>
          </w:tcPr>
          <w:p>
            <w:pPr>
              <w:autoSpaceDN w:val="0"/>
              <w:jc w:val="center"/>
              <w:textAlignment w:val="center"/>
              <w:rPr>
                <w:rFonts w:hint="eastAsia" w:ascii="宋体" w:hAnsi="宋体" w:eastAsia="宋体" w:cs="宋体"/>
                <w:kern w:val="0"/>
                <w:sz w:val="18"/>
                <w:szCs w:val="18"/>
              </w:rPr>
            </w:pPr>
          </w:p>
        </w:tc>
        <w:tc>
          <w:tcPr>
            <w:tcW w:w="443" w:type="dxa"/>
            <w:noWrap w:val="0"/>
            <w:vAlign w:val="center"/>
          </w:tcPr>
          <w:p>
            <w:pPr>
              <w:autoSpaceDN w:val="0"/>
              <w:jc w:val="center"/>
              <w:textAlignment w:val="center"/>
              <w:rPr>
                <w:rFonts w:hint="eastAsia" w:ascii="宋体" w:hAnsi="宋体" w:eastAsia="宋体" w:cs="宋体"/>
                <w:kern w:val="0"/>
                <w:sz w:val="18"/>
                <w:szCs w:val="18"/>
              </w:rPr>
            </w:pPr>
          </w:p>
        </w:tc>
        <w:tc>
          <w:tcPr>
            <w:tcW w:w="425" w:type="dxa"/>
            <w:noWrap w:val="0"/>
            <w:vAlign w:val="center"/>
          </w:tcPr>
          <w:p>
            <w:pPr>
              <w:autoSpaceDN w:val="0"/>
              <w:jc w:val="center"/>
              <w:textAlignment w:val="center"/>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noWrap w:val="0"/>
            <w:vAlign w:val="center"/>
          </w:tcPr>
          <w:p>
            <w:pPr>
              <w:autoSpaceDN w:val="0"/>
              <w:jc w:val="center"/>
              <w:textAlignment w:val="center"/>
              <w:rPr>
                <w:rFonts w:hint="eastAsia" w:ascii="Calibri" w:hAnsi="Calibri" w:eastAsia="华文细黑"/>
                <w:color w:val="000000"/>
                <w:sz w:val="20"/>
                <w:szCs w:val="22"/>
              </w:rPr>
            </w:pPr>
            <w:r>
              <w:rPr>
                <w:rFonts w:hint="eastAsia"/>
                <w:sz w:val="16"/>
                <w:szCs w:val="8"/>
              </w:rPr>
              <w:t>311-专项业务支出</w:t>
            </w:r>
          </w:p>
        </w:tc>
        <w:tc>
          <w:tcPr>
            <w:tcW w:w="875" w:type="dxa"/>
            <w:noWrap w:val="0"/>
            <w:vAlign w:val="center"/>
          </w:tcPr>
          <w:p>
            <w:pPr>
              <w:autoSpaceDN w:val="0"/>
              <w:jc w:val="center"/>
              <w:textAlignment w:val="center"/>
              <w:rPr>
                <w:rFonts w:ascii="Calibri" w:hAnsi="Calibri" w:eastAsia="华文细黑"/>
                <w:color w:val="000000"/>
                <w:sz w:val="8"/>
                <w:szCs w:val="11"/>
              </w:rPr>
            </w:pPr>
            <w:r>
              <w:rPr>
                <w:rFonts w:hint="eastAsia" w:ascii="Calibri" w:hAnsi="Calibri" w:eastAsia="华文细黑"/>
                <w:color w:val="000000"/>
                <w:sz w:val="8"/>
                <w:szCs w:val="11"/>
              </w:rPr>
              <w:t>中共通榆县委党校2024年驻村工作队生活补贴</w:t>
            </w:r>
          </w:p>
        </w:tc>
        <w:tc>
          <w:tcPr>
            <w:tcW w:w="1134" w:type="dxa"/>
            <w:noWrap w:val="0"/>
            <w:vAlign w:val="center"/>
          </w:tcPr>
          <w:p>
            <w:pPr>
              <w:autoSpaceDN w:val="0"/>
              <w:jc w:val="center"/>
              <w:textAlignment w:val="center"/>
              <w:rPr>
                <w:rFonts w:ascii="Calibri" w:hAnsi="Calibri" w:eastAsia="楷体"/>
                <w:kern w:val="0"/>
                <w:szCs w:val="32"/>
              </w:rPr>
            </w:pPr>
            <w:r>
              <w:rPr>
                <w:rFonts w:hint="eastAsia" w:ascii="Calibri" w:hAnsi="Calibri" w:eastAsia="华文细黑"/>
                <w:color w:val="000000"/>
                <w:sz w:val="8"/>
                <w:szCs w:val="11"/>
              </w:rPr>
              <w:t>中共通榆县委党校2024年驻村工作队生活补贴</w:t>
            </w:r>
          </w:p>
        </w:tc>
        <w:tc>
          <w:tcPr>
            <w:tcW w:w="635" w:type="dxa"/>
            <w:noWrap w:val="0"/>
            <w:vAlign w:val="center"/>
          </w:tcPr>
          <w:p>
            <w:pPr>
              <w:autoSpaceDN w:val="0"/>
              <w:jc w:val="center"/>
              <w:textAlignment w:val="center"/>
              <w:rPr>
                <w:rFonts w:ascii="Calibri" w:hAnsi="Calibri" w:eastAsia="楷体"/>
                <w:kern w:val="0"/>
                <w:szCs w:val="32"/>
              </w:rPr>
            </w:pPr>
            <w:r>
              <w:rPr>
                <w:rFonts w:hint="eastAsia" w:ascii="Calibri" w:hAnsi="Calibri" w:eastAsia="楷体"/>
                <w:kern w:val="0"/>
                <w:sz w:val="10"/>
                <w:szCs w:val="10"/>
              </w:rPr>
              <w:t>中共通榆县委党校</w:t>
            </w:r>
          </w:p>
        </w:tc>
        <w:tc>
          <w:tcPr>
            <w:tcW w:w="498" w:type="dxa"/>
            <w:noWrap w:val="0"/>
            <w:vAlign w:val="center"/>
          </w:tcPr>
          <w:p>
            <w:pPr>
              <w:autoSpaceDN w:val="0"/>
              <w:jc w:val="center"/>
              <w:textAlignment w:val="center"/>
              <w:rPr>
                <w:rFonts w:hint="default" w:ascii="宋体" w:hAnsi="宋体" w:eastAsia="宋体" w:cs="宋体"/>
                <w:kern w:val="0"/>
                <w:sz w:val="13"/>
                <w:szCs w:val="13"/>
                <w:lang w:val="en-US" w:eastAsia="zh-CN"/>
              </w:rPr>
            </w:pPr>
            <w:r>
              <w:rPr>
                <w:rFonts w:hint="eastAsia" w:ascii="宋体" w:hAnsi="宋体" w:eastAsia="宋体" w:cs="宋体"/>
                <w:kern w:val="0"/>
                <w:sz w:val="13"/>
                <w:szCs w:val="13"/>
                <w:lang w:val="en-US" w:eastAsia="zh-CN"/>
              </w:rPr>
              <w:t>10.8</w:t>
            </w:r>
          </w:p>
        </w:tc>
        <w:tc>
          <w:tcPr>
            <w:tcW w:w="553" w:type="dxa"/>
            <w:noWrap w:val="0"/>
            <w:vAlign w:val="center"/>
          </w:tcPr>
          <w:p>
            <w:pPr>
              <w:autoSpaceDN w:val="0"/>
              <w:jc w:val="center"/>
              <w:textAlignment w:val="center"/>
              <w:rPr>
                <w:rFonts w:hint="eastAsia" w:ascii="宋体" w:hAnsi="宋体" w:eastAsia="宋体" w:cs="宋体"/>
                <w:kern w:val="0"/>
                <w:sz w:val="18"/>
                <w:szCs w:val="18"/>
              </w:rPr>
            </w:pPr>
            <w:r>
              <w:rPr>
                <w:rFonts w:hint="eastAsia" w:ascii="宋体" w:hAnsi="宋体" w:eastAsia="宋体" w:cs="宋体"/>
                <w:kern w:val="0"/>
                <w:sz w:val="13"/>
                <w:szCs w:val="13"/>
                <w:lang w:val="en-US" w:eastAsia="zh-CN"/>
              </w:rPr>
              <w:t>10.8</w:t>
            </w:r>
          </w:p>
        </w:tc>
        <w:tc>
          <w:tcPr>
            <w:tcW w:w="554" w:type="dxa"/>
            <w:noWrap w:val="0"/>
            <w:vAlign w:val="center"/>
          </w:tcPr>
          <w:p>
            <w:pPr>
              <w:autoSpaceDN w:val="0"/>
              <w:jc w:val="center"/>
              <w:textAlignment w:val="center"/>
              <w:rPr>
                <w:rFonts w:hint="eastAsia" w:ascii="宋体" w:hAnsi="宋体" w:eastAsia="宋体" w:cs="宋体"/>
                <w:kern w:val="0"/>
                <w:sz w:val="18"/>
                <w:szCs w:val="18"/>
              </w:rPr>
            </w:pPr>
          </w:p>
        </w:tc>
        <w:tc>
          <w:tcPr>
            <w:tcW w:w="521" w:type="dxa"/>
            <w:noWrap w:val="0"/>
            <w:vAlign w:val="center"/>
          </w:tcPr>
          <w:p>
            <w:pPr>
              <w:autoSpaceDN w:val="0"/>
              <w:jc w:val="center"/>
              <w:textAlignment w:val="center"/>
              <w:rPr>
                <w:rFonts w:hint="eastAsia" w:ascii="宋体" w:hAnsi="宋体" w:eastAsia="宋体" w:cs="宋体"/>
                <w:kern w:val="0"/>
                <w:sz w:val="18"/>
                <w:szCs w:val="18"/>
              </w:rPr>
            </w:pPr>
          </w:p>
        </w:tc>
        <w:tc>
          <w:tcPr>
            <w:tcW w:w="564" w:type="dxa"/>
            <w:noWrap w:val="0"/>
            <w:vAlign w:val="center"/>
          </w:tcPr>
          <w:p>
            <w:pPr>
              <w:autoSpaceDN w:val="0"/>
              <w:jc w:val="center"/>
              <w:textAlignment w:val="center"/>
              <w:rPr>
                <w:rFonts w:hint="eastAsia" w:ascii="宋体" w:hAnsi="宋体" w:eastAsia="宋体" w:cs="宋体"/>
                <w:kern w:val="0"/>
                <w:sz w:val="18"/>
                <w:szCs w:val="18"/>
              </w:rPr>
            </w:pPr>
          </w:p>
        </w:tc>
        <w:tc>
          <w:tcPr>
            <w:tcW w:w="532" w:type="dxa"/>
            <w:noWrap w:val="0"/>
            <w:vAlign w:val="center"/>
          </w:tcPr>
          <w:p>
            <w:pPr>
              <w:autoSpaceDN w:val="0"/>
              <w:jc w:val="center"/>
              <w:textAlignment w:val="center"/>
              <w:rPr>
                <w:rFonts w:hint="eastAsia" w:ascii="宋体" w:hAnsi="宋体" w:eastAsia="宋体" w:cs="宋体"/>
                <w:kern w:val="0"/>
                <w:sz w:val="18"/>
                <w:szCs w:val="18"/>
              </w:rPr>
            </w:pPr>
          </w:p>
        </w:tc>
        <w:tc>
          <w:tcPr>
            <w:tcW w:w="598" w:type="dxa"/>
            <w:noWrap w:val="0"/>
            <w:vAlign w:val="center"/>
          </w:tcPr>
          <w:p>
            <w:pPr>
              <w:autoSpaceDN w:val="0"/>
              <w:jc w:val="center"/>
              <w:textAlignment w:val="center"/>
              <w:rPr>
                <w:rFonts w:hint="eastAsia" w:ascii="宋体" w:hAnsi="宋体" w:eastAsia="宋体" w:cs="宋体"/>
                <w:kern w:val="0"/>
                <w:sz w:val="18"/>
                <w:szCs w:val="18"/>
              </w:rPr>
            </w:pPr>
          </w:p>
        </w:tc>
        <w:tc>
          <w:tcPr>
            <w:tcW w:w="443" w:type="dxa"/>
            <w:noWrap w:val="0"/>
            <w:vAlign w:val="center"/>
          </w:tcPr>
          <w:p>
            <w:pPr>
              <w:autoSpaceDN w:val="0"/>
              <w:jc w:val="center"/>
              <w:textAlignment w:val="center"/>
              <w:rPr>
                <w:rFonts w:hint="eastAsia" w:ascii="宋体" w:hAnsi="宋体" w:eastAsia="宋体" w:cs="宋体"/>
                <w:kern w:val="0"/>
                <w:sz w:val="18"/>
                <w:szCs w:val="18"/>
              </w:rPr>
            </w:pPr>
          </w:p>
        </w:tc>
        <w:tc>
          <w:tcPr>
            <w:tcW w:w="425" w:type="dxa"/>
            <w:noWrap w:val="0"/>
            <w:vAlign w:val="center"/>
          </w:tcPr>
          <w:p>
            <w:pPr>
              <w:autoSpaceDN w:val="0"/>
              <w:jc w:val="center"/>
              <w:textAlignment w:val="center"/>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noWrap w:val="0"/>
            <w:vAlign w:val="center"/>
          </w:tcPr>
          <w:p>
            <w:pPr>
              <w:autoSpaceDN w:val="0"/>
              <w:jc w:val="center"/>
              <w:textAlignment w:val="center"/>
              <w:rPr>
                <w:rFonts w:hint="eastAsia" w:ascii="Calibri" w:hAnsi="Calibri" w:eastAsia="华文细黑"/>
                <w:color w:val="000000"/>
                <w:sz w:val="20"/>
                <w:szCs w:val="22"/>
              </w:rPr>
            </w:pPr>
          </w:p>
        </w:tc>
        <w:tc>
          <w:tcPr>
            <w:tcW w:w="875" w:type="dxa"/>
            <w:noWrap w:val="0"/>
            <w:vAlign w:val="center"/>
          </w:tcPr>
          <w:p>
            <w:pPr>
              <w:autoSpaceDN w:val="0"/>
              <w:jc w:val="center"/>
              <w:textAlignment w:val="center"/>
              <w:rPr>
                <w:rFonts w:ascii="Calibri" w:hAnsi="Calibri" w:eastAsia="华文细黑"/>
                <w:color w:val="000000"/>
                <w:sz w:val="20"/>
                <w:szCs w:val="22"/>
              </w:rPr>
            </w:pPr>
          </w:p>
        </w:tc>
        <w:tc>
          <w:tcPr>
            <w:tcW w:w="1134" w:type="dxa"/>
            <w:noWrap w:val="0"/>
            <w:vAlign w:val="center"/>
          </w:tcPr>
          <w:p>
            <w:pPr>
              <w:autoSpaceDN w:val="0"/>
              <w:jc w:val="center"/>
              <w:textAlignment w:val="center"/>
              <w:rPr>
                <w:rFonts w:ascii="Calibri" w:hAnsi="Calibri" w:eastAsia="楷体"/>
                <w:kern w:val="0"/>
                <w:szCs w:val="32"/>
              </w:rPr>
            </w:pPr>
          </w:p>
        </w:tc>
        <w:tc>
          <w:tcPr>
            <w:tcW w:w="635" w:type="dxa"/>
            <w:noWrap w:val="0"/>
            <w:vAlign w:val="center"/>
          </w:tcPr>
          <w:p>
            <w:pPr>
              <w:autoSpaceDN w:val="0"/>
              <w:jc w:val="center"/>
              <w:textAlignment w:val="center"/>
              <w:rPr>
                <w:rFonts w:ascii="Calibri" w:hAnsi="Calibri" w:eastAsia="楷体"/>
                <w:kern w:val="0"/>
                <w:szCs w:val="32"/>
              </w:rPr>
            </w:pPr>
          </w:p>
        </w:tc>
        <w:tc>
          <w:tcPr>
            <w:tcW w:w="498" w:type="dxa"/>
            <w:noWrap w:val="0"/>
            <w:vAlign w:val="center"/>
          </w:tcPr>
          <w:p>
            <w:pPr>
              <w:autoSpaceDN w:val="0"/>
              <w:jc w:val="center"/>
              <w:textAlignment w:val="center"/>
              <w:rPr>
                <w:rFonts w:ascii="Calibri" w:hAnsi="Calibri" w:eastAsia="楷体"/>
                <w:kern w:val="0"/>
                <w:szCs w:val="32"/>
              </w:rPr>
            </w:pPr>
          </w:p>
        </w:tc>
        <w:tc>
          <w:tcPr>
            <w:tcW w:w="553" w:type="dxa"/>
            <w:noWrap w:val="0"/>
            <w:vAlign w:val="center"/>
          </w:tcPr>
          <w:p>
            <w:pPr>
              <w:autoSpaceDN w:val="0"/>
              <w:jc w:val="center"/>
              <w:textAlignment w:val="center"/>
              <w:rPr>
                <w:rFonts w:ascii="Calibri" w:hAnsi="Calibri" w:eastAsia="楷体"/>
                <w:kern w:val="0"/>
                <w:szCs w:val="32"/>
              </w:rPr>
            </w:pPr>
          </w:p>
        </w:tc>
        <w:tc>
          <w:tcPr>
            <w:tcW w:w="554" w:type="dxa"/>
            <w:noWrap w:val="0"/>
            <w:vAlign w:val="center"/>
          </w:tcPr>
          <w:p>
            <w:pPr>
              <w:autoSpaceDN w:val="0"/>
              <w:jc w:val="center"/>
              <w:textAlignment w:val="center"/>
              <w:rPr>
                <w:rFonts w:ascii="Calibri" w:hAnsi="Calibri" w:eastAsia="楷体"/>
                <w:kern w:val="0"/>
                <w:szCs w:val="32"/>
              </w:rPr>
            </w:pPr>
          </w:p>
        </w:tc>
        <w:tc>
          <w:tcPr>
            <w:tcW w:w="521" w:type="dxa"/>
            <w:noWrap w:val="0"/>
            <w:vAlign w:val="center"/>
          </w:tcPr>
          <w:p>
            <w:pPr>
              <w:autoSpaceDN w:val="0"/>
              <w:jc w:val="center"/>
              <w:textAlignment w:val="center"/>
              <w:rPr>
                <w:rFonts w:ascii="Calibri" w:hAnsi="Calibri" w:eastAsia="楷体"/>
                <w:kern w:val="0"/>
                <w:szCs w:val="32"/>
              </w:rPr>
            </w:pPr>
          </w:p>
        </w:tc>
        <w:tc>
          <w:tcPr>
            <w:tcW w:w="564" w:type="dxa"/>
            <w:noWrap w:val="0"/>
            <w:vAlign w:val="center"/>
          </w:tcPr>
          <w:p>
            <w:pPr>
              <w:autoSpaceDN w:val="0"/>
              <w:jc w:val="center"/>
              <w:textAlignment w:val="center"/>
              <w:rPr>
                <w:rFonts w:ascii="Calibri" w:hAnsi="Calibri" w:eastAsia="楷体"/>
                <w:kern w:val="0"/>
                <w:szCs w:val="32"/>
              </w:rPr>
            </w:pPr>
          </w:p>
        </w:tc>
        <w:tc>
          <w:tcPr>
            <w:tcW w:w="532" w:type="dxa"/>
            <w:noWrap w:val="0"/>
            <w:vAlign w:val="center"/>
          </w:tcPr>
          <w:p>
            <w:pPr>
              <w:autoSpaceDN w:val="0"/>
              <w:jc w:val="center"/>
              <w:textAlignment w:val="center"/>
              <w:rPr>
                <w:rFonts w:ascii="Calibri" w:hAnsi="Calibri" w:eastAsia="楷体"/>
                <w:kern w:val="0"/>
                <w:szCs w:val="32"/>
              </w:rPr>
            </w:pPr>
          </w:p>
        </w:tc>
        <w:tc>
          <w:tcPr>
            <w:tcW w:w="598" w:type="dxa"/>
            <w:noWrap w:val="0"/>
            <w:vAlign w:val="center"/>
          </w:tcPr>
          <w:p>
            <w:pPr>
              <w:autoSpaceDN w:val="0"/>
              <w:jc w:val="center"/>
              <w:textAlignment w:val="center"/>
              <w:rPr>
                <w:rFonts w:ascii="Calibri" w:hAnsi="Calibri" w:eastAsia="楷体"/>
                <w:kern w:val="0"/>
                <w:szCs w:val="32"/>
              </w:rPr>
            </w:pPr>
          </w:p>
        </w:tc>
        <w:tc>
          <w:tcPr>
            <w:tcW w:w="443" w:type="dxa"/>
            <w:noWrap w:val="0"/>
            <w:vAlign w:val="center"/>
          </w:tcPr>
          <w:p>
            <w:pPr>
              <w:autoSpaceDN w:val="0"/>
              <w:jc w:val="center"/>
              <w:textAlignment w:val="center"/>
              <w:rPr>
                <w:rFonts w:ascii="Calibri" w:hAnsi="Calibri" w:eastAsia="楷体"/>
                <w:kern w:val="0"/>
                <w:szCs w:val="32"/>
              </w:rPr>
            </w:pPr>
          </w:p>
        </w:tc>
        <w:tc>
          <w:tcPr>
            <w:tcW w:w="425" w:type="dxa"/>
            <w:noWrap w:val="0"/>
            <w:vAlign w:val="center"/>
          </w:tcPr>
          <w:p>
            <w:pPr>
              <w:autoSpaceDN w:val="0"/>
              <w:jc w:val="center"/>
              <w:textAlignment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noWrap w:val="0"/>
            <w:vAlign w:val="center"/>
          </w:tcPr>
          <w:p>
            <w:pPr>
              <w:autoSpaceDN w:val="0"/>
              <w:jc w:val="center"/>
              <w:textAlignment w:val="center"/>
              <w:rPr>
                <w:rFonts w:hint="eastAsia" w:ascii="Calibri" w:hAnsi="Calibri" w:eastAsia="华文细黑"/>
                <w:color w:val="000000"/>
                <w:sz w:val="20"/>
                <w:szCs w:val="22"/>
              </w:rPr>
            </w:pPr>
          </w:p>
        </w:tc>
        <w:tc>
          <w:tcPr>
            <w:tcW w:w="875" w:type="dxa"/>
            <w:noWrap w:val="0"/>
            <w:vAlign w:val="center"/>
          </w:tcPr>
          <w:p>
            <w:pPr>
              <w:autoSpaceDN w:val="0"/>
              <w:jc w:val="center"/>
              <w:textAlignment w:val="center"/>
              <w:rPr>
                <w:rFonts w:ascii="Calibri" w:hAnsi="Calibri" w:eastAsia="华文细黑"/>
                <w:color w:val="000000"/>
                <w:sz w:val="20"/>
                <w:szCs w:val="22"/>
              </w:rPr>
            </w:pPr>
          </w:p>
        </w:tc>
        <w:tc>
          <w:tcPr>
            <w:tcW w:w="1134" w:type="dxa"/>
            <w:noWrap w:val="0"/>
            <w:vAlign w:val="center"/>
          </w:tcPr>
          <w:p>
            <w:pPr>
              <w:spacing w:line="700" w:lineRule="exact"/>
              <w:jc w:val="center"/>
              <w:rPr>
                <w:rFonts w:ascii="Calibri" w:hAnsi="Calibri" w:eastAsia="楷体"/>
                <w:kern w:val="0"/>
                <w:szCs w:val="32"/>
              </w:rPr>
            </w:pPr>
          </w:p>
        </w:tc>
        <w:tc>
          <w:tcPr>
            <w:tcW w:w="635"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875" w:type="dxa"/>
            <w:noWrap w:val="0"/>
            <w:vAlign w:val="center"/>
          </w:tcPr>
          <w:p>
            <w:pPr>
              <w:autoSpaceDN w:val="0"/>
              <w:jc w:val="center"/>
              <w:textAlignment w:val="center"/>
              <w:rPr>
                <w:rFonts w:ascii="Calibri" w:hAnsi="Calibri" w:eastAsia="华文细黑"/>
                <w:color w:val="000000"/>
                <w:sz w:val="20"/>
                <w:szCs w:val="22"/>
              </w:rPr>
            </w:pPr>
          </w:p>
        </w:tc>
        <w:tc>
          <w:tcPr>
            <w:tcW w:w="1134" w:type="dxa"/>
            <w:noWrap w:val="0"/>
            <w:vAlign w:val="center"/>
          </w:tcPr>
          <w:p>
            <w:pPr>
              <w:spacing w:line="700" w:lineRule="exact"/>
              <w:jc w:val="center"/>
              <w:rPr>
                <w:rFonts w:ascii="Calibri" w:hAnsi="Calibri" w:eastAsia="楷体"/>
                <w:kern w:val="0"/>
                <w:szCs w:val="32"/>
              </w:rPr>
            </w:pPr>
          </w:p>
        </w:tc>
        <w:tc>
          <w:tcPr>
            <w:tcW w:w="635"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2"/>
              </w:rPr>
              <w:t>中共通榆县委党校2024年驻村工作队生活补贴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p>
            <w:pPr>
              <w:autoSpaceDN w:val="0"/>
              <w:jc w:val="center"/>
              <w:textAlignment w:val="center"/>
              <w:rPr>
                <w:rFonts w:hint="eastAsia" w:ascii="宋体" w:hAnsi="宋体" w:eastAsia="宋体" w:cs="宋体"/>
                <w:color w:val="000000"/>
                <w:sz w:val="20"/>
              </w:rPr>
            </w:pP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完成驻村工作队工作使命，实现乡村振兴</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ascii="Segoe UI" w:hAnsi="Segoe UI" w:eastAsia="Segoe UI" w:cs="Segoe UI"/>
                <w:i w:val="0"/>
                <w:caps w:val="0"/>
                <w:color w:val="auto"/>
                <w:spacing w:val="0"/>
                <w:sz w:val="19"/>
                <w:szCs w:val="19"/>
                <w:shd w:val="clear" w:fill="FAFAFA"/>
              </w:rPr>
              <w:t>驻村干部天数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639天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Segoe UI" w:hAnsi="Segoe UI" w:eastAsia="Segoe UI" w:cs="Segoe UI"/>
                <w:i w:val="0"/>
                <w:caps w:val="0"/>
                <w:color w:val="auto"/>
                <w:spacing w:val="0"/>
                <w:sz w:val="19"/>
                <w:szCs w:val="19"/>
                <w:shd w:val="clear" w:fill="FAFAFA"/>
              </w:rPr>
            </w:pPr>
            <w:r>
              <w:rPr>
                <w:rFonts w:ascii="Segoe UI" w:hAnsi="Segoe UI" w:eastAsia="Segoe UI" w:cs="Segoe UI"/>
                <w:i w:val="0"/>
                <w:caps w:val="0"/>
                <w:color w:val="555555"/>
                <w:spacing w:val="0"/>
                <w:sz w:val="19"/>
                <w:szCs w:val="19"/>
                <w:shd w:val="clear" w:fill="FFFFFF"/>
              </w:rPr>
              <w:t>反映驻村干部人数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ascii="Segoe UI" w:hAnsi="Segoe UI" w:eastAsia="Segoe UI" w:cs="Segoe UI"/>
                <w:i w:val="0"/>
                <w:caps w:val="0"/>
                <w:color w:val="555555"/>
                <w:spacing w:val="0"/>
                <w:sz w:val="19"/>
                <w:szCs w:val="19"/>
                <w:shd w:val="clear" w:fill="FFFFFF"/>
              </w:rPr>
              <w:t>乡村振兴工作内容完成率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ascii="Segoe UI" w:hAnsi="Segoe UI" w:eastAsia="Segoe UI" w:cs="Segoe UI"/>
                <w:i w:val="0"/>
                <w:caps w:val="0"/>
                <w:color w:val="555555"/>
                <w:spacing w:val="0"/>
                <w:sz w:val="19"/>
                <w:szCs w:val="19"/>
                <w:shd w:val="clear" w:fill="FFFFFF"/>
              </w:rPr>
              <w:t>生活保障补贴</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100元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ascii="Segoe UI" w:hAnsi="Segoe UI" w:eastAsia="Segoe UI" w:cs="Segoe UI"/>
                <w:i w:val="0"/>
                <w:caps w:val="0"/>
                <w:color w:val="555555"/>
                <w:spacing w:val="0"/>
                <w:sz w:val="19"/>
                <w:szCs w:val="19"/>
                <w:shd w:val="clear" w:fill="FFFFFF"/>
              </w:rPr>
              <w:t>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ascii="Segoe UI" w:hAnsi="Segoe UI" w:eastAsia="Segoe UI" w:cs="Segoe UI"/>
                <w:i w:val="0"/>
                <w:caps w:val="0"/>
                <w:color w:val="555555"/>
                <w:spacing w:val="0"/>
                <w:sz w:val="19"/>
                <w:szCs w:val="19"/>
                <w:shd w:val="clear" w:fill="FFFFFF"/>
              </w:rPr>
              <w:t>驻村干部工作态度指数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ascii="Segoe UI" w:hAnsi="Segoe UI" w:eastAsia="Segoe UI" w:cs="Segoe UI"/>
                <w:i w:val="0"/>
                <w:caps w:val="0"/>
                <w:color w:val="555555"/>
                <w:spacing w:val="0"/>
                <w:sz w:val="19"/>
                <w:szCs w:val="19"/>
                <w:shd w:val="clear" w:fill="FFFFFF"/>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95%</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36"/>
                <w:szCs w:val="36"/>
              </w:rPr>
            </w:pPr>
            <w:r>
              <w:rPr>
                <w:rFonts w:hint="eastAsia" w:ascii="宋体" w:hAnsi="宋体" w:eastAsia="宋体" w:cs="宋体"/>
                <w:color w:val="000000"/>
                <w:sz w:val="20"/>
                <w:szCs w:val="22"/>
              </w:rPr>
              <w:t>中共通榆县委党校2024年培训经费等</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2024年度拟开设20期主体班，培训学员2500人。开设专题30个， 通过率100%。提高科研咨政水平。完成2023年课题结项，完成省级课题2个</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left"/>
              <w:rPr>
                <w:rFonts w:hint="eastAsia" w:ascii="宋体" w:hAnsi="宋体" w:eastAsia="宋体" w:cs="宋体"/>
                <w:color w:val="auto"/>
                <w:sz w:val="20"/>
                <w:szCs w:val="20"/>
              </w:rPr>
            </w:pPr>
            <w:r>
              <w:rPr>
                <w:rFonts w:ascii="宋体" w:hAnsi="宋体" w:eastAsia="宋体" w:cs="宋体"/>
                <w:color w:val="auto"/>
                <w:kern w:val="0"/>
                <w:sz w:val="20"/>
                <w:szCs w:val="20"/>
                <w:lang w:val="en-US" w:eastAsia="zh-CN" w:bidi="ar"/>
              </w:rPr>
              <w:t>主体班培训期数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20期</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rPr>
                <w:rFonts w:hint="eastAsia" w:ascii="宋体" w:hAnsi="宋体" w:eastAsia="宋体" w:cs="宋体"/>
                <w:color w:val="000000"/>
                <w:sz w:val="20"/>
                <w:szCs w:val="20"/>
              </w:rPr>
            </w:pPr>
            <w:r>
              <w:rPr>
                <w:rFonts w:ascii="宋体" w:hAnsi="宋体" w:eastAsia="宋体" w:cs="宋体"/>
                <w:kern w:val="0"/>
                <w:sz w:val="20"/>
                <w:szCs w:val="20"/>
                <w:lang w:val="en-US" w:eastAsia="zh-CN" w:bidi="ar"/>
              </w:rPr>
              <w:t>主体班次合格率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left"/>
              <w:rPr>
                <w:rFonts w:hint="eastAsia" w:ascii="宋体" w:hAnsi="宋体" w:eastAsia="宋体" w:cs="宋体"/>
                <w:color w:val="000000"/>
                <w:sz w:val="20"/>
                <w:szCs w:val="20"/>
              </w:rPr>
            </w:pPr>
            <w:r>
              <w:rPr>
                <w:rFonts w:ascii="宋体" w:hAnsi="宋体" w:eastAsia="宋体" w:cs="宋体"/>
                <w:kern w:val="0"/>
                <w:sz w:val="20"/>
                <w:szCs w:val="20"/>
                <w:lang w:val="en-US" w:eastAsia="zh-CN" w:bidi="ar"/>
              </w:rPr>
              <w:t>每期培训成本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0.5万元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left"/>
              <w:rPr>
                <w:rFonts w:hint="eastAsia" w:ascii="宋体" w:hAnsi="宋体" w:eastAsia="宋体" w:cs="宋体"/>
                <w:color w:val="000000"/>
                <w:sz w:val="20"/>
                <w:szCs w:val="20"/>
              </w:rPr>
            </w:pPr>
            <w:r>
              <w:rPr>
                <w:rFonts w:ascii="宋体" w:hAnsi="宋体" w:eastAsia="宋体" w:cs="宋体"/>
                <w:kern w:val="0"/>
                <w:sz w:val="20"/>
                <w:szCs w:val="20"/>
                <w:lang w:val="en-US" w:eastAsia="zh-CN" w:bidi="ar"/>
              </w:rPr>
              <w:t>班次按时完成率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left"/>
              <w:rPr>
                <w:rFonts w:hint="eastAsia" w:ascii="宋体" w:hAnsi="宋体" w:eastAsia="宋体" w:cs="宋体"/>
                <w:color w:val="000000"/>
                <w:sz w:val="20"/>
                <w:szCs w:val="20"/>
              </w:rPr>
            </w:pPr>
            <w:r>
              <w:rPr>
                <w:rFonts w:ascii="宋体" w:hAnsi="宋体" w:eastAsia="宋体" w:cs="宋体"/>
                <w:kern w:val="0"/>
                <w:sz w:val="20"/>
                <w:szCs w:val="20"/>
                <w:lang w:val="en-US" w:eastAsia="zh-CN" w:bidi="ar"/>
              </w:rPr>
              <w:t>培训学员理论素质提高率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left"/>
              <w:rPr>
                <w:rFonts w:hint="eastAsia" w:ascii="宋体" w:hAnsi="宋体" w:eastAsia="宋体" w:cs="宋体"/>
                <w:color w:val="000000"/>
                <w:sz w:val="20"/>
                <w:szCs w:val="20"/>
              </w:rPr>
            </w:pPr>
            <w:r>
              <w:rPr>
                <w:rFonts w:ascii="宋体" w:hAnsi="宋体" w:eastAsia="宋体" w:cs="宋体"/>
                <w:kern w:val="0"/>
                <w:sz w:val="20"/>
                <w:szCs w:val="20"/>
                <w:lang w:val="en-US" w:eastAsia="zh-CN" w:bidi="ar"/>
              </w:rPr>
              <w:t>学员满意度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90%</w:t>
            </w:r>
          </w:p>
        </w:tc>
      </w:tr>
    </w:tbl>
    <w:p>
      <w:pPr>
        <w:jc w:val="center"/>
        <w:rPr>
          <w:rFonts w:eastAsia="黑体"/>
          <w:sz w:val="36"/>
          <w:szCs w:val="36"/>
        </w:rPr>
      </w:pPr>
      <w:r>
        <w:rPr>
          <w:rFonts w:hint="eastAsia" w:eastAsia="楷体"/>
          <w:kern w:val="0"/>
          <w:szCs w:val="32"/>
        </w:rPr>
        <w:br w:type="page"/>
      </w: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480.51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480.51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65.51</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人员退休，结约开支，</w:t>
      </w:r>
      <w:r>
        <w:rPr>
          <w:rFonts w:hint="eastAsia" w:ascii="仿宋" w:hAnsi="仿宋" w:eastAsia="仿宋" w:cs="仿宋"/>
          <w:b w:val="0"/>
          <w:bCs w:val="0"/>
          <w:sz w:val="32"/>
          <w:szCs w:val="32"/>
          <w:lang w:val="en-US" w:eastAsia="zh-CN"/>
        </w:rPr>
        <w:t>励行节俭</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480.51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480.51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480.51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480.51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459.71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95.67</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4.33</w:t>
      </w:r>
      <w:r>
        <w:rPr>
          <w:rFonts w:hint="eastAsia" w:ascii="仿宋_GB2312" w:hAnsi="仿宋_GB2312" w:eastAsia="仿宋_GB2312" w:cs="仿宋_GB2312"/>
          <w:szCs w:val="32"/>
        </w:rPr>
        <w:t>%；事业单位经营支出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480.51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480.51</w:t>
      </w:r>
      <w:r>
        <w:rPr>
          <w:rFonts w:hint="eastAsia" w:ascii="仿宋_GB2312" w:hAnsi="仿宋_GB2312" w:eastAsia="仿宋_GB2312" w:cs="仿宋_GB2312"/>
          <w:szCs w:val="32"/>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363.18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61.7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19.75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35.88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480.51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459.71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95.67</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4.33</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435.71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94.78</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4.22</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000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000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363.18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75.58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培训及人员工资</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000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000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61.7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12.84</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养老保险职业年金及其他养老支出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000</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35.88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7.47</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单位职工住房公积金支出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459.71</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435.71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177.3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9.66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32.43</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绩效工资79.8万元，</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lang w:val="en-US" w:eastAsia="zh-CN"/>
        </w:rPr>
        <w:t>61.7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lang w:val="en-US" w:eastAsia="zh-CN"/>
        </w:rPr>
        <w:t>19.75万元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lang w:val="en-US" w:eastAsia="zh-CN"/>
        </w:rPr>
        <w:t>35.88</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10.9万元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cs="仿宋_GB2312"/>
          <w:kern w:val="0"/>
          <w:szCs w:val="32"/>
          <w:lang w:val="en-US" w:eastAsia="zh-CN"/>
        </w:rPr>
        <w:t>0.9万元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cs="仿宋_GB2312"/>
          <w:kern w:val="0"/>
          <w:szCs w:val="32"/>
          <w:lang w:val="en-US" w:eastAsia="zh-CN"/>
        </w:rPr>
        <w:t>0.85万元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lang w:val="en-US" w:eastAsia="zh-CN"/>
        </w:rPr>
        <w:t>0.9万元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lang w:val="en-US" w:eastAsia="zh-CN"/>
        </w:rPr>
        <w:t>1.5万元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cs="仿宋_GB2312"/>
          <w:kern w:val="0"/>
          <w:szCs w:val="32"/>
          <w:lang w:val="en-US" w:eastAsia="zh-CN"/>
        </w:rPr>
        <w:t>3万元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劳务费3.96</w:t>
      </w:r>
      <w:r>
        <w:rPr>
          <w:rFonts w:hint="eastAsia" w:ascii="仿宋_GB2312" w:hAnsi="仿宋_GB2312" w:cs="仿宋_GB2312"/>
          <w:kern w:val="0"/>
          <w:szCs w:val="32"/>
          <w:lang w:val="en-US" w:eastAsia="zh-CN"/>
        </w:rPr>
        <w:t>万元</w:t>
      </w:r>
      <w:r>
        <w:rPr>
          <w:rFonts w:hint="eastAsia" w:ascii="仿宋_GB2312" w:hAnsi="仿宋_GB2312" w:cs="仿宋_GB2312"/>
          <w:szCs w:val="32"/>
          <w:lang w:val="en-US" w:eastAsia="zh-CN"/>
        </w:rPr>
        <w:t>、办公设备购置3.5</w:t>
      </w:r>
      <w:r>
        <w:rPr>
          <w:rFonts w:hint="eastAsia" w:ascii="仿宋_GB2312" w:hAnsi="仿宋_GB2312" w:cs="仿宋_GB2312"/>
          <w:kern w:val="0"/>
          <w:szCs w:val="32"/>
          <w:lang w:val="en-US" w:eastAsia="zh-CN"/>
        </w:rPr>
        <w:t>万元、</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00</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eastAsia="zh-CN"/>
        </w:rPr>
        <w:t>0</w:t>
      </w:r>
      <w:bookmarkStart w:id="0" w:name="_GoBack"/>
      <w:bookmarkEnd w:id="0"/>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00</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0</w:t>
      </w:r>
      <w:r>
        <w:rPr>
          <w:rFonts w:hint="eastAsia" w:ascii="仿宋_GB2312" w:hAnsi="仿宋_GB2312" w:eastAsia="仿宋_GB2312" w:cs="仿宋_GB2312"/>
          <w:szCs w:val="32"/>
        </w:rPr>
        <w:t>；公务用车购置费</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00</w:t>
      </w:r>
      <w:r>
        <w:rPr>
          <w:rFonts w:hint="eastAsia" w:ascii="仿宋_GB2312" w:hAnsi="仿宋_GB2312" w:eastAsia="仿宋_GB2312" w:cs="仿宋_GB2312"/>
          <w:szCs w:val="32"/>
        </w:rPr>
        <w:t>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 w:hAnsi="仿宋" w:eastAsia="仿宋" w:cs="仿宋"/>
          <w:b w:val="0"/>
          <w:bCs w:val="0"/>
          <w:szCs w:val="32"/>
        </w:rPr>
      </w:pPr>
      <w:r>
        <w:rPr>
          <w:rFonts w:hint="eastAsia" w:ascii="仿宋" w:hAnsi="仿宋" w:eastAsia="仿宋" w:cs="仿宋"/>
          <w:b w:val="0"/>
          <w:bCs w:val="0"/>
          <w:szCs w:val="32"/>
        </w:rPr>
        <w:t>202</w:t>
      </w:r>
      <w:r>
        <w:rPr>
          <w:rFonts w:hint="eastAsia" w:ascii="仿宋" w:hAnsi="仿宋" w:eastAsia="仿宋" w:cs="仿宋"/>
          <w:b w:val="0"/>
          <w:bCs w:val="0"/>
          <w:szCs w:val="32"/>
          <w:lang w:val="en-US" w:eastAsia="zh-CN"/>
        </w:rPr>
        <w:t>4</w:t>
      </w:r>
      <w:r>
        <w:rPr>
          <w:rFonts w:hint="eastAsia" w:ascii="仿宋" w:hAnsi="仿宋" w:eastAsia="仿宋" w:cs="仿宋"/>
          <w:b w:val="0"/>
          <w:bCs w:val="0"/>
          <w:szCs w:val="32"/>
        </w:rPr>
        <w:t>年本部门</w:t>
      </w:r>
      <w:r>
        <w:rPr>
          <w:rFonts w:hint="eastAsia" w:ascii="仿宋" w:hAnsi="仿宋" w:eastAsia="仿宋" w:cs="仿宋"/>
          <w:b w:val="0"/>
          <w:bCs w:val="0"/>
          <w:szCs w:val="32"/>
          <w:lang w:val="en-US" w:eastAsia="zh-CN"/>
        </w:rPr>
        <w:t>无</w:t>
      </w:r>
      <w:r>
        <w:rPr>
          <w:rFonts w:hint="eastAsia" w:ascii="仿宋" w:hAnsi="仿宋" w:eastAsia="仿宋" w:cs="仿宋"/>
          <w:b w:val="0"/>
          <w:bCs w:val="0"/>
          <w:szCs w:val="32"/>
        </w:rPr>
        <w:t>政府性基金预算支出</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hint="eastAsia" w:ascii="仿宋" w:hAnsi="仿宋" w:eastAsia="仿宋" w:cs="仿宋"/>
          <w:b w:val="0"/>
          <w:bCs w:val="0"/>
          <w:szCs w:val="32"/>
          <w:lang w:val="en-US" w:eastAsia="zh-CN"/>
        </w:rPr>
        <w:t>2024年本部门无国有资本经营预算支出</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本部门无</w:t>
      </w:r>
      <w:r>
        <w:rPr>
          <w:rFonts w:hint="eastAsia" w:ascii="仿宋_GB2312" w:hAnsi="仿宋_GB2312" w:eastAsia="仿宋_GB2312" w:cs="仿宋_GB2312"/>
          <w:szCs w:val="32"/>
        </w:rPr>
        <w:t>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5960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eastAsia="zh-CN"/>
        </w:rPr>
        <w:t>0</w:t>
      </w:r>
      <w:r>
        <w:rPr>
          <w:rFonts w:hint="eastAsia" w:ascii="仿宋_GB2312" w:hAnsi="仿宋_GB2312" w:eastAsia="仿宋_GB2312" w:cs="仿宋_GB2312"/>
          <w:szCs w:val="32"/>
        </w:rPr>
        <w:t>台/套。</w:t>
      </w:r>
    </w:p>
    <w:p>
      <w:pPr>
        <w:numPr>
          <w:ilvl w:val="0"/>
          <w:numId w:val="3"/>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20.8</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20.8</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2</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20.8</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w:t>
      </w:r>
      <w:r>
        <w:rPr>
          <w:rFonts w:hint="eastAsia" w:eastAsia="楷体"/>
          <w:szCs w:val="32"/>
          <w:lang w:eastAsia="zh-CN"/>
        </w:rPr>
        <w:t>0</w:t>
      </w:r>
      <w:r>
        <w:rPr>
          <w:rFonts w:eastAsia="楷体"/>
          <w:szCs w:val="32"/>
        </w:rPr>
        <w:t>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600000000000000"/>
    <w:charset w:val="86"/>
    <w:family w:val="auto"/>
    <w:pitch w:val="default"/>
    <w:sig w:usb0="00000000" w:usb1="00000000" w:usb2="00000012" w:usb3="00000000" w:csb0="00160001" w:csb1="1203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6"/>
      <w:framePr w:wrap="around" w:vAnchor="text" w:hAnchor="margin" w:xAlign="center" w:y="1"/>
      <w:ind w:right="360"/>
      <w:rPr>
        <w:rStyle w:val="13"/>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032769"/>
    <w:multiLevelType w:val="multilevel"/>
    <w:tmpl w:val="16032769"/>
    <w:lvl w:ilvl="0" w:tentative="0">
      <w:start w:val="1"/>
      <w:numFmt w:val="decimal"/>
      <w:lvlText w:val="%1、"/>
      <w:lvlJc w:val="left"/>
      <w:pPr>
        <w:ind w:left="1360" w:hanging="720"/>
      </w:pPr>
      <w:rPr>
        <w:rFonts w:hint="default"/>
        <w:b w:val="0"/>
        <w:color w:val="auto"/>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1BC207F7"/>
    <w:multiLevelType w:val="multilevel"/>
    <w:tmpl w:val="1BC207F7"/>
    <w:lvl w:ilvl="0" w:tentative="0">
      <w:start w:val="3"/>
      <w:numFmt w:val="decimal"/>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F91249"/>
    <w:rsid w:val="031D7D4B"/>
    <w:rsid w:val="03DF5055"/>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2B1AE9"/>
    <w:rsid w:val="0A334D52"/>
    <w:rsid w:val="0ABA06FE"/>
    <w:rsid w:val="0B5F5ADA"/>
    <w:rsid w:val="0B710869"/>
    <w:rsid w:val="0C2A5C84"/>
    <w:rsid w:val="0DA001B0"/>
    <w:rsid w:val="0DB6446C"/>
    <w:rsid w:val="0DEB170B"/>
    <w:rsid w:val="0E4C7841"/>
    <w:rsid w:val="0E89790C"/>
    <w:rsid w:val="0F3E0406"/>
    <w:rsid w:val="0F8B592F"/>
    <w:rsid w:val="0FD62F63"/>
    <w:rsid w:val="107728C7"/>
    <w:rsid w:val="10AE7F82"/>
    <w:rsid w:val="10C93B35"/>
    <w:rsid w:val="11177619"/>
    <w:rsid w:val="112605C8"/>
    <w:rsid w:val="12E711B7"/>
    <w:rsid w:val="136D62BD"/>
    <w:rsid w:val="13F21722"/>
    <w:rsid w:val="1441443C"/>
    <w:rsid w:val="14BF37B5"/>
    <w:rsid w:val="14C12787"/>
    <w:rsid w:val="15593E10"/>
    <w:rsid w:val="159F7E25"/>
    <w:rsid w:val="15F848D0"/>
    <w:rsid w:val="160E1FA5"/>
    <w:rsid w:val="160F2600"/>
    <w:rsid w:val="16AD7890"/>
    <w:rsid w:val="17765BCA"/>
    <w:rsid w:val="17A027D8"/>
    <w:rsid w:val="184B2512"/>
    <w:rsid w:val="1A817DF8"/>
    <w:rsid w:val="1ADC594E"/>
    <w:rsid w:val="1AEB5252"/>
    <w:rsid w:val="1C852172"/>
    <w:rsid w:val="1CA40C0C"/>
    <w:rsid w:val="1CFF4A32"/>
    <w:rsid w:val="1D833200"/>
    <w:rsid w:val="1E2D59A2"/>
    <w:rsid w:val="1E3A3FD0"/>
    <w:rsid w:val="1EB55C07"/>
    <w:rsid w:val="1F351A10"/>
    <w:rsid w:val="1FED47E9"/>
    <w:rsid w:val="206816AC"/>
    <w:rsid w:val="21793343"/>
    <w:rsid w:val="22A4003E"/>
    <w:rsid w:val="22E30B13"/>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305006"/>
    <w:rsid w:val="29C45F24"/>
    <w:rsid w:val="2B123A12"/>
    <w:rsid w:val="2B541844"/>
    <w:rsid w:val="2DF8796C"/>
    <w:rsid w:val="2EB22F18"/>
    <w:rsid w:val="2EE12108"/>
    <w:rsid w:val="2EED35E3"/>
    <w:rsid w:val="2F250383"/>
    <w:rsid w:val="2F63610B"/>
    <w:rsid w:val="2F9137EA"/>
    <w:rsid w:val="300965A3"/>
    <w:rsid w:val="30730D6E"/>
    <w:rsid w:val="30B91A70"/>
    <w:rsid w:val="32CF2C5D"/>
    <w:rsid w:val="335402B5"/>
    <w:rsid w:val="339466B2"/>
    <w:rsid w:val="33B13778"/>
    <w:rsid w:val="34555AF5"/>
    <w:rsid w:val="34B539DD"/>
    <w:rsid w:val="35616772"/>
    <w:rsid w:val="35EA1663"/>
    <w:rsid w:val="364C598E"/>
    <w:rsid w:val="36CC2B0F"/>
    <w:rsid w:val="371A614D"/>
    <w:rsid w:val="37AE6686"/>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0C2BF7"/>
    <w:rsid w:val="3C29381E"/>
    <w:rsid w:val="3C6B2D42"/>
    <w:rsid w:val="3C711E1D"/>
    <w:rsid w:val="3C7F463D"/>
    <w:rsid w:val="3CAE3960"/>
    <w:rsid w:val="3CC50AAA"/>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72190"/>
    <w:rsid w:val="499F5C68"/>
    <w:rsid w:val="4AF16062"/>
    <w:rsid w:val="4B646DDD"/>
    <w:rsid w:val="4B7F44F8"/>
    <w:rsid w:val="4BAC24C5"/>
    <w:rsid w:val="4BFA0656"/>
    <w:rsid w:val="4C5567C9"/>
    <w:rsid w:val="4D730507"/>
    <w:rsid w:val="4D741DD3"/>
    <w:rsid w:val="4DC93207"/>
    <w:rsid w:val="4E2A22FD"/>
    <w:rsid w:val="4E8D5761"/>
    <w:rsid w:val="4EC168D6"/>
    <w:rsid w:val="4EF54A85"/>
    <w:rsid w:val="4F6F75D9"/>
    <w:rsid w:val="4F811213"/>
    <w:rsid w:val="501B3C66"/>
    <w:rsid w:val="504B40C5"/>
    <w:rsid w:val="50987DC2"/>
    <w:rsid w:val="50A4703E"/>
    <w:rsid w:val="5136104F"/>
    <w:rsid w:val="51E55C99"/>
    <w:rsid w:val="52071113"/>
    <w:rsid w:val="52447C09"/>
    <w:rsid w:val="525A440D"/>
    <w:rsid w:val="54741940"/>
    <w:rsid w:val="54810E66"/>
    <w:rsid w:val="54C2556E"/>
    <w:rsid w:val="55480EEF"/>
    <w:rsid w:val="559000C4"/>
    <w:rsid w:val="56570E30"/>
    <w:rsid w:val="57AE5C26"/>
    <w:rsid w:val="57DD75A9"/>
    <w:rsid w:val="58256ABD"/>
    <w:rsid w:val="59472AC7"/>
    <w:rsid w:val="59BD150F"/>
    <w:rsid w:val="59DD570D"/>
    <w:rsid w:val="59FF5EDC"/>
    <w:rsid w:val="5A084708"/>
    <w:rsid w:val="5AB343F7"/>
    <w:rsid w:val="5ABF50F2"/>
    <w:rsid w:val="5ACA7CED"/>
    <w:rsid w:val="5ACB15E5"/>
    <w:rsid w:val="5AF76904"/>
    <w:rsid w:val="5B052E7A"/>
    <w:rsid w:val="5B3D7F7E"/>
    <w:rsid w:val="5B7C7777"/>
    <w:rsid w:val="5B9462A0"/>
    <w:rsid w:val="5BEC6771"/>
    <w:rsid w:val="5CA506B9"/>
    <w:rsid w:val="5CB37128"/>
    <w:rsid w:val="5CFD5FB2"/>
    <w:rsid w:val="5D2B52D8"/>
    <w:rsid w:val="5D5A7C63"/>
    <w:rsid w:val="5E256F6F"/>
    <w:rsid w:val="5F6235A9"/>
    <w:rsid w:val="614125C2"/>
    <w:rsid w:val="624C5C52"/>
    <w:rsid w:val="62FD3852"/>
    <w:rsid w:val="63952BB5"/>
    <w:rsid w:val="63DF08E4"/>
    <w:rsid w:val="64127E15"/>
    <w:rsid w:val="64C04AFD"/>
    <w:rsid w:val="661A7B69"/>
    <w:rsid w:val="664909C1"/>
    <w:rsid w:val="66C63EB5"/>
    <w:rsid w:val="6755715F"/>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0D5CB2"/>
    <w:rsid w:val="737664E0"/>
    <w:rsid w:val="73FE7ACC"/>
    <w:rsid w:val="74053F35"/>
    <w:rsid w:val="74556746"/>
    <w:rsid w:val="74AB7A24"/>
    <w:rsid w:val="76BB79B1"/>
    <w:rsid w:val="76C17E06"/>
    <w:rsid w:val="76CA67BD"/>
    <w:rsid w:val="774E6400"/>
    <w:rsid w:val="775B0046"/>
    <w:rsid w:val="78796248"/>
    <w:rsid w:val="796F33E6"/>
    <w:rsid w:val="79700BEF"/>
    <w:rsid w:val="79F85634"/>
    <w:rsid w:val="7A090695"/>
    <w:rsid w:val="7AE175F4"/>
    <w:rsid w:val="7B417685"/>
    <w:rsid w:val="7B5220F0"/>
    <w:rsid w:val="7BA169C0"/>
    <w:rsid w:val="7BE95D3C"/>
    <w:rsid w:val="7BF3675E"/>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7"/>
    <w:qFormat/>
    <w:uiPriority w:val="0"/>
    <w:rPr>
      <w:sz w:val="18"/>
      <w:szCs w:val="18"/>
    </w:rPr>
  </w:style>
  <w:style w:type="paragraph" w:styleId="6">
    <w:name w:val="footer"/>
    <w:basedOn w:val="1"/>
    <w:link w:val="18"/>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basedOn w:val="11"/>
    <w:qFormat/>
    <w:uiPriority w:val="0"/>
  </w:style>
  <w:style w:type="character" w:styleId="13">
    <w:name w:val="page number"/>
    <w:basedOn w:val="11"/>
    <w:qFormat/>
    <w:uiPriority w:val="0"/>
  </w:style>
  <w:style w:type="character" w:styleId="14">
    <w:name w:val="FollowedHyperlink"/>
    <w:basedOn w:val="11"/>
    <w:qFormat/>
    <w:uiPriority w:val="0"/>
    <w:rPr>
      <w:color w:val="800080"/>
      <w:u w:val="none"/>
    </w:rPr>
  </w:style>
  <w:style w:type="character" w:styleId="15">
    <w:name w:val="Emphasis"/>
    <w:basedOn w:val="11"/>
    <w:qFormat/>
    <w:uiPriority w:val="0"/>
  </w:style>
  <w:style w:type="character" w:styleId="16">
    <w:name w:val="Hyperlink"/>
    <w:basedOn w:val="11"/>
    <w:qFormat/>
    <w:uiPriority w:val="0"/>
    <w:rPr>
      <w:color w:val="0000FF"/>
      <w:u w:val="none"/>
    </w:rPr>
  </w:style>
  <w:style w:type="character" w:customStyle="1" w:styleId="17">
    <w:name w:val="批注框文本 字符"/>
    <w:link w:val="5"/>
    <w:qFormat/>
    <w:uiPriority w:val="0"/>
    <w:rPr>
      <w:rFonts w:eastAsia="仿宋_GB2312"/>
      <w:kern w:val="2"/>
      <w:sz w:val="18"/>
      <w:szCs w:val="18"/>
    </w:rPr>
  </w:style>
  <w:style w:type="character" w:customStyle="1" w:styleId="18">
    <w:name w:val="页脚 字符"/>
    <w:link w:val="6"/>
    <w:qFormat/>
    <w:uiPriority w:val="0"/>
    <w:rPr>
      <w:rFonts w:eastAsia="仿宋_GB2312"/>
      <w:kern w:val="2"/>
      <w:sz w:val="18"/>
    </w:rPr>
  </w:style>
  <w:style w:type="character" w:customStyle="1" w:styleId="19">
    <w:name w:val="font11"/>
    <w:qFormat/>
    <w:uiPriority w:val="0"/>
    <w:rPr>
      <w:rFonts w:hint="default" w:ascii="Arial" w:hAnsi="Arial" w:cs="Arial"/>
      <w:color w:val="000000"/>
      <w:sz w:val="24"/>
      <w:szCs w:val="24"/>
      <w:u w:val="none"/>
    </w:rPr>
  </w:style>
  <w:style w:type="character" w:customStyle="1" w:styleId="20">
    <w:name w:val="font61"/>
    <w:qFormat/>
    <w:uiPriority w:val="0"/>
    <w:rPr>
      <w:rFonts w:hint="eastAsia" w:ascii="宋体" w:hAnsi="宋体" w:eastAsia="宋体" w:cs="宋体"/>
      <w:color w:val="000000"/>
      <w:sz w:val="24"/>
      <w:szCs w:val="24"/>
      <w:u w:val="none"/>
    </w:rPr>
  </w:style>
  <w:style w:type="character" w:customStyle="1" w:styleId="21">
    <w:name w:val="font01"/>
    <w:qFormat/>
    <w:uiPriority w:val="0"/>
    <w:rPr>
      <w:rFonts w:hint="default" w:ascii="Times New Roman" w:hAnsi="Times New Roman" w:cs="Times New Roman"/>
      <w:color w:val="000000"/>
      <w:sz w:val="24"/>
      <w:szCs w:val="24"/>
      <w:u w:val="none"/>
    </w:rPr>
  </w:style>
  <w:style w:type="character" w:customStyle="1" w:styleId="22">
    <w:name w:val="font41"/>
    <w:qFormat/>
    <w:uiPriority w:val="0"/>
    <w:rPr>
      <w:rFonts w:hint="default" w:ascii="华文细黑" w:hAnsi="华文细黑" w:eastAsia="华文细黑" w:cs="华文细黑"/>
      <w:color w:val="000000"/>
      <w:sz w:val="20"/>
      <w:szCs w:val="20"/>
      <w:u w:val="none"/>
    </w:rPr>
  </w:style>
  <w:style w:type="character" w:customStyle="1" w:styleId="23">
    <w:name w:val="font21"/>
    <w:qFormat/>
    <w:uiPriority w:val="0"/>
    <w:rPr>
      <w:rFonts w:hint="default" w:ascii="Arial" w:hAnsi="Arial" w:cs="Arial"/>
      <w:color w:val="000000"/>
      <w:sz w:val="20"/>
      <w:szCs w:val="20"/>
      <w:u w:val="none"/>
    </w:rPr>
  </w:style>
  <w:style w:type="paragraph" w:customStyle="1" w:styleId="24">
    <w:name w:val="Char"/>
    <w:basedOn w:val="1"/>
    <w:qFormat/>
    <w:uiPriority w:val="0"/>
    <w:rPr>
      <w:rFonts w:eastAsia="宋体"/>
      <w:sz w:val="21"/>
      <w:szCs w:val="21"/>
    </w:rPr>
  </w:style>
  <w:style w:type="paragraph" w:customStyle="1" w:styleId="25">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7">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0">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3">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7">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正文文本 21"/>
    <w:basedOn w:val="1"/>
    <w:qFormat/>
    <w:uiPriority w:val="0"/>
    <w:pPr>
      <w:adjustRightInd w:val="0"/>
      <w:ind w:firstLine="630"/>
      <w:jc w:val="left"/>
      <w:textAlignment w:val="baseline"/>
    </w:pPr>
    <w:rPr>
      <w:rFonts w:eastAsia="黑体"/>
    </w:rPr>
  </w:style>
  <w:style w:type="paragraph" w:customStyle="1" w:styleId="40">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2">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p0"/>
    <w:basedOn w:val="1"/>
    <w:qFormat/>
    <w:uiPriority w:val="0"/>
    <w:pPr>
      <w:widowControl/>
    </w:pPr>
    <w:rPr>
      <w:rFonts w:eastAsia="宋体"/>
      <w:kern w:val="0"/>
      <w:szCs w:val="32"/>
    </w:rPr>
  </w:style>
  <w:style w:type="paragraph" w:customStyle="1" w:styleId="56">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8">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1">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4">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5">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0">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82">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3">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4">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5">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6">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87">
    <w:name w:val="not([class*=suffix])"/>
    <w:basedOn w:val="11"/>
    <w:uiPriority w:val="0"/>
    <w:rPr>
      <w:sz w:val="19"/>
      <w:szCs w:val="19"/>
    </w:rPr>
  </w:style>
  <w:style w:type="character" w:customStyle="1" w:styleId="88">
    <w:name w:val="not([class*=suffix])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31</Pages>
  <Words>7321</Words>
  <Characters>8552</Characters>
  <Lines>71</Lines>
  <Paragraphs>20</Paragraphs>
  <TotalTime>2</TotalTime>
  <ScaleCrop>false</ScaleCrop>
  <LinksUpToDate>false</LinksUpToDate>
  <CharactersWithSpaces>9116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2024-01-25T04:11:00Z</cp:lastPrinted>
  <dcterms:modified xsi:type="dcterms:W3CDTF">2024-01-29T03:18:20Z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