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980" w:firstLineChars="550"/>
        <w:rPr>
          <w:rFonts w:ascii="黑体" w:hAnsi="黑体" w:eastAsia="黑体"/>
          <w:sz w:val="36"/>
          <w:szCs w:val="36"/>
        </w:rPr>
      </w:pPr>
    </w:p>
    <w:p>
      <w:pPr>
        <w:ind w:firstLine="1980" w:firstLineChars="550"/>
        <w:rPr>
          <w:rFonts w:ascii="黑体" w:hAnsi="黑体" w:eastAsia="黑体"/>
          <w:sz w:val="36"/>
          <w:szCs w:val="36"/>
        </w:rPr>
      </w:pPr>
      <w:r>
        <w:rPr>
          <w:rFonts w:hint="eastAsia" w:ascii="黑体" w:hAnsi="黑体" w:eastAsia="黑体"/>
          <w:sz w:val="36"/>
          <w:szCs w:val="36"/>
        </w:rPr>
        <w:t>202</w:t>
      </w:r>
      <w:r>
        <w:rPr>
          <w:rFonts w:hint="eastAsia" w:ascii="黑体" w:hAnsi="黑体" w:eastAsia="黑体"/>
          <w:sz w:val="36"/>
          <w:szCs w:val="36"/>
          <w:lang w:val="en-US" w:eastAsia="zh-CN"/>
        </w:rPr>
        <w:t>4</w:t>
      </w:r>
      <w:r>
        <w:rPr>
          <w:rFonts w:hint="eastAsia" w:ascii="黑体" w:hAnsi="黑体" w:eastAsia="黑体"/>
          <w:sz w:val="36"/>
          <w:szCs w:val="36"/>
        </w:rPr>
        <w:t>年通榆县举借债务说明</w:t>
      </w:r>
    </w:p>
    <w:p>
      <w:pPr>
        <w:rPr>
          <w:rFonts w:ascii="黑体" w:hAnsi="黑体" w:eastAsia="黑体"/>
          <w:sz w:val="36"/>
          <w:szCs w:val="36"/>
        </w:rPr>
      </w:pPr>
    </w:p>
    <w:p>
      <w:pPr>
        <w:spacing w:line="576"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4</w:t>
      </w:r>
      <w:r>
        <w:rPr>
          <w:rFonts w:hint="eastAsia" w:ascii="仿宋" w:hAnsi="仿宋" w:eastAsia="仿宋" w:cs="仿宋"/>
          <w:sz w:val="32"/>
          <w:szCs w:val="32"/>
        </w:rPr>
        <w:t xml:space="preserve">年,在财政预算编制上, </w:t>
      </w:r>
      <w:r>
        <w:rPr>
          <w:rFonts w:hint="eastAsia" w:ascii="仿宋" w:hAnsi="仿宋" w:eastAsia="仿宋" w:cs="仿宋"/>
          <w:b w:val="0"/>
          <w:bCs w:val="0"/>
          <w:sz w:val="32"/>
          <w:szCs w:val="32"/>
          <w:lang w:val="en-US" w:eastAsia="zh-CN"/>
        </w:rPr>
        <w:t>高举中国特色社会主义伟大旗帜，坚持以习近平新时代中国特色社会主义思想为指导，深入学习贯彻习近平总书记在新时代推动东北全面振兴座会上的重要讲话精神，贯彻中央、省委经济工作会议精神，积极落实省、市经济工作部署，按照县委十六届十二次全会决策部署，紧扣市委“一三三四”高质量发展战略，落实县委构建“四大产业”集群，突出“一区三园”建设，努力打造“品</w:t>
      </w:r>
      <w:r>
        <w:rPr>
          <w:rFonts w:hint="eastAsia" w:ascii="仿宋" w:hAnsi="仿宋" w:eastAsia="仿宋" w:cs="仿宋"/>
          <w:b w:val="0"/>
          <w:bCs w:val="0"/>
          <w:sz w:val="32"/>
          <w:szCs w:val="32"/>
          <w:lang w:eastAsia="zh-CN"/>
        </w:rPr>
        <w:t>质</w:t>
      </w:r>
      <w:r>
        <w:rPr>
          <w:rFonts w:hint="eastAsia" w:ascii="仿宋" w:hAnsi="仿宋" w:eastAsia="仿宋" w:cs="仿宋"/>
          <w:b w:val="0"/>
          <w:bCs w:val="0"/>
          <w:sz w:val="32"/>
          <w:szCs w:val="32"/>
          <w:lang w:val="en-US" w:eastAsia="zh-CN"/>
        </w:rPr>
        <w:t>农业融合发展引领地、清洁能源开发装备聚集地、绿电消纳综合示范新高地、生态文化特色旅游目的地”部署</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充分发挥充分发挥财政职能作用，继续深化预算管理制度改革，提高财政科学化、精细化管理水平，切实防范和化解政府债务风险</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有效保障和改善民生</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为奋力建设社会主义现代化新通榆贡献力量。</w:t>
      </w:r>
    </w:p>
    <w:p>
      <w:pPr>
        <w:widowControl/>
        <w:spacing w:line="576" w:lineRule="exact"/>
        <w:ind w:firstLine="648" w:firstLineChars="200"/>
        <w:rPr>
          <w:rFonts w:hint="eastAsia" w:ascii="仿宋_GB2312" w:hAnsi="仿宋_GB2312" w:eastAsia="仿宋_GB2312" w:cs="仿宋_GB2312"/>
          <w:color w:val="000000"/>
          <w:kern w:val="0"/>
          <w:sz w:val="32"/>
          <w:szCs w:val="32"/>
        </w:rPr>
      </w:pPr>
      <w:r>
        <w:rPr>
          <w:rFonts w:hint="eastAsia" w:ascii="仿宋" w:hAnsi="仿宋" w:eastAsia="仿宋"/>
          <w:spacing w:val="2"/>
          <w:sz w:val="32"/>
          <w:szCs w:val="32"/>
          <w:lang w:val="en-US" w:eastAsia="zh-CN"/>
        </w:rPr>
        <w:t>2023年，</w:t>
      </w:r>
      <w:bookmarkStart w:id="0" w:name="_GoBack"/>
      <w:bookmarkEnd w:id="0"/>
      <w:r>
        <w:rPr>
          <w:rFonts w:ascii="仿宋" w:hAnsi="仿宋" w:eastAsia="仿宋"/>
          <w:spacing w:val="2"/>
          <w:sz w:val="32"/>
          <w:szCs w:val="32"/>
        </w:rPr>
        <w:t>省财政核定我县地方政府债务限额</w:t>
      </w:r>
      <w:r>
        <w:rPr>
          <w:rFonts w:hint="eastAsia" w:ascii="仿宋" w:hAnsi="仿宋" w:eastAsia="仿宋"/>
          <w:spacing w:val="2"/>
          <w:sz w:val="32"/>
          <w:szCs w:val="32"/>
          <w:lang w:val="en-US" w:eastAsia="zh-CN"/>
        </w:rPr>
        <w:t>639,050</w:t>
      </w:r>
      <w:r>
        <w:rPr>
          <w:rFonts w:ascii="仿宋" w:hAnsi="仿宋" w:eastAsia="仿宋"/>
          <w:spacing w:val="2"/>
          <w:sz w:val="32"/>
          <w:szCs w:val="32"/>
        </w:rPr>
        <w:t>万元，截止</w:t>
      </w:r>
      <w:r>
        <w:rPr>
          <w:rFonts w:hint="eastAsia" w:ascii="仿宋" w:hAnsi="仿宋" w:eastAsia="仿宋"/>
          <w:spacing w:val="2"/>
          <w:sz w:val="32"/>
          <w:szCs w:val="32"/>
        </w:rPr>
        <w:t>上</w:t>
      </w:r>
      <w:r>
        <w:rPr>
          <w:rFonts w:ascii="仿宋" w:hAnsi="仿宋" w:eastAsia="仿宋"/>
          <w:spacing w:val="2"/>
          <w:sz w:val="32"/>
          <w:szCs w:val="32"/>
        </w:rPr>
        <w:t>年末</w:t>
      </w:r>
      <w:r>
        <w:rPr>
          <w:rFonts w:hint="eastAsia" w:ascii="仿宋" w:hAnsi="仿宋" w:eastAsia="仿宋"/>
          <w:spacing w:val="2"/>
          <w:sz w:val="32"/>
          <w:szCs w:val="32"/>
        </w:rPr>
        <w:t>，</w:t>
      </w:r>
      <w:r>
        <w:rPr>
          <w:rFonts w:ascii="仿宋" w:hAnsi="仿宋" w:eastAsia="仿宋"/>
          <w:spacing w:val="2"/>
          <w:sz w:val="32"/>
          <w:szCs w:val="32"/>
        </w:rPr>
        <w:t>我县地方政府债务余额</w:t>
      </w:r>
      <w:r>
        <w:rPr>
          <w:rFonts w:hint="eastAsia" w:ascii="仿宋" w:hAnsi="仿宋" w:eastAsia="仿宋"/>
          <w:spacing w:val="2"/>
          <w:sz w:val="32"/>
          <w:szCs w:val="32"/>
          <w:lang w:val="en-US" w:eastAsia="zh-CN"/>
        </w:rPr>
        <w:t>637,941</w:t>
      </w:r>
      <w:r>
        <w:rPr>
          <w:rFonts w:ascii="仿宋" w:hAnsi="仿宋" w:eastAsia="仿宋"/>
          <w:spacing w:val="2"/>
          <w:sz w:val="32"/>
          <w:szCs w:val="32"/>
        </w:rPr>
        <w:t>万元</w:t>
      </w:r>
      <w:r>
        <w:rPr>
          <w:rFonts w:hint="eastAsia" w:ascii="仿宋" w:hAnsi="仿宋" w:eastAsia="仿宋"/>
          <w:spacing w:val="2"/>
          <w:sz w:val="32"/>
          <w:szCs w:val="32"/>
        </w:rPr>
        <w:t>(不含或有债务)</w:t>
      </w:r>
      <w:r>
        <w:rPr>
          <w:rFonts w:ascii="仿宋" w:hAnsi="仿宋" w:eastAsia="仿宋"/>
          <w:spacing w:val="2"/>
          <w:sz w:val="32"/>
          <w:szCs w:val="32"/>
        </w:rPr>
        <w:t>，</w:t>
      </w:r>
      <w:r>
        <w:rPr>
          <w:rFonts w:hint="eastAsia" w:ascii="仿宋" w:hAnsi="仿宋" w:eastAsia="仿宋"/>
          <w:spacing w:val="2"/>
          <w:sz w:val="32"/>
          <w:szCs w:val="32"/>
        </w:rPr>
        <w:t>地方政府债务控制在核定</w:t>
      </w:r>
      <w:r>
        <w:rPr>
          <w:rFonts w:ascii="仿宋" w:hAnsi="仿宋" w:eastAsia="仿宋"/>
          <w:spacing w:val="2"/>
          <w:sz w:val="32"/>
          <w:szCs w:val="32"/>
        </w:rPr>
        <w:t>限额</w:t>
      </w:r>
      <w:r>
        <w:rPr>
          <w:rFonts w:hint="eastAsia" w:ascii="仿宋" w:hAnsi="仿宋" w:eastAsia="仿宋"/>
          <w:spacing w:val="2"/>
          <w:sz w:val="32"/>
          <w:szCs w:val="32"/>
        </w:rPr>
        <w:t>内</w:t>
      </w:r>
      <w:r>
        <w:rPr>
          <w:rFonts w:ascii="仿宋" w:hAnsi="仿宋" w:eastAsia="仿宋"/>
          <w:spacing w:val="2"/>
          <w:sz w:val="32"/>
          <w:szCs w:val="32"/>
        </w:rPr>
        <w:t>。</w:t>
      </w:r>
      <w:r>
        <w:rPr>
          <w:rFonts w:hint="eastAsia" w:ascii="仿宋_GB2312" w:hAnsi="仿宋_GB2312" w:eastAsia="仿宋_GB2312" w:cs="仿宋_GB2312"/>
          <w:color w:val="000000"/>
          <w:kern w:val="0"/>
          <w:sz w:val="32"/>
          <w:szCs w:val="32"/>
        </w:rPr>
        <w:t>202</w:t>
      </w:r>
      <w:r>
        <w:rPr>
          <w:rFonts w:hint="eastAsia" w:ascii="仿宋_GB2312" w:hAnsi="仿宋_GB2312" w:eastAsia="仿宋_GB2312" w:cs="仿宋_GB2312"/>
          <w:color w:val="000000"/>
          <w:kern w:val="0"/>
          <w:sz w:val="32"/>
          <w:szCs w:val="32"/>
          <w:lang w:val="en-US" w:eastAsia="zh-CN"/>
        </w:rPr>
        <w:t>4</w:t>
      </w:r>
      <w:r>
        <w:rPr>
          <w:rFonts w:hint="eastAsia" w:ascii="仿宋_GB2312" w:hAnsi="仿宋_GB2312" w:eastAsia="仿宋_GB2312" w:cs="仿宋_GB2312"/>
          <w:color w:val="000000"/>
          <w:kern w:val="0"/>
          <w:sz w:val="32"/>
          <w:szCs w:val="32"/>
        </w:rPr>
        <w:t>年预计新增</w:t>
      </w:r>
      <w:r>
        <w:rPr>
          <w:rFonts w:hint="eastAsia" w:ascii="仿宋_GB2312" w:hAnsi="仿宋_GB2312" w:eastAsia="仿宋_GB2312" w:cs="仿宋_GB2312"/>
          <w:color w:val="000000"/>
          <w:kern w:val="0"/>
          <w:sz w:val="32"/>
          <w:szCs w:val="32"/>
          <w:lang w:val="en-US" w:eastAsia="zh-CN"/>
        </w:rPr>
        <w:t>一般债券28,000万元，专项债券18,000万元，</w:t>
      </w:r>
      <w:r>
        <w:rPr>
          <w:rFonts w:hint="eastAsia" w:ascii="仿宋_GB2312" w:hAnsi="仿宋_GB2312" w:eastAsia="仿宋_GB2312" w:cs="仿宋_GB2312"/>
          <w:color w:val="000000"/>
          <w:kern w:val="0"/>
          <w:sz w:val="32"/>
          <w:szCs w:val="32"/>
        </w:rPr>
        <w:t>地方政府债券(再融资)资金</w:t>
      </w:r>
      <w:r>
        <w:rPr>
          <w:rFonts w:hint="eastAsia" w:ascii="仿宋_GB2312" w:hAnsi="仿宋_GB2312" w:eastAsia="仿宋_GB2312" w:cs="仿宋_GB2312"/>
          <w:color w:val="000000"/>
          <w:kern w:val="0"/>
          <w:sz w:val="32"/>
          <w:szCs w:val="32"/>
          <w:lang w:val="en-US" w:eastAsia="zh-CN"/>
        </w:rPr>
        <w:t>46,573</w:t>
      </w:r>
      <w:r>
        <w:rPr>
          <w:rFonts w:hint="eastAsia" w:ascii="仿宋_GB2312" w:hAnsi="仿宋_GB2312" w:eastAsia="仿宋_GB2312" w:cs="仿宋_GB2312"/>
          <w:color w:val="000000"/>
          <w:kern w:val="0"/>
          <w:sz w:val="32"/>
          <w:szCs w:val="32"/>
        </w:rPr>
        <w:t>万元，202</w:t>
      </w:r>
      <w:r>
        <w:rPr>
          <w:rFonts w:hint="eastAsia" w:ascii="仿宋_GB2312" w:hAnsi="仿宋_GB2312" w:eastAsia="仿宋_GB2312" w:cs="仿宋_GB2312"/>
          <w:color w:val="000000"/>
          <w:kern w:val="0"/>
          <w:sz w:val="32"/>
          <w:szCs w:val="32"/>
          <w:lang w:val="en-US" w:eastAsia="zh-CN"/>
        </w:rPr>
        <w:t>4</w:t>
      </w:r>
      <w:r>
        <w:rPr>
          <w:rFonts w:hint="eastAsia" w:ascii="仿宋_GB2312" w:hAnsi="仿宋_GB2312" w:eastAsia="仿宋_GB2312" w:cs="仿宋_GB2312"/>
          <w:color w:val="000000"/>
          <w:kern w:val="0"/>
          <w:sz w:val="32"/>
          <w:szCs w:val="32"/>
        </w:rPr>
        <w:t>年政府债务限额省财政暂未下达</w:t>
      </w:r>
      <w:r>
        <w:rPr>
          <w:rFonts w:hint="eastAsia" w:ascii="仿宋_GB2312" w:hAnsi="仿宋_GB2312" w:eastAsia="仿宋_GB2312" w:cs="仿宋_GB2312"/>
          <w:color w:val="000000"/>
          <w:kern w:val="0"/>
          <w:sz w:val="32"/>
          <w:szCs w:val="32"/>
          <w:lang w:val="en-US" w:eastAsia="zh-CN"/>
        </w:rPr>
        <w:t>(预算数)</w:t>
      </w:r>
      <w:r>
        <w:rPr>
          <w:rFonts w:hint="eastAsia" w:ascii="仿宋_GB2312" w:hAnsi="仿宋_GB2312" w:eastAsia="仿宋_GB2312" w:cs="仿宋_GB2312"/>
          <w:color w:val="000000"/>
          <w:kern w:val="0"/>
          <w:sz w:val="32"/>
          <w:szCs w:val="32"/>
        </w:rPr>
        <w:t>。</w:t>
      </w:r>
    </w:p>
    <w:p>
      <w:pPr>
        <w:spacing w:line="480" w:lineRule="auto"/>
        <w:rPr>
          <w:rFonts w:asciiTheme="minorEastAsia" w:hAnsiTheme="minorEastAsia"/>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2MxY2ZlMDI3OTJhNmM4NmZiODBhOGRlNDQyY2YwYWUifQ=="/>
  </w:docVars>
  <w:rsids>
    <w:rsidRoot w:val="009D4CB0"/>
    <w:rsid w:val="0009265B"/>
    <w:rsid w:val="00124A41"/>
    <w:rsid w:val="0018211D"/>
    <w:rsid w:val="002A5AF6"/>
    <w:rsid w:val="003F25DB"/>
    <w:rsid w:val="00477A58"/>
    <w:rsid w:val="0059605E"/>
    <w:rsid w:val="005F7621"/>
    <w:rsid w:val="00795F1F"/>
    <w:rsid w:val="008F45EB"/>
    <w:rsid w:val="00905E57"/>
    <w:rsid w:val="009B08EA"/>
    <w:rsid w:val="009B11A3"/>
    <w:rsid w:val="009D4CB0"/>
    <w:rsid w:val="009E08FE"/>
    <w:rsid w:val="00D4081A"/>
    <w:rsid w:val="00E80712"/>
    <w:rsid w:val="00FD4D89"/>
    <w:rsid w:val="00FE39F4"/>
    <w:rsid w:val="02AC373D"/>
    <w:rsid w:val="145A4809"/>
    <w:rsid w:val="434D6C47"/>
    <w:rsid w:val="6B0F258D"/>
    <w:rsid w:val="738A478A"/>
    <w:rsid w:val="79F804CC"/>
    <w:rsid w:val="7B1B78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Char"/>
    <w:basedOn w:val="1"/>
    <w:qFormat/>
    <w:uiPriority w:val="0"/>
    <w:pPr>
      <w:widowControl/>
      <w:spacing w:after="160" w:line="240" w:lineRule="exact"/>
      <w:jc w:val="left"/>
    </w:pPr>
    <w:rPr>
      <w:rFonts w:ascii="Times New Roman" w:hAnsi="Times New Roman" w:eastAsia="宋体" w:cs="Times New Roman"/>
      <w:color w:val="000000"/>
      <w:kern w:val="0"/>
      <w:szCs w:val="20"/>
    </w:r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456</Words>
  <Characters>495</Characters>
  <Lines>3</Lines>
  <Paragraphs>1</Paragraphs>
  <TotalTime>18</TotalTime>
  <ScaleCrop>false</ScaleCrop>
  <LinksUpToDate>false</LinksUpToDate>
  <CharactersWithSpaces>496</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2017-03-23T07:40:00Z</dcterms:created>
  <dc:creator>Administrator</dc:creator>
  <cp:lastModifiedBy>lenovo</cp:lastModifiedBy>
  <dcterms:modified xsi:type="dcterms:W3CDTF">2024-02-21T06:52:43Z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0810612D1EDE40BE9CDB5A394A56EDDA</vt:lpwstr>
  </property>
</Properties>
</file>