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w:t>
      </w:r>
      <w:bookmarkStart w:id="0" w:name="_GoBack"/>
      <w:bookmarkEnd w:id="0"/>
      <w:r>
        <w:rPr>
          <w:rFonts w:eastAsia="黑体"/>
        </w:rPr>
        <w:t>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eastAsia="zh-CN"/>
        </w:rPr>
      </w:pPr>
      <w:r>
        <w:rPr>
          <w:rFonts w:hint="eastAsia" w:eastAsia="方正小标宋简体"/>
          <w:sz w:val="44"/>
          <w:szCs w:val="44"/>
          <w:lang w:eastAsia="zh-CN"/>
        </w:rPr>
        <w:t>通榆县八区街道综合服务中心</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22</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r>
        <w:tab/>
      </w:r>
      <w:r>
        <w:tab/>
      </w:r>
      <w:r>
        <w:tab/>
      </w:r>
      <w:r>
        <w:tab/>
      </w:r>
      <w:r>
        <w:tab/>
      </w:r>
      <w:r>
        <w:tab/>
      </w: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640" w:firstLineChars="200"/>
        <w:jc w:val="center"/>
        <w:rPr>
          <w:rFonts w:eastAsia="黑体"/>
        </w:rPr>
      </w:pPr>
      <w:r>
        <w:rPr>
          <w:rFonts w:eastAsia="黑体"/>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40" w:firstLineChars="200"/>
        <w:jc w:val="lef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通榆县八区街道综合服务中心，为隶属于通榆县八区街道办事处的公益一类事业单位。承担文化、体育、劳动和社会保障、卫生健康、退役军人保障等服务工作;负责行政审批服务窗口具体事务性工作;完成街道党工委、办事处交办的其他任务。</w:t>
      </w:r>
    </w:p>
    <w:p>
      <w:pPr>
        <w:ind w:firstLine="640" w:firstLineChars="200"/>
      </w:pPr>
      <w:r>
        <w:rPr>
          <w:rFonts w:eastAsia="楷体_GB2312"/>
        </w:rPr>
        <w:t>二、机构设置</w:t>
      </w:r>
    </w:p>
    <w:p>
      <w:pPr>
        <w:pStyle w:val="51"/>
        <w:ind w:firstLine="640" w:firstLineChars="200"/>
        <w:rPr>
          <w:rFonts w:hint="eastAsia" w:eastAsia="仿宋_GB2312"/>
        </w:rPr>
      </w:pPr>
      <w:r>
        <w:rPr>
          <w:rFonts w:hint="eastAsia" w:eastAsia="仿宋_GB2312"/>
        </w:rPr>
        <w:t>根据所承担的工作职责和编制总量，通榆县八区街道综合服务中心设3个内设机构。</w:t>
      </w:r>
    </w:p>
    <w:p>
      <w:pPr>
        <w:pStyle w:val="51"/>
        <w:ind w:firstLine="640" w:firstLineChars="200"/>
        <w:rPr>
          <w:rFonts w:hint="eastAsia" w:eastAsia="仿宋_GB2312"/>
        </w:rPr>
      </w:pPr>
      <w:r>
        <w:rPr>
          <w:rFonts w:hint="eastAsia" w:eastAsia="仿宋_GB2312"/>
        </w:rPr>
        <w:t>(一)综合科。负责协助社区日常工作的开展;承担社会事务、公共服务等日常工作。牵头落实“最多跑一次”改革向基层延伸各项工作，负责便民服务“四个平台”的维护和管理，协助社区建设。承担辖区内下放权限行政审批服务事项办理和企业项目代办等社会民生事项服务，以及涉及多部门办理事项的综合协调、满意度测评等工作。承办街道党工委、办事处、上级业务部门交办的其他事项。</w:t>
      </w:r>
    </w:p>
    <w:p>
      <w:pPr>
        <w:pStyle w:val="51"/>
        <w:ind w:firstLine="640" w:firstLineChars="200"/>
        <w:rPr>
          <w:rFonts w:hint="eastAsia" w:eastAsia="仿宋_GB2312"/>
        </w:rPr>
      </w:pPr>
      <w:r>
        <w:rPr>
          <w:rFonts w:hint="eastAsia" w:eastAsia="仿宋_GB2312"/>
        </w:rPr>
        <w:t>(二)事务科。负责协助街道做好辖区内老旧小区改造、小区物业管理、辖区环境卫生、棚户区改造、协调拆迁拆违、和谐街道建设、社区建设等工作。承办街道党工委、办事处交办的其他事项。</w:t>
      </w:r>
    </w:p>
    <w:p>
      <w:pPr>
        <w:pStyle w:val="51"/>
        <w:ind w:firstLine="640" w:firstLineChars="200"/>
        <w:rPr>
          <w:rFonts w:hint="eastAsia" w:eastAsia="仿宋_GB2312"/>
        </w:rPr>
      </w:pPr>
      <w:r>
        <w:rPr>
          <w:rFonts w:hint="eastAsia" w:eastAsia="仿宋_GB2312"/>
        </w:rPr>
        <w:t>(三)退役军人服务站。协助开展退役军人和其他优抚对象信息数据采集、资料管理、汇总分析等工作:协助做好信息服务管理工作:完成退役军人事务局交办的其他工作。</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r>
        <w:rPr>
          <w:rFonts w:eastAsia="黑体"/>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44"/>
                <w:szCs w:val="44"/>
              </w:rPr>
              <w:t>收支</w:t>
            </w:r>
            <w:r>
              <w:rPr>
                <w:rFonts w:hint="eastAsia" w:eastAsia="方正小标宋简体"/>
                <w:kern w:val="0"/>
                <w:sz w:val="44"/>
                <w:szCs w:val="44"/>
              </w:rPr>
              <w:t>总</w:t>
            </w:r>
            <w:r>
              <w:rPr>
                <w:rFonts w:eastAsia="方正小标宋简体"/>
                <w:kern w:val="0"/>
                <w:sz w:val="44"/>
                <w:szCs w:val="44"/>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022</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022</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108.46</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sz w:val="20"/>
              </w:rPr>
              <w:t>三、国防支出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kern w:val="0"/>
                <w:sz w:val="20"/>
              </w:rPr>
              <w:t>……</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r>
    </w:tbl>
    <w:p>
      <w:pPr>
        <w:ind w:firstLine="640" w:firstLineChars="200"/>
        <w:rPr>
          <w:rFonts w:eastAsia="楷体_GB2312"/>
          <w:strike/>
        </w:rPr>
      </w:pPr>
    </w:p>
    <w:p>
      <w:pPr>
        <w:ind w:firstLine="640" w:firstLineChars="200"/>
        <w:rPr>
          <w:rFonts w:eastAsia="楷体_GB2312"/>
        </w:rPr>
      </w:pPr>
    </w:p>
    <w:p>
      <w:pPr>
        <w:ind w:firstLine="645"/>
        <w:rPr>
          <w:rFonts w:hint="eastAsia" w:hAnsi="楷体" w:eastAsia="楷体"/>
          <w:lang w:val="en-US" w:eastAsia="zh-CN"/>
        </w:rPr>
      </w:pPr>
      <w:r>
        <w:rPr>
          <w:rFonts w:hint="eastAsia" w:hAnsi="楷体" w:eastAsia="楷体"/>
          <w:lang w:val="en-US" w:eastAsia="zh-CN"/>
        </w:rPr>
        <w:t xml:space="preserve"> </w:t>
      </w:r>
    </w:p>
    <w:p>
      <w:pPr>
        <w:ind w:firstLine="645"/>
        <w:rPr>
          <w:rFonts w:hint="eastAsia" w:hAnsi="楷体" w:eastAsia="楷体"/>
          <w:lang w:val="en-US" w:eastAsia="zh-CN"/>
        </w:rPr>
      </w:pPr>
    </w:p>
    <w:p>
      <w:pPr>
        <w:ind w:firstLine="645"/>
        <w:rPr>
          <w:rFonts w:eastAsia="楷体"/>
        </w:rPr>
      </w:pPr>
      <w:r>
        <w:rPr>
          <w:rFonts w:hAnsi="楷体" w:eastAsia="楷体"/>
        </w:rPr>
        <w:br w:type="page"/>
      </w:r>
    </w:p>
    <w:p>
      <w:pPr>
        <w:jc w:val="center"/>
        <w:rPr>
          <w:rFonts w:eastAsia="方正小标宋简体"/>
          <w:sz w:val="44"/>
        </w:rPr>
      </w:pPr>
      <w:r>
        <w:rPr>
          <w:rFonts w:eastAsia="方正小标宋简体"/>
          <w:sz w:val="44"/>
        </w:rPr>
        <w:t>收入</w:t>
      </w:r>
      <w:r>
        <w:rPr>
          <w:rFonts w:hint="eastAsia" w:eastAsia="方正小标宋简体"/>
          <w:sz w:val="44"/>
        </w:rPr>
        <w:t>总</w:t>
      </w:r>
      <w:r>
        <w:rPr>
          <w:rFonts w:eastAsia="方正小标宋简体"/>
          <w:sz w:val="44"/>
        </w:rPr>
        <w:t>表</w:t>
      </w:r>
    </w:p>
    <w:tbl>
      <w:tblPr>
        <w:tblStyle w:val="9"/>
        <w:tblW w:w="0" w:type="auto"/>
        <w:jc w:val="center"/>
        <w:tblLayout w:type="fixed"/>
        <w:tblCellMar>
          <w:top w:w="0" w:type="dxa"/>
          <w:left w:w="108" w:type="dxa"/>
          <w:bottom w:w="0" w:type="dxa"/>
          <w:right w:w="108" w:type="dxa"/>
        </w:tblCellMar>
      </w:tblPr>
      <w:tblGrid>
        <w:gridCol w:w="428"/>
        <w:gridCol w:w="504"/>
        <w:gridCol w:w="585"/>
        <w:gridCol w:w="600"/>
        <w:gridCol w:w="559"/>
        <w:gridCol w:w="416"/>
        <w:gridCol w:w="416"/>
        <w:gridCol w:w="416"/>
        <w:gridCol w:w="416"/>
        <w:gridCol w:w="218"/>
        <w:gridCol w:w="198"/>
        <w:gridCol w:w="416"/>
        <w:gridCol w:w="447"/>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93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8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487"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9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8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932" w:type="dxa"/>
            <w:gridSpan w:val="2"/>
            <w:tcBorders>
              <w:left w:val="single" w:color="000000" w:sz="4" w:space="0"/>
              <w:right w:val="single" w:color="000000" w:sz="4" w:space="0"/>
            </w:tcBorders>
            <w:noWrap w:val="0"/>
            <w:vAlign w:val="center"/>
          </w:tcPr>
          <w:p>
            <w:pPr>
              <w:widowControl/>
              <w:jc w:val="center"/>
              <w:rPr>
                <w:rFonts w:hint="eastAsia" w:eastAsia="宋体"/>
                <w:color w:val="000000"/>
                <w:sz w:val="20"/>
                <w:lang w:eastAsia="zh-CN"/>
              </w:rPr>
            </w:pPr>
            <w:r>
              <w:rPr>
                <w:rFonts w:hint="eastAsia" w:eastAsia="宋体"/>
                <w:color w:val="000000"/>
                <w:sz w:val="20"/>
                <w:lang w:eastAsia="zh-CN"/>
              </w:rPr>
              <w:t>通榆县八区街道综合服务中心</w:t>
            </w:r>
          </w:p>
        </w:tc>
        <w:tc>
          <w:tcPr>
            <w:tcW w:w="5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108.46</w:t>
            </w:r>
          </w:p>
        </w:tc>
        <w:tc>
          <w:tcPr>
            <w:tcW w:w="60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108.46</w:t>
            </w:r>
          </w:p>
        </w:tc>
        <w:tc>
          <w:tcPr>
            <w:tcW w:w="55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108.46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4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93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93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93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93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93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93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932"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932"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108.46</w:t>
            </w: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108.46</w:t>
            </w:r>
          </w:p>
        </w:tc>
        <w:tc>
          <w:tcPr>
            <w:tcW w:w="5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108.46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
      <w:pPr>
        <w:ind w:firstLine="640" w:firstLineChars="200"/>
      </w:pPr>
    </w:p>
    <w:p>
      <w:pPr>
        <w:ind w:firstLine="640" w:firstLineChars="200"/>
        <w:rPr>
          <w:rFonts w:eastAsia="楷体"/>
        </w:rPr>
      </w:pPr>
      <w:r>
        <w:rPr>
          <w:rFonts w:hint="eastAsia" w:hAnsi="楷体" w:eastAsia="楷体"/>
          <w:lang w:val="en-US" w:eastAsia="zh-CN"/>
        </w:rPr>
        <w:t xml:space="preserve"> </w:t>
      </w: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44"/>
                <w:szCs w:val="44"/>
              </w:rPr>
              <w:t>支出</w:t>
            </w:r>
            <w:r>
              <w:rPr>
                <w:rFonts w:hint="eastAsia" w:eastAsia="方正小标宋简体"/>
                <w:kern w:val="0"/>
                <w:sz w:val="44"/>
                <w:szCs w:val="44"/>
              </w:rPr>
              <w:t>总</w:t>
            </w:r>
            <w:r>
              <w:rPr>
                <w:rFonts w:eastAsia="方正小标宋简体"/>
                <w:kern w:val="0"/>
                <w:sz w:val="44"/>
                <w:szCs w:val="44"/>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p>
                  <w:pPr>
                    <w:widowControl/>
                    <w:jc w:val="center"/>
                    <w:rPr>
                      <w:rFonts w:eastAsia="华文细黑"/>
                      <w:color w:val="000000"/>
                      <w:kern w:val="0"/>
                      <w:sz w:val="20"/>
                    </w:rPr>
                  </w:pPr>
                  <w:r>
                    <w:rPr>
                      <w:rFonts w:eastAsia="华文细黑"/>
                      <w:color w:val="000000"/>
                      <w:kern w:val="0"/>
                      <w:sz w:val="20"/>
                    </w:rPr>
                    <w:t>基本</w:t>
                  </w:r>
                </w:p>
                <w:p>
                  <w:pPr>
                    <w:widowControl/>
                    <w:jc w:val="center"/>
                    <w:rPr>
                      <w:rFonts w:eastAsia="华文细黑"/>
                      <w:color w:val="000000"/>
                      <w:kern w:val="0"/>
                      <w:sz w:val="20"/>
                    </w:rPr>
                  </w:pPr>
                  <w:r>
                    <w:rPr>
                      <w:rFonts w:eastAsia="华文细黑"/>
                      <w:color w:val="000000"/>
                      <w:kern w:val="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事业单位</w:t>
                  </w:r>
                </w:p>
                <w:p>
                  <w:pPr>
                    <w:widowControl/>
                    <w:jc w:val="center"/>
                    <w:rPr>
                      <w:rFonts w:hint="eastAsia" w:eastAsia="华文细黑"/>
                      <w:color w:val="000000"/>
                      <w:kern w:val="0"/>
                      <w:sz w:val="20"/>
                    </w:rPr>
                  </w:pPr>
                  <w:r>
                    <w:rPr>
                      <w:rFonts w:hint="eastAsia" w:eastAsia="华文细黑"/>
                      <w:color w:val="000000"/>
                      <w:kern w:val="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eastAsia="宋体"/>
                      <w:color w:val="000000"/>
                      <w:kern w:val="2"/>
                      <w:sz w:val="20"/>
                      <w:lang w:val="en-US" w:eastAsia="zh-CN" w:bidi="ar-SA"/>
                    </w:rPr>
                  </w:pPr>
                  <w:r>
                    <w:rPr>
                      <w:rFonts w:hint="eastAsia" w:eastAsia="宋体"/>
                      <w:color w:val="000000"/>
                      <w:sz w:val="20"/>
                      <w:lang w:val="en-US" w:eastAsia="zh-CN"/>
                    </w:rPr>
                    <w:t>108.46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bl>
          <w:p>
            <w:pPr>
              <w:widowControl/>
              <w:jc w:val="center"/>
              <w:rPr>
                <w:rFonts w:eastAsia="方正小标宋简体"/>
                <w:kern w:val="0"/>
                <w:sz w:val="44"/>
                <w:szCs w:val="44"/>
              </w:rPr>
            </w:pPr>
          </w:p>
        </w:tc>
      </w:tr>
    </w:tbl>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14"/>
              <w:gridCol w:w="837"/>
              <w:gridCol w:w="688"/>
              <w:gridCol w:w="1721"/>
              <w:gridCol w:w="864"/>
              <w:gridCol w:w="795"/>
              <w:gridCol w:w="693"/>
              <w:gridCol w:w="804"/>
              <w:gridCol w:w="772"/>
            </w:tblGrid>
            <w:tr>
              <w:trPr>
                <w:trHeight w:val="663" w:hRule="atLeast"/>
              </w:trPr>
              <w:tc>
                <w:tcPr>
                  <w:tcW w:w="9880" w:type="dxa"/>
                  <w:gridSpan w:val="10"/>
                  <w:tcBorders>
                    <w:top w:val="nil"/>
                    <w:left w:val="nil"/>
                    <w:bottom w:val="nil"/>
                    <w:right w:val="nil"/>
                  </w:tcBorders>
                  <w:noWrap w:val="0"/>
                  <w:vAlign w:val="center"/>
                </w:tcPr>
                <w:p>
                  <w:pPr>
                    <w:ind w:firstLine="2640" w:firstLineChars="600"/>
                    <w:rPr>
                      <w:rFonts w:eastAsia="方正小标宋简体"/>
                      <w:kern w:val="0"/>
                      <w:sz w:val="44"/>
                      <w:szCs w:val="44"/>
                    </w:rPr>
                  </w:pPr>
                  <w:r>
                    <w:rPr>
                      <w:rFonts w:eastAsia="方正小标宋简体"/>
                      <w:kern w:val="0"/>
                      <w:sz w:val="44"/>
                      <w:szCs w:val="44"/>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81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rPr>
                    <w:t>2</w:t>
                  </w:r>
                  <w:r>
                    <w:rPr>
                      <w:rFonts w:eastAsia="宋体"/>
                      <w:kern w:val="0"/>
                      <w:sz w:val="20"/>
                    </w:rPr>
                    <w:t>022</w:t>
                  </w:r>
                  <w:r>
                    <w:rPr>
                      <w:rFonts w:hint="eastAsia" w:eastAsia="宋体"/>
                      <w:kern w:val="0"/>
                      <w:sz w:val="20"/>
                    </w:rPr>
                    <w:t>年预算</w:t>
                  </w:r>
                  <w:r>
                    <w:rPr>
                      <w:rFonts w:hint="eastAsia" w:eastAsia="宋体"/>
                      <w:kern w:val="0"/>
                      <w:sz w:val="20"/>
                      <w:lang w:eastAsia="zh-CN"/>
                    </w:rPr>
                    <w:t>数</w:t>
                  </w:r>
                </w:p>
              </w:tc>
              <w:tc>
                <w:tcPr>
                  <w:tcW w:w="837"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rPr>
                    <w:t>2</w:t>
                  </w:r>
                  <w:r>
                    <w:rPr>
                      <w:rFonts w:eastAsia="宋体"/>
                      <w:kern w:val="0"/>
                      <w:sz w:val="20"/>
                    </w:rPr>
                    <w:t>022</w:t>
                  </w:r>
                  <w:r>
                    <w:rPr>
                      <w:rFonts w:hint="eastAsia" w:eastAsia="宋体"/>
                      <w:kern w:val="0"/>
                      <w:sz w:val="20"/>
                    </w:rPr>
                    <w:t>年预算</w:t>
                  </w:r>
                  <w:r>
                    <w:rPr>
                      <w:rFonts w:hint="eastAsia" w:eastAsia="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4"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37"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w:t>
                  </w:r>
                  <w:r>
                    <w:rPr>
                      <w:rFonts w:hint="eastAsia" w:eastAsia="宋体"/>
                      <w:kern w:val="0"/>
                      <w:sz w:val="20"/>
                      <w:lang w:val="en-US" w:eastAsia="zh-CN"/>
                    </w:rPr>
                    <w:t xml:space="preserve">  </w:t>
                  </w:r>
                  <w:r>
                    <w:rPr>
                      <w:rFonts w:hint="eastAsia" w:eastAsia="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108.46</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rPr>
                  </w:pPr>
                  <w:r>
                    <w:rPr>
                      <w:rFonts w:hint="eastAsia" w:eastAsia="宋体"/>
                      <w:kern w:val="0"/>
                      <w:sz w:val="20"/>
                      <w:lang w:val="en-US" w:eastAsia="zh-CN"/>
                    </w:rPr>
                    <w:t>108.46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一、一般公共服务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108.46</w:t>
                  </w: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108.46</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三、国防支出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kern w:val="0"/>
                      <w:sz w:val="20"/>
                    </w:rPr>
                    <w:t>……</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108.46</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108.46</w:t>
                  </w: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108.46</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3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9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108.46</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108.46</w:t>
                  </w: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20"/>
                    </w:rPr>
                  </w:pPr>
                  <w:r>
                    <w:rPr>
                      <w:rFonts w:eastAsia="方正小标宋简体"/>
                      <w:kern w:val="0"/>
                      <w:sz w:val="44"/>
                      <w:szCs w:val="44"/>
                    </w:rPr>
                    <w:t>一般公共预算</w:t>
                  </w:r>
                  <w:r>
                    <w:rPr>
                      <w:rFonts w:hint="eastAsia" w:eastAsia="方正小标宋简体"/>
                      <w:kern w:val="0"/>
                      <w:sz w:val="44"/>
                      <w:szCs w:val="44"/>
                    </w:rPr>
                    <w:t>支出</w:t>
                  </w:r>
                  <w:r>
                    <w:rPr>
                      <w:rFonts w:eastAsia="方正小标宋简体"/>
                      <w:kern w:val="0"/>
                      <w:sz w:val="44"/>
                      <w:szCs w:val="44"/>
                    </w:rPr>
                    <w:t>表</w:t>
                  </w: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106.46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106.46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0</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106.46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bl>
          <w:p>
            <w:pPr>
              <w:widowControl/>
              <w:jc w:val="center"/>
              <w:rPr>
                <w:rFonts w:eastAsia="方正小标宋简体"/>
                <w:kern w:val="0"/>
                <w:sz w:val="44"/>
                <w:szCs w:val="44"/>
              </w:rPr>
            </w:pPr>
          </w:p>
        </w:tc>
      </w:tr>
    </w:tbl>
    <w:p>
      <w:pPr>
        <w:ind w:firstLine="640" w:firstLineChars="200"/>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44"/>
                <w:szCs w:val="44"/>
              </w:rPr>
              <w:t>一般公共预算</w:t>
            </w:r>
            <w:r>
              <w:rPr>
                <w:rFonts w:hint="eastAsia" w:eastAsia="方正小标宋简体"/>
                <w:kern w:val="0"/>
                <w:sz w:val="44"/>
                <w:szCs w:val="44"/>
              </w:rPr>
              <w:t>基本</w:t>
            </w:r>
            <w:r>
              <w:rPr>
                <w:rFonts w:eastAsia="方正小标宋简体"/>
                <w:kern w:val="0"/>
                <w:sz w:val="44"/>
                <w:szCs w:val="44"/>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Ansi="华文细黑" w:eastAsia="华文细黑"/>
                <w:kern w:val="0"/>
                <w:sz w:val="20"/>
              </w:rPr>
              <w:t>　</w:t>
            </w:r>
            <w:r>
              <w:rPr>
                <w:rFonts w:hint="eastAsia" w:hAnsi="华文细黑" w:eastAsia="华文细黑"/>
                <w:kern w:val="0"/>
                <w:sz w:val="20"/>
              </w:rPr>
              <w:t>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Ansi="华文细黑" w:eastAsia="华文细黑"/>
                <w:kern w:val="0"/>
                <w:sz w:val="20"/>
              </w:rPr>
            </w:pPr>
            <w:r>
              <w:rPr>
                <w:rFonts w:hAnsi="华文细黑" w:eastAsia="华文细黑"/>
                <w:kern w:val="0"/>
                <w:sz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eastAsia="华文细黑"/>
                <w:kern w:val="0"/>
                <w:sz w:val="20"/>
              </w:rPr>
            </w:pPr>
            <w:r>
              <w:rPr>
                <w:rFonts w:eastAsia="华文细黑"/>
                <w:color w:val="000000"/>
                <w:kern w:val="0"/>
                <w:sz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pPr>
            <w:r>
              <w:rPr>
                <w:rFonts w:eastAsia="华文细黑"/>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r>
              <w:rPr>
                <w:rFonts w:eastAsia="华文细黑"/>
                <w:color w:val="000000"/>
                <w:kern w:val="0"/>
                <w:sz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106.46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45.2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eastAsia="宋体" w:cs="Times New Roman"/>
                <w:kern w:val="0"/>
                <w:sz w:val="20"/>
                <w:lang w:val="en-US" w:eastAsia="zh-CN"/>
              </w:rPr>
              <w:t>45.2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28.77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28.77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28.95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28.95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0</w:t>
            </w:r>
          </w:p>
        </w:tc>
      </w:tr>
    </w:tbl>
    <w:p>
      <w:pPr>
        <w:rPr>
          <w:sz w:val="16"/>
          <w:szCs w:val="16"/>
        </w:rPr>
      </w:pPr>
    </w:p>
    <w:p>
      <w:pPr>
        <w:rPr>
          <w:sz w:val="16"/>
          <w:szCs w:val="16"/>
        </w:rPr>
      </w:pPr>
    </w:p>
    <w:p>
      <w:pPr>
        <w:rPr>
          <w:sz w:val="16"/>
          <w:szCs w:val="16"/>
        </w:rPr>
      </w:pPr>
    </w:p>
    <w:p>
      <w:pPr>
        <w:ind w:firstLine="636"/>
        <w:rPr>
          <w:rFonts w:hAnsi="楷体" w:eastAsia="楷体"/>
        </w:rPr>
      </w:pPr>
    </w:p>
    <w:p>
      <w:pPr>
        <w:ind w:firstLine="636"/>
        <w:rPr>
          <w:rFonts w:hAnsi="楷体" w:eastAsia="楷体"/>
        </w:rPr>
      </w:pPr>
    </w:p>
    <w:p>
      <w:pPr>
        <w:ind w:firstLine="636"/>
        <w:rPr>
          <w:rFonts w:hAnsi="楷体" w:eastAsia="楷体"/>
        </w:rPr>
      </w:pPr>
    </w:p>
    <w:p>
      <w:pPr>
        <w:ind w:firstLine="636"/>
        <w:rPr>
          <w:rFonts w:hAnsi="楷体" w:eastAsia="楷体"/>
        </w:rPr>
      </w:pPr>
    </w:p>
    <w:p>
      <w:pPr>
        <w:ind w:firstLine="636"/>
        <w:rPr>
          <w:rFonts w:hAnsi="楷体" w:eastAsia="楷体"/>
        </w:rPr>
      </w:pP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eastAsia="方正小标宋简体"/>
                <w:color w:val="000000"/>
                <w:kern w:val="0"/>
                <w:sz w:val="44"/>
                <w:szCs w:val="44"/>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eastAsia="华文细黑"/>
                <w:color w:val="000000"/>
                <w:kern w:val="0"/>
                <w:sz w:val="20"/>
              </w:rPr>
              <w:t>20</w:t>
            </w:r>
            <w:r>
              <w:rPr>
                <w:rFonts w:hint="eastAsia" w:eastAsia="华文细黑"/>
                <w:color w:val="000000"/>
                <w:kern w:val="0"/>
                <w:sz w:val="20"/>
              </w:rPr>
              <w:t>22</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numPr>
                <w:ilvl w:val="0"/>
                <w:numId w:val="1"/>
              </w:numPr>
              <w:ind w:left="980" w:leftChars="0" w:firstLine="0" w:firstLineChars="0"/>
              <w:jc w:val="left"/>
              <w:rPr>
                <w:rFonts w:hint="eastAsia" w:eastAsia="宋体"/>
                <w:color w:val="000000"/>
                <w:kern w:val="0"/>
                <w:sz w:val="28"/>
                <w:szCs w:val="28"/>
                <w:lang w:eastAsia="zh-CN"/>
              </w:rPr>
            </w:pPr>
            <w:r>
              <w:rPr>
                <w:rFonts w:eastAsia="宋体"/>
                <w:color w:val="000000"/>
                <w:kern w:val="0"/>
                <w:sz w:val="28"/>
                <w:szCs w:val="28"/>
              </w:rPr>
              <w:t>“20</w:t>
            </w:r>
            <w:r>
              <w:rPr>
                <w:rFonts w:hint="eastAsia" w:eastAsia="宋体"/>
                <w:color w:val="000000"/>
                <w:kern w:val="0"/>
                <w:sz w:val="28"/>
                <w:szCs w:val="28"/>
              </w:rPr>
              <w:t>22</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lang w:val="en-US" w:eastAsia="zh-CN"/>
              </w:rPr>
              <w:t>1</w:t>
            </w:r>
            <w:r>
              <w:rPr>
                <w:color w:val="000000"/>
                <w:kern w:val="0"/>
                <w:sz w:val="28"/>
                <w:szCs w:val="28"/>
              </w:rPr>
              <w:t>个预算位。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“20</w:t>
            </w:r>
            <w:r>
              <w:rPr>
                <w:rFonts w:hint="eastAsia" w:eastAsia="宋体"/>
                <w:color w:val="000000"/>
                <w:kern w:val="0"/>
                <w:sz w:val="28"/>
                <w:szCs w:val="28"/>
              </w:rPr>
              <w:t>22</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8</w:t>
            </w:r>
            <w:r>
              <w:rPr>
                <w:color w:val="000000"/>
                <w:kern w:val="0"/>
                <w:sz w:val="28"/>
                <w:szCs w:val="28"/>
              </w:rPr>
              <w:t>人，其中：在职人员</w:t>
            </w:r>
            <w:r>
              <w:rPr>
                <w:rFonts w:hint="eastAsia"/>
                <w:color w:val="000000"/>
                <w:kern w:val="0"/>
                <w:sz w:val="28"/>
                <w:szCs w:val="28"/>
                <w:lang w:val="en-US" w:eastAsia="zh-CN"/>
              </w:rPr>
              <w:t>8</w:t>
            </w:r>
            <w:r>
              <w:rPr>
                <w:color w:val="000000"/>
                <w:kern w:val="0"/>
                <w:sz w:val="28"/>
                <w:szCs w:val="28"/>
              </w:rPr>
              <w:t>人，离退休人员</w:t>
            </w:r>
            <w:r>
              <w:rPr>
                <w:rFonts w:hint="eastAsia"/>
                <w:color w:val="000000"/>
                <w:kern w:val="0"/>
                <w:sz w:val="28"/>
                <w:szCs w:val="28"/>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3、按照吉林省财政厅《关于规范按权责发生制列支事项的通知》（吉财办〔2021〕900号）及《吉林省省级部门财政拨款结转和结余资金管理办法》（吉财预〔2021〕1120号）要求，2021年下达预算单位未支出在财政预算结转部分列入2022年年初预算，坚持“过紧日子”思想，在2022年“三公”经费预算中“上年结转”额度在2022年预算执行中由省财政统一收回，不再形成“三公经费”支出。</w:t>
            </w: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center"/>
              <w:rPr>
                <w:rFonts w:eastAsia="方正小标宋简体"/>
                <w:kern w:val="0"/>
                <w:sz w:val="44"/>
                <w:szCs w:val="44"/>
              </w:rPr>
            </w:pPr>
            <w:r>
              <w:rPr>
                <w:rFonts w:eastAsia="方正小标宋简体"/>
                <w:kern w:val="0"/>
                <w:sz w:val="44"/>
                <w:szCs w:val="44"/>
              </w:rPr>
              <w:t>政府性基金预算支出表</w:t>
            </w:r>
          </w:p>
          <w:p>
            <w:pPr>
              <w:widowControl/>
              <w:jc w:val="right"/>
              <w:rPr>
                <w:rFonts w:eastAsia="华文细黑"/>
                <w:color w:val="000000"/>
                <w:kern w:val="0"/>
                <w:sz w:val="20"/>
              </w:rPr>
            </w:pP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eastAsia="华文细黑"/>
                <w:color w:val="000000"/>
                <w:sz w:val="20"/>
              </w:rPr>
              <w:t>功能分类</w:t>
            </w:r>
          </w:p>
          <w:p>
            <w:pPr>
              <w:widowControl/>
              <w:jc w:val="center"/>
              <w:rPr>
                <w:rFonts w:eastAsia="华文细黑"/>
                <w:color w:val="000000"/>
                <w:kern w:val="0"/>
                <w:sz w:val="20"/>
              </w:rPr>
            </w:pPr>
            <w:r>
              <w:rPr>
                <w:rFonts w:eastAsia="华文细黑"/>
                <w:color w:val="000000"/>
                <w:sz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center"/>
              <w:rPr>
                <w:rFonts w:eastAsia="方正小标宋简体"/>
                <w:kern w:val="0"/>
                <w:sz w:val="44"/>
                <w:szCs w:val="44"/>
              </w:rPr>
            </w:pPr>
            <w:r>
              <w:rPr>
                <w:rFonts w:hint="eastAsia" w:eastAsia="方正小标宋简体"/>
                <w:kern w:val="0"/>
                <w:sz w:val="44"/>
                <w:szCs w:val="44"/>
              </w:rPr>
              <w:t>国有资本经营</w:t>
            </w:r>
            <w:r>
              <w:rPr>
                <w:rFonts w:eastAsia="方正小标宋简体"/>
                <w:kern w:val="0"/>
                <w:sz w:val="44"/>
                <w:szCs w:val="44"/>
              </w:rPr>
              <w:t>预算支出表</w:t>
            </w:r>
          </w:p>
          <w:p>
            <w:pPr>
              <w:widowControl/>
              <w:jc w:val="right"/>
              <w:rPr>
                <w:rFonts w:eastAsia="华文细黑"/>
                <w:color w:val="000000"/>
                <w:kern w:val="0"/>
                <w:sz w:val="20"/>
              </w:rPr>
            </w:pP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eastAsia="华文细黑"/>
                <w:color w:val="000000"/>
                <w:sz w:val="20"/>
              </w:rPr>
              <w:t>功能分类</w:t>
            </w:r>
          </w:p>
          <w:p>
            <w:pPr>
              <w:widowControl/>
              <w:jc w:val="center"/>
              <w:rPr>
                <w:rFonts w:eastAsia="华文细黑"/>
                <w:color w:val="000000"/>
                <w:kern w:val="0"/>
                <w:sz w:val="20"/>
              </w:rPr>
            </w:pPr>
            <w:r>
              <w:rPr>
                <w:rFonts w:eastAsia="华文细黑"/>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44"/>
                <w:szCs w:val="44"/>
              </w:rPr>
            </w:pPr>
            <w:r>
              <w:rPr>
                <w:rFonts w:hint="eastAsia" w:ascii="Calibri" w:hAnsi="Calibri" w:eastAsia="方正小标宋简体"/>
                <w:kern w:val="0"/>
                <w:sz w:val="44"/>
                <w:szCs w:val="44"/>
              </w:rPr>
              <w:t>项目支出</w:t>
            </w:r>
            <w:r>
              <w:rPr>
                <w:rFonts w:ascii="Calibri" w:hAnsi="Calibri" w:eastAsia="方正小标宋简体"/>
                <w:kern w:val="0"/>
                <w:sz w:val="44"/>
                <w:szCs w:val="44"/>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类型</w:t>
            </w:r>
          </w:p>
        </w:tc>
        <w:tc>
          <w:tcPr>
            <w:tcW w:w="2170" w:type="dxa"/>
            <w:gridSpan w:val="2"/>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项目名称</w:t>
            </w:r>
          </w:p>
        </w:tc>
        <w:tc>
          <w:tcPr>
            <w:tcW w:w="864"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w:t>
            </w:r>
          </w:p>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w:t>
            </w:r>
          </w:p>
        </w:tc>
        <w:tc>
          <w:tcPr>
            <w:tcW w:w="498"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628"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本年财政拨款</w:t>
            </w:r>
          </w:p>
        </w:tc>
        <w:tc>
          <w:tcPr>
            <w:tcW w:w="1694"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财政拨款结转</w:t>
            </w:r>
          </w:p>
        </w:tc>
        <w:tc>
          <w:tcPr>
            <w:tcW w:w="443" w:type="dxa"/>
            <w:vMerge w:val="restart"/>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财政专户</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管理资金</w:t>
            </w:r>
          </w:p>
        </w:tc>
        <w:tc>
          <w:tcPr>
            <w:tcW w:w="425" w:type="dxa"/>
            <w:vMerge w:val="restart"/>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一级项目</w:t>
            </w:r>
          </w:p>
        </w:tc>
        <w:tc>
          <w:tcPr>
            <w:tcW w:w="1107"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一般公共预算</w:t>
            </w:r>
          </w:p>
        </w:tc>
        <w:tc>
          <w:tcPr>
            <w:tcW w:w="554"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政府性</w:t>
            </w:r>
          </w:p>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21"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国有资本</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经营预算</w:t>
            </w:r>
          </w:p>
        </w:tc>
        <w:tc>
          <w:tcPr>
            <w:tcW w:w="564"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一般</w:t>
            </w: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公共</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32"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政府性</w:t>
            </w: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98"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国有资本经营</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443" w:type="dxa"/>
            <w:vMerge w:val="continue"/>
            <w:noWrap w:val="0"/>
            <w:vAlign w:val="center"/>
          </w:tcPr>
          <w:p>
            <w:pPr>
              <w:autoSpaceDN w:val="0"/>
              <w:jc w:val="center"/>
              <w:textAlignment w:val="center"/>
              <w:rPr>
                <w:rFonts w:ascii="Calibri" w:hAnsi="Calibri" w:eastAsia="华文细黑"/>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办公经费</w:t>
            </w:r>
          </w:p>
        </w:tc>
        <w:tc>
          <w:tcPr>
            <w:tcW w:w="1107"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办公费</w:t>
            </w:r>
          </w:p>
        </w:tc>
        <w:tc>
          <w:tcPr>
            <w:tcW w:w="864"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通榆县八区街道综合服务中心</w:t>
            </w:r>
          </w:p>
        </w:tc>
        <w:tc>
          <w:tcPr>
            <w:tcW w:w="498"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kern w:val="2"/>
                <w:sz w:val="20"/>
                <w:szCs w:val="22"/>
                <w:lang w:val="en-US" w:eastAsia="zh-CN" w:bidi="ar-SA"/>
              </w:rPr>
              <w:t>2</w:t>
            </w:r>
          </w:p>
        </w:tc>
        <w:tc>
          <w:tcPr>
            <w:tcW w:w="553"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kern w:val="2"/>
                <w:sz w:val="20"/>
                <w:szCs w:val="22"/>
                <w:lang w:val="en-US" w:eastAsia="zh-CN" w:bidi="ar-SA"/>
              </w:rPr>
              <w:t>2</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106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86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98"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5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5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21"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6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32"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98"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4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25" w:type="dxa"/>
            <w:noWrap w:val="0"/>
            <w:vAlign w:val="center"/>
          </w:tcPr>
          <w:p>
            <w:pPr>
              <w:autoSpaceDN w:val="0"/>
              <w:jc w:val="both"/>
              <w:textAlignment w:val="center"/>
              <w:rPr>
                <w:rFonts w:hint="eastAsia" w:ascii="Calibri" w:hAnsi="Calibri"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106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86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98"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5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5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21"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6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32"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98"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4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25" w:type="dxa"/>
            <w:noWrap w:val="0"/>
            <w:vAlign w:val="center"/>
          </w:tcPr>
          <w:p>
            <w:pPr>
              <w:autoSpaceDN w:val="0"/>
              <w:jc w:val="both"/>
              <w:textAlignment w:val="center"/>
              <w:rPr>
                <w:rFonts w:hint="eastAsia" w:ascii="Calibri" w:hAnsi="Calibri"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106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86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98"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5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5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21"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64"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32"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598"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43" w:type="dxa"/>
            <w:noWrap w:val="0"/>
            <w:vAlign w:val="center"/>
          </w:tcPr>
          <w:p>
            <w:pPr>
              <w:autoSpaceDN w:val="0"/>
              <w:jc w:val="both"/>
              <w:textAlignment w:val="center"/>
              <w:rPr>
                <w:rFonts w:hint="eastAsia" w:ascii="Calibri" w:hAnsi="Calibri" w:eastAsia="华文细黑" w:cs="Times New Roman"/>
                <w:color w:val="000000"/>
                <w:sz w:val="20"/>
                <w:szCs w:val="22"/>
              </w:rPr>
            </w:pPr>
          </w:p>
        </w:tc>
        <w:tc>
          <w:tcPr>
            <w:tcW w:w="425" w:type="dxa"/>
            <w:noWrap w:val="0"/>
            <w:vAlign w:val="center"/>
          </w:tcPr>
          <w:p>
            <w:pPr>
              <w:autoSpaceDN w:val="0"/>
              <w:jc w:val="both"/>
              <w:textAlignment w:val="center"/>
              <w:rPr>
                <w:rFonts w:hint="eastAsia" w:ascii="Calibri" w:hAnsi="Calibri"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1107"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8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498"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p>
        </w:tc>
        <w:tc>
          <w:tcPr>
            <w:tcW w:w="553"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hAnsi="楷体" w:eastAsia="楷体"/>
        </w:rPr>
      </w:pPr>
    </w:p>
    <w:p>
      <w:pPr>
        <w:ind w:firstLine="640" w:firstLineChars="200"/>
        <w:rPr>
          <w:rFonts w:hAnsi="楷体" w:eastAsia="楷体"/>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办公费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default" w:eastAsia="华文细黑"/>
                <w:color w:val="000000"/>
                <w:sz w:val="20"/>
                <w:lang w:val="en-US" w:eastAsia="zh-CN"/>
              </w:rPr>
            </w:pPr>
            <w:r>
              <w:rPr>
                <w:rFonts w:hint="eastAsia" w:eastAsia="华文细黑"/>
                <w:color w:val="000000"/>
                <w:sz w:val="20"/>
                <w:lang w:eastAsia="zh-CN"/>
              </w:rPr>
              <w:t>保证单位各项工作正常进行，购买日常需要的各种办公用品等。</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eastAsia="华文细黑"/>
                <w:color w:val="000000"/>
                <w:sz w:val="20"/>
                <w:lang w:val="en-US"/>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办公用品质量合格率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办公用品提供期限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ascii="宋体" w:hAnsi="宋体" w:eastAsia="宋体" w:cs="宋体"/>
                <w:color w:val="000000"/>
                <w:sz w:val="20"/>
              </w:rPr>
              <w:t>≦</w:t>
            </w:r>
            <w:r>
              <w:rPr>
                <w:rFonts w:hint="eastAsia" w:eastAsia="华文细黑"/>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来办事群众问题解决率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保证单位正常运行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12月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单位员工对办公经费使用情况的满意度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ascii="宋体" w:hAnsi="宋体" w:eastAsia="宋体" w:cs="宋体"/>
                <w:color w:val="000000"/>
                <w:sz w:val="20"/>
                <w:lang w:eastAsia="zh-CN"/>
              </w:rPr>
              <w:t>≧</w:t>
            </w:r>
            <w:r>
              <w:rPr>
                <w:rFonts w:hint="eastAsia" w:eastAsia="华文细黑"/>
                <w:color w:val="000000"/>
                <w:sz w:val="20"/>
                <w:lang w:val="en-US" w:eastAsia="zh-CN"/>
              </w:rPr>
              <w:t>90%</w:t>
            </w:r>
          </w:p>
        </w:tc>
      </w:tr>
    </w:tbl>
    <w:p>
      <w:pPr>
        <w:spacing w:line="700" w:lineRule="exact"/>
        <w:ind w:firstLine="560" w:firstLineChars="200"/>
        <w:rPr>
          <w:rFonts w:hint="eastAsia" w:eastAsia="楷体"/>
          <w:kern w:val="0"/>
          <w:sz w:val="28"/>
          <w:szCs w:val="28"/>
        </w:rPr>
      </w:pPr>
    </w:p>
    <w:p>
      <w:pPr>
        <w:spacing w:line="700" w:lineRule="exact"/>
        <w:rPr>
          <w:rFonts w:hint="eastAsia" w:eastAsia="楷体"/>
          <w:kern w:val="0"/>
          <w:sz w:val="28"/>
          <w:szCs w:val="28"/>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640" w:firstLineChars="200"/>
        <w:jc w:val="center"/>
        <w:rPr>
          <w:rFonts w:eastAsia="黑体"/>
        </w:rPr>
      </w:pPr>
      <w:r>
        <w:rPr>
          <w:rFonts w:eastAsia="黑体"/>
        </w:rPr>
        <w:t>第三部分 情况说明</w:t>
      </w:r>
    </w:p>
    <w:p>
      <w:pPr>
        <w:rPr>
          <w:rFonts w:eastAsia="仿宋"/>
          <w:szCs w:val="32"/>
        </w:rPr>
      </w:pPr>
    </w:p>
    <w:p>
      <w:pPr>
        <w:ind w:firstLine="640" w:firstLineChars="200"/>
        <w:rPr>
          <w:rFonts w:eastAsia="黑体"/>
          <w:szCs w:val="32"/>
        </w:rPr>
      </w:pPr>
      <w:r>
        <w:rPr>
          <w:rFonts w:eastAsia="黑体"/>
          <w:szCs w:val="32"/>
        </w:rPr>
        <w:t>一、20</w:t>
      </w:r>
      <w:r>
        <w:rPr>
          <w:rFonts w:hint="eastAsia" w:eastAsia="黑体"/>
          <w:szCs w:val="32"/>
        </w:rPr>
        <w:t>22</w:t>
      </w:r>
      <w:r>
        <w:rPr>
          <w:rFonts w:eastAsia="黑体"/>
          <w:szCs w:val="32"/>
        </w:rPr>
        <w:t>年收支预算总体情况</w:t>
      </w:r>
    </w:p>
    <w:p>
      <w:pPr>
        <w:ind w:firstLine="640" w:firstLineChars="20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体育与传媒支出、社会保障和就业支出、农林水支出、住房保障支出、结转下年支出等。20</w:t>
      </w:r>
      <w:r>
        <w:rPr>
          <w:rFonts w:hint="eastAsia"/>
          <w:szCs w:val="32"/>
        </w:rPr>
        <w:t>22</w:t>
      </w:r>
      <w:r>
        <w:rPr>
          <w:szCs w:val="32"/>
        </w:rPr>
        <w:t>年收支总预算</w:t>
      </w:r>
      <w:r>
        <w:rPr>
          <w:rFonts w:hint="eastAsia"/>
          <w:szCs w:val="32"/>
          <w:lang w:val="en-US" w:eastAsia="zh-CN"/>
        </w:rPr>
        <w:t>108.46</w:t>
      </w:r>
      <w:r>
        <w:rPr>
          <w:szCs w:val="32"/>
        </w:rPr>
        <w:t>万元</w:t>
      </w:r>
      <w:r>
        <w:rPr>
          <w:rFonts w:hint="eastAsia"/>
          <w:szCs w:val="32"/>
          <w:lang w:eastAsia="zh-CN"/>
        </w:rPr>
        <w:t>，其中：当年预算</w:t>
      </w:r>
      <w:r>
        <w:rPr>
          <w:rFonts w:hint="eastAsia"/>
          <w:szCs w:val="32"/>
          <w:lang w:val="en-US" w:eastAsia="zh-CN"/>
        </w:rPr>
        <w:t>108.46</w:t>
      </w:r>
      <w:r>
        <w:rPr>
          <w:rFonts w:hint="eastAsia"/>
          <w:szCs w:val="32"/>
          <w:lang w:eastAsia="zh-CN"/>
        </w:rPr>
        <w:t>万元；上年结转</w:t>
      </w:r>
      <w:r>
        <w:rPr>
          <w:rFonts w:hint="eastAsia"/>
          <w:szCs w:val="32"/>
          <w:lang w:val="en-US" w:eastAsia="zh-CN"/>
        </w:rPr>
        <w:t>0</w:t>
      </w:r>
      <w:r>
        <w:rPr>
          <w:rFonts w:hint="eastAsia"/>
          <w:szCs w:val="32"/>
          <w:lang w:eastAsia="zh-CN"/>
        </w:rPr>
        <w:t>万元。</w:t>
      </w:r>
      <w:r>
        <w:rPr>
          <w:rFonts w:hint="eastAsia"/>
          <w:szCs w:val="32"/>
          <w:lang w:val="en-US" w:eastAsia="zh-CN"/>
        </w:rPr>
        <w:t>2022年当年预算</w:t>
      </w:r>
      <w:r>
        <w:rPr>
          <w:szCs w:val="32"/>
        </w:rPr>
        <w:t>比20</w:t>
      </w:r>
      <w:r>
        <w:rPr>
          <w:rFonts w:hint="eastAsia"/>
          <w:szCs w:val="32"/>
        </w:rPr>
        <w:t>21</w:t>
      </w:r>
      <w:r>
        <w:rPr>
          <w:szCs w:val="32"/>
        </w:rPr>
        <w:t>年预算</w:t>
      </w:r>
      <w:r>
        <w:rPr>
          <w:rFonts w:hint="eastAsia"/>
          <w:szCs w:val="32"/>
          <w:lang w:eastAsia="zh-CN"/>
        </w:rPr>
        <w:t>增加</w:t>
      </w:r>
      <w:r>
        <w:rPr>
          <w:rFonts w:hint="eastAsia"/>
          <w:szCs w:val="32"/>
          <w:lang w:val="en-US" w:eastAsia="zh-CN"/>
        </w:rPr>
        <w:t>108.46</w:t>
      </w:r>
      <w:r>
        <w:rPr>
          <w:szCs w:val="32"/>
        </w:rPr>
        <w:t>万元，主要原因是</w:t>
      </w:r>
      <w:r>
        <w:rPr>
          <w:rFonts w:hint="eastAsia"/>
          <w:szCs w:val="32"/>
          <w:lang w:eastAsia="zh-CN"/>
        </w:rPr>
        <w:t>八区街道综合服务中心账户正式启用，将事业编人员编制落到八区街道综合服务中心，事业编人员工资等福利、经费都拨付到八区街道综合服务中心账户</w:t>
      </w:r>
      <w:r>
        <w:rPr>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rPr>
          <w:rFonts w:eastAsia="黑体"/>
          <w:szCs w:val="32"/>
        </w:rPr>
      </w:pPr>
      <w:r>
        <w:rPr>
          <w:rFonts w:eastAsia="楷体"/>
          <w:szCs w:val="30"/>
        </w:rPr>
        <w:br w:type="page"/>
      </w:r>
      <w:r>
        <w:rPr>
          <w:rFonts w:eastAsia="黑体"/>
          <w:szCs w:val="32"/>
        </w:rPr>
        <w:t>二、20</w:t>
      </w:r>
      <w:r>
        <w:rPr>
          <w:rFonts w:hint="eastAsia" w:eastAsia="黑体"/>
          <w:szCs w:val="32"/>
        </w:rPr>
        <w:t>22</w:t>
      </w:r>
      <w:r>
        <w:rPr>
          <w:rFonts w:eastAsia="黑体"/>
          <w:szCs w:val="32"/>
        </w:rPr>
        <w:t>年收入预算情况</w:t>
      </w:r>
    </w:p>
    <w:p>
      <w:pPr>
        <w:ind w:firstLine="640" w:firstLineChars="200"/>
        <w:rPr>
          <w:szCs w:val="32"/>
        </w:rPr>
      </w:pPr>
      <w:r>
        <w:rPr>
          <w:szCs w:val="32"/>
        </w:rPr>
        <w:t>20</w:t>
      </w:r>
      <w:r>
        <w:rPr>
          <w:rFonts w:hint="eastAsia"/>
          <w:szCs w:val="32"/>
        </w:rPr>
        <w:t>22</w:t>
      </w:r>
      <w:r>
        <w:rPr>
          <w:szCs w:val="32"/>
        </w:rPr>
        <w:t>年收入预算</w:t>
      </w:r>
      <w:r>
        <w:rPr>
          <w:rFonts w:hint="eastAsia"/>
          <w:szCs w:val="32"/>
          <w:lang w:val="en-US" w:eastAsia="zh-CN"/>
        </w:rPr>
        <w:t>108.46</w:t>
      </w:r>
      <w:r>
        <w:rPr>
          <w:szCs w:val="32"/>
        </w:rPr>
        <w:t>万元，其中：本年收入</w:t>
      </w:r>
      <w:r>
        <w:rPr>
          <w:rFonts w:hint="eastAsia"/>
          <w:szCs w:val="32"/>
          <w:lang w:val="en-US" w:eastAsia="zh-CN"/>
        </w:rPr>
        <w:t>108.46</w:t>
      </w:r>
      <w:r>
        <w:rPr>
          <w:szCs w:val="32"/>
        </w:rPr>
        <w:t>万元，占</w:t>
      </w:r>
      <w:r>
        <w:rPr>
          <w:rFonts w:hint="eastAsia"/>
          <w:szCs w:val="32"/>
          <w:lang w:val="en-US" w:eastAsia="zh-CN"/>
        </w:rPr>
        <w:t>100</w:t>
      </w:r>
      <w:r>
        <w:rPr>
          <w:szCs w:val="32"/>
        </w:rPr>
        <w:t>%。本年收入中，一般公共预算拨款收入</w:t>
      </w:r>
      <w:r>
        <w:rPr>
          <w:rFonts w:hint="eastAsia"/>
          <w:szCs w:val="32"/>
          <w:lang w:val="en-US" w:eastAsia="zh-CN"/>
        </w:rPr>
        <w:t>108.46</w:t>
      </w:r>
      <w:r>
        <w:rPr>
          <w:szCs w:val="32"/>
        </w:rPr>
        <w:t>万元，占</w:t>
      </w:r>
      <w:r>
        <w:rPr>
          <w:rFonts w:hint="eastAsia"/>
          <w:szCs w:val="32"/>
          <w:lang w:val="en-US" w:eastAsia="zh-CN"/>
        </w:rPr>
        <w:t>100</w:t>
      </w:r>
      <w:r>
        <w:rPr>
          <w:szCs w:val="32"/>
        </w:rPr>
        <w:t>%</w:t>
      </w:r>
      <w:r>
        <w:rPr>
          <w:rFonts w:hint="eastAsia"/>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黑体"/>
          <w:szCs w:val="32"/>
        </w:rPr>
      </w:pPr>
      <w:r>
        <w:rPr>
          <w:rFonts w:hint="eastAsia" w:eastAsia="楷体"/>
          <w:szCs w:val="30"/>
          <w:lang w:val="en-US" w:eastAsia="zh-CN"/>
        </w:rPr>
        <w:t xml:space="preserve"> </w:t>
      </w:r>
      <w:r>
        <w:rPr>
          <w:rFonts w:eastAsia="楷体"/>
          <w:szCs w:val="30"/>
        </w:rPr>
        <w:br w:type="page"/>
      </w:r>
      <w:r>
        <w:rPr>
          <w:rFonts w:eastAsia="黑体"/>
          <w:szCs w:val="32"/>
        </w:rPr>
        <w:t>三、20</w:t>
      </w:r>
      <w:r>
        <w:rPr>
          <w:rFonts w:hint="eastAsia" w:eastAsia="黑体"/>
          <w:szCs w:val="32"/>
        </w:rPr>
        <w:t>22</w:t>
      </w:r>
      <w:r>
        <w:rPr>
          <w:rFonts w:eastAsia="黑体"/>
          <w:szCs w:val="32"/>
        </w:rPr>
        <w:t>年支出预算情况</w:t>
      </w:r>
    </w:p>
    <w:p>
      <w:pPr>
        <w:ind w:firstLine="640" w:firstLineChars="200"/>
        <w:rPr>
          <w:szCs w:val="32"/>
        </w:rPr>
      </w:pPr>
      <w:r>
        <w:rPr>
          <w:szCs w:val="32"/>
        </w:rPr>
        <w:t>20</w:t>
      </w:r>
      <w:r>
        <w:rPr>
          <w:rFonts w:hint="eastAsia"/>
          <w:szCs w:val="32"/>
        </w:rPr>
        <w:t>22</w:t>
      </w:r>
      <w:r>
        <w:rPr>
          <w:szCs w:val="32"/>
        </w:rPr>
        <w:t>年支出预算</w:t>
      </w:r>
      <w:r>
        <w:rPr>
          <w:rFonts w:hint="eastAsia"/>
          <w:szCs w:val="32"/>
          <w:lang w:val="en-US" w:eastAsia="zh-CN"/>
        </w:rPr>
        <w:t>108.46</w:t>
      </w:r>
      <w:r>
        <w:rPr>
          <w:szCs w:val="32"/>
        </w:rPr>
        <w:t>万元，其中：基本支出</w:t>
      </w:r>
      <w:r>
        <w:rPr>
          <w:rFonts w:hint="eastAsia"/>
          <w:szCs w:val="32"/>
          <w:lang w:val="en-US" w:eastAsia="zh-CN"/>
        </w:rPr>
        <w:t>108.46</w:t>
      </w:r>
      <w:r>
        <w:rPr>
          <w:szCs w:val="32"/>
        </w:rPr>
        <w:t>万元，占</w:t>
      </w:r>
      <w:r>
        <w:rPr>
          <w:rFonts w:hint="eastAsia"/>
          <w:szCs w:val="32"/>
          <w:lang w:val="en-US" w:eastAsia="zh-CN"/>
        </w:rPr>
        <w:t>100</w:t>
      </w:r>
      <w:r>
        <w:rPr>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黑体"/>
          <w:szCs w:val="32"/>
        </w:rPr>
      </w:pPr>
      <w:r>
        <w:rPr>
          <w:rFonts w:hint="eastAsia" w:eastAsia="楷体"/>
          <w:szCs w:val="32"/>
          <w:lang w:val="en-US" w:eastAsia="zh-CN"/>
        </w:rPr>
        <w:t xml:space="preserve"> </w:t>
      </w:r>
      <w:r>
        <w:rPr>
          <w:rFonts w:eastAsia="楷体"/>
          <w:szCs w:val="32"/>
        </w:rPr>
        <w:br w:type="page"/>
      </w:r>
      <w:r>
        <w:rPr>
          <w:rFonts w:eastAsia="黑体"/>
          <w:szCs w:val="32"/>
        </w:rPr>
        <w:t>四、20</w:t>
      </w:r>
      <w:r>
        <w:rPr>
          <w:rFonts w:hint="eastAsia" w:eastAsia="黑体"/>
          <w:szCs w:val="32"/>
        </w:rPr>
        <w:t>22</w:t>
      </w:r>
      <w:r>
        <w:rPr>
          <w:rFonts w:eastAsia="黑体"/>
          <w:szCs w:val="32"/>
        </w:rPr>
        <w:t>年财政拨款收支预算情况</w:t>
      </w:r>
    </w:p>
    <w:p>
      <w:pPr>
        <w:ind w:firstLine="600"/>
        <w:rPr>
          <w:szCs w:val="32"/>
        </w:rPr>
      </w:pPr>
      <w:r>
        <w:rPr>
          <w:szCs w:val="32"/>
        </w:rPr>
        <w:t>20</w:t>
      </w:r>
      <w:r>
        <w:rPr>
          <w:rFonts w:hint="eastAsia"/>
          <w:szCs w:val="32"/>
        </w:rPr>
        <w:t>22</w:t>
      </w:r>
      <w:r>
        <w:rPr>
          <w:szCs w:val="32"/>
        </w:rPr>
        <w:t>年财政拨款收支总预算</w:t>
      </w:r>
      <w:r>
        <w:rPr>
          <w:rFonts w:hint="eastAsia"/>
          <w:szCs w:val="32"/>
          <w:lang w:val="en-US" w:eastAsia="zh-CN"/>
        </w:rPr>
        <w:t>108.46</w:t>
      </w:r>
      <w:r>
        <w:rPr>
          <w:szCs w:val="32"/>
        </w:rPr>
        <w:t>万元，其中：</w:t>
      </w:r>
      <w:r>
        <w:rPr>
          <w:rFonts w:hint="eastAsia"/>
          <w:szCs w:val="32"/>
        </w:rPr>
        <w:t>本年收入</w:t>
      </w:r>
      <w:r>
        <w:rPr>
          <w:rFonts w:hint="eastAsia"/>
          <w:szCs w:val="32"/>
          <w:lang w:val="en-US" w:eastAsia="zh-CN"/>
        </w:rPr>
        <w:t>108.46</w:t>
      </w:r>
      <w:r>
        <w:rPr>
          <w:szCs w:val="32"/>
        </w:rPr>
        <w:t>万元</w:t>
      </w:r>
      <w:r>
        <w:rPr>
          <w:rFonts w:hint="eastAsia"/>
          <w:szCs w:val="32"/>
        </w:rPr>
        <w:t>，上年结转</w:t>
      </w:r>
      <w:r>
        <w:rPr>
          <w:rFonts w:hint="eastAsia"/>
          <w:szCs w:val="32"/>
          <w:lang w:val="en-US" w:eastAsia="zh-CN"/>
        </w:rPr>
        <w:t>0</w:t>
      </w:r>
      <w:r>
        <w:rPr>
          <w:szCs w:val="32"/>
        </w:rPr>
        <w:t>万元</w:t>
      </w:r>
      <w:r>
        <w:rPr>
          <w:rFonts w:hint="eastAsia"/>
          <w:szCs w:val="32"/>
        </w:rPr>
        <w:t>。</w:t>
      </w:r>
      <w:r>
        <w:rPr>
          <w:szCs w:val="32"/>
        </w:rPr>
        <w:t>支出包括：</w:t>
      </w:r>
      <w:r>
        <w:rPr>
          <w:kern w:val="0"/>
          <w:szCs w:val="32"/>
        </w:rPr>
        <w:t>一般公共服务支出</w:t>
      </w:r>
      <w:r>
        <w:rPr>
          <w:rFonts w:hint="eastAsia"/>
          <w:szCs w:val="32"/>
          <w:lang w:val="en-US" w:eastAsia="zh-CN"/>
        </w:rPr>
        <w:t>108.46</w:t>
      </w:r>
      <w:r>
        <w:rPr>
          <w:szCs w:val="32"/>
        </w:rPr>
        <w:t>万元。</w:t>
      </w:r>
    </w:p>
    <w:p>
      <w:pPr>
        <w:ind w:firstLine="600"/>
        <w:rPr>
          <w:szCs w:val="32"/>
        </w:rPr>
      </w:pPr>
    </w:p>
    <w:p>
      <w:pPr>
        <w:ind w:firstLine="600"/>
        <w:rPr>
          <w:szCs w:val="32"/>
        </w:rPr>
      </w:pPr>
    </w:p>
    <w:p>
      <w:pPr>
        <w:ind w:firstLine="600"/>
        <w:rPr>
          <w:szCs w:val="32"/>
        </w:rPr>
      </w:pPr>
    </w:p>
    <w:p>
      <w:pPr>
        <w:ind w:firstLine="600"/>
        <w:rPr>
          <w:rFonts w:eastAsia="黑体"/>
          <w:szCs w:val="30"/>
        </w:rPr>
      </w:pPr>
      <w:r>
        <w:rPr>
          <w:rFonts w:eastAsia="楷体"/>
          <w:szCs w:val="32"/>
        </w:rPr>
        <w:br w:type="page"/>
      </w:r>
      <w:r>
        <w:rPr>
          <w:rFonts w:eastAsia="黑体"/>
          <w:szCs w:val="30"/>
        </w:rPr>
        <w:t>五、20</w:t>
      </w:r>
      <w:r>
        <w:rPr>
          <w:rFonts w:hint="eastAsia" w:eastAsia="黑体"/>
          <w:szCs w:val="30"/>
        </w:rPr>
        <w:t>22</w:t>
      </w:r>
      <w:r>
        <w:rPr>
          <w:rFonts w:eastAsia="黑体"/>
          <w:szCs w:val="30"/>
        </w:rPr>
        <w:t>年一般公共预算</w:t>
      </w:r>
      <w:r>
        <w:rPr>
          <w:rFonts w:hint="eastAsia" w:eastAsia="黑体"/>
          <w:szCs w:val="30"/>
        </w:rPr>
        <w:t>支出</w:t>
      </w:r>
      <w:r>
        <w:rPr>
          <w:rFonts w:eastAsia="黑体"/>
          <w:szCs w:val="30"/>
        </w:rPr>
        <w:t>情况</w:t>
      </w:r>
    </w:p>
    <w:p>
      <w:pPr>
        <w:spacing w:line="520" w:lineRule="exact"/>
        <w:ind w:firstLine="640" w:firstLineChars="200"/>
        <w:rPr>
          <w:szCs w:val="32"/>
        </w:rPr>
      </w:pPr>
      <w:r>
        <w:rPr>
          <w:szCs w:val="32"/>
        </w:rPr>
        <w:t>20</w:t>
      </w:r>
      <w:r>
        <w:rPr>
          <w:rFonts w:hint="eastAsia"/>
          <w:szCs w:val="32"/>
        </w:rPr>
        <w:t>22</w:t>
      </w:r>
      <w:r>
        <w:rPr>
          <w:szCs w:val="32"/>
        </w:rPr>
        <w:t>年一般公共预算拨款</w:t>
      </w:r>
      <w:r>
        <w:rPr>
          <w:rFonts w:hint="eastAsia"/>
          <w:szCs w:val="32"/>
          <w:lang w:val="en-US" w:eastAsia="zh-CN"/>
        </w:rPr>
        <w:t>108.46</w:t>
      </w:r>
      <w:r>
        <w:rPr>
          <w:szCs w:val="32"/>
        </w:rPr>
        <w:t>万元，其中：基本支出</w:t>
      </w:r>
      <w:r>
        <w:rPr>
          <w:rFonts w:hint="eastAsia"/>
          <w:szCs w:val="32"/>
          <w:lang w:val="en-US" w:eastAsia="zh-CN"/>
        </w:rPr>
        <w:t>108.46</w:t>
      </w:r>
      <w:r>
        <w:rPr>
          <w:szCs w:val="32"/>
        </w:rPr>
        <w:t>万元，占</w:t>
      </w:r>
      <w:r>
        <w:rPr>
          <w:rFonts w:hint="eastAsia"/>
          <w:szCs w:val="32"/>
          <w:lang w:val="en-US" w:eastAsia="zh-CN"/>
        </w:rPr>
        <w:t>100</w:t>
      </w:r>
      <w:r>
        <w:rPr>
          <w:szCs w:val="32"/>
        </w:rPr>
        <w:t>%。基本支出中，人员经费</w:t>
      </w:r>
      <w:r>
        <w:rPr>
          <w:rFonts w:hint="eastAsia"/>
          <w:szCs w:val="32"/>
          <w:lang w:val="en-US" w:eastAsia="zh-CN"/>
        </w:rPr>
        <w:t>106.46</w:t>
      </w:r>
      <w:r>
        <w:rPr>
          <w:szCs w:val="32"/>
        </w:rPr>
        <w:t>万元，占</w:t>
      </w:r>
      <w:r>
        <w:rPr>
          <w:rFonts w:hint="eastAsia"/>
          <w:szCs w:val="32"/>
          <w:lang w:val="en-US" w:eastAsia="zh-CN"/>
        </w:rPr>
        <w:t>98.16</w:t>
      </w:r>
      <w:r>
        <w:rPr>
          <w:szCs w:val="32"/>
        </w:rPr>
        <w:t>%；公用经费</w:t>
      </w:r>
      <w:r>
        <w:rPr>
          <w:rFonts w:hint="eastAsia"/>
          <w:szCs w:val="32"/>
          <w:lang w:val="en-US" w:eastAsia="zh-CN"/>
        </w:rPr>
        <w:t>2</w:t>
      </w:r>
      <w:r>
        <w:rPr>
          <w:szCs w:val="32"/>
        </w:rPr>
        <w:t>万元，占</w:t>
      </w:r>
      <w:r>
        <w:rPr>
          <w:rFonts w:hint="eastAsia"/>
          <w:szCs w:val="32"/>
          <w:lang w:val="en-US" w:eastAsia="zh-CN"/>
        </w:rPr>
        <w:t>1.84</w:t>
      </w:r>
      <w:r>
        <w:rPr>
          <w:szCs w:val="32"/>
        </w:rPr>
        <w:t>%。一般公共服务（类）支出</w:t>
      </w:r>
      <w:r>
        <w:rPr>
          <w:rFonts w:hint="eastAsia"/>
          <w:szCs w:val="32"/>
          <w:lang w:val="en-US" w:eastAsia="zh-CN"/>
        </w:rPr>
        <w:t>108.46</w:t>
      </w:r>
      <w:r>
        <w:rPr>
          <w:szCs w:val="32"/>
        </w:rPr>
        <w:t>万元，占</w:t>
      </w:r>
      <w:r>
        <w:rPr>
          <w:rFonts w:hint="eastAsia"/>
          <w:szCs w:val="32"/>
          <w:lang w:val="en-US" w:eastAsia="zh-CN"/>
        </w:rPr>
        <w:t>100</w:t>
      </w:r>
      <w:r>
        <w:rPr>
          <w:szCs w:val="32"/>
        </w:rPr>
        <w:t>%，主要用于</w:t>
      </w:r>
      <w:r>
        <w:rPr>
          <w:rFonts w:hint="eastAsia"/>
          <w:szCs w:val="32"/>
          <w:lang w:eastAsia="zh-CN"/>
        </w:rPr>
        <w:t>人员经费</w:t>
      </w:r>
      <w:r>
        <w:rPr>
          <w:szCs w:val="32"/>
        </w:rPr>
        <w:t>。</w:t>
      </w:r>
    </w:p>
    <w:p>
      <w:pPr>
        <w:spacing w:line="520" w:lineRule="exact"/>
        <w:ind w:firstLine="640" w:firstLineChars="200"/>
        <w:rPr>
          <w:rFonts w:eastAsia="黑体"/>
          <w:szCs w:val="32"/>
        </w:rPr>
      </w:pPr>
      <w:r>
        <w:rPr>
          <w:rFonts w:eastAsia="楷体"/>
          <w:szCs w:val="32"/>
        </w:rPr>
        <w:br w:type="page"/>
      </w:r>
      <w:r>
        <w:rPr>
          <w:rFonts w:eastAsia="黑体"/>
          <w:szCs w:val="32"/>
        </w:rPr>
        <w:t>六、20</w:t>
      </w:r>
      <w:r>
        <w:rPr>
          <w:rFonts w:hint="eastAsia" w:eastAsia="黑体"/>
          <w:szCs w:val="32"/>
        </w:rPr>
        <w:t>22</w:t>
      </w:r>
      <w:r>
        <w:rPr>
          <w:rFonts w:eastAsia="黑体"/>
          <w:szCs w:val="32"/>
        </w:rPr>
        <w:t>年一般公共预算基本支出情况</w:t>
      </w:r>
    </w:p>
    <w:p>
      <w:pPr>
        <w:ind w:firstLine="640"/>
        <w:rPr>
          <w:szCs w:val="32"/>
        </w:rPr>
      </w:pPr>
      <w:r>
        <w:rPr>
          <w:szCs w:val="32"/>
        </w:rPr>
        <w:t>20</w:t>
      </w:r>
      <w:r>
        <w:rPr>
          <w:rFonts w:hint="eastAsia"/>
          <w:szCs w:val="32"/>
        </w:rPr>
        <w:t>22</w:t>
      </w:r>
      <w:r>
        <w:rPr>
          <w:szCs w:val="32"/>
        </w:rPr>
        <w:t>年一般公共预算基本支出</w:t>
      </w:r>
      <w:r>
        <w:rPr>
          <w:rFonts w:hint="eastAsia"/>
          <w:szCs w:val="32"/>
          <w:lang w:val="en-US" w:eastAsia="zh-CN"/>
        </w:rPr>
        <w:t>108.46</w:t>
      </w:r>
      <w:r>
        <w:rPr>
          <w:szCs w:val="32"/>
        </w:rPr>
        <w:t>万元，其中：</w:t>
      </w:r>
    </w:p>
    <w:p>
      <w:pPr>
        <w:ind w:firstLine="640" w:firstLineChars="200"/>
        <w:rPr>
          <w:kern w:val="0"/>
          <w:szCs w:val="32"/>
        </w:rPr>
      </w:pPr>
      <w:r>
        <w:rPr>
          <w:szCs w:val="32"/>
        </w:rPr>
        <w:t>人员经费</w:t>
      </w:r>
      <w:r>
        <w:rPr>
          <w:rFonts w:hint="eastAsia"/>
          <w:szCs w:val="32"/>
          <w:lang w:val="en-US" w:eastAsia="zh-CN"/>
        </w:rPr>
        <w:t>106.46</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pPr>
        <w:ind w:firstLine="640" w:firstLineChars="200"/>
        <w:rPr>
          <w:szCs w:val="32"/>
        </w:rPr>
      </w:pPr>
      <w:r>
        <w:rPr>
          <w:kern w:val="0"/>
          <w:szCs w:val="32"/>
        </w:rPr>
        <w:t>公用经费</w:t>
      </w:r>
      <w:r>
        <w:rPr>
          <w:rFonts w:hint="eastAsia"/>
          <w:kern w:val="0"/>
          <w:szCs w:val="32"/>
          <w:lang w:val="en-US" w:eastAsia="zh-CN"/>
        </w:rPr>
        <w:t>2</w:t>
      </w:r>
      <w:r>
        <w:rPr>
          <w:szCs w:val="32"/>
        </w:rPr>
        <w:t>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黑体"/>
          <w:szCs w:val="30"/>
        </w:rPr>
      </w:pPr>
      <w:r>
        <w:rPr>
          <w:rFonts w:eastAsia="楷体"/>
          <w:szCs w:val="32"/>
        </w:rPr>
        <w:br w:type="page"/>
      </w:r>
      <w:r>
        <w:rPr>
          <w:rFonts w:eastAsia="黑体"/>
          <w:szCs w:val="30"/>
        </w:rPr>
        <w:t>七、20</w:t>
      </w:r>
      <w:r>
        <w:rPr>
          <w:rFonts w:hint="eastAsia" w:eastAsia="黑体"/>
          <w:szCs w:val="30"/>
        </w:rPr>
        <w:t>22</w:t>
      </w:r>
      <w:r>
        <w:rPr>
          <w:rFonts w:eastAsia="黑体"/>
          <w:szCs w:val="30"/>
        </w:rPr>
        <w:t>年一般公共预算</w:t>
      </w:r>
      <w:r>
        <w:rPr>
          <w:rFonts w:hint="eastAsia" w:eastAsia="黑体"/>
          <w:szCs w:val="30"/>
        </w:rPr>
        <w:t>财政拨款</w:t>
      </w:r>
      <w:r>
        <w:rPr>
          <w:rFonts w:eastAsia="黑体"/>
          <w:szCs w:val="30"/>
        </w:rPr>
        <w:t>“三公”经费情况</w:t>
      </w:r>
    </w:p>
    <w:p>
      <w:pPr>
        <w:spacing w:line="330" w:lineRule="auto"/>
        <w:ind w:right="120" w:firstLine="641"/>
        <w:rPr>
          <w:rFonts w:eastAsia="楷体"/>
          <w:szCs w:val="32"/>
        </w:rPr>
      </w:pPr>
      <w:r>
        <w:rPr>
          <w:rFonts w:ascii="Times New Roman" w:hAnsi="Times New Roman" w:cs="Times New Roman"/>
          <w:szCs w:val="32"/>
        </w:rPr>
        <w:t>20</w:t>
      </w:r>
      <w:r>
        <w:rPr>
          <w:rFonts w:hint="eastAsia" w:ascii="Times New Roman" w:hAnsi="Times New Roman" w:cs="Times New Roman"/>
          <w:szCs w:val="32"/>
        </w:rPr>
        <w:t>2</w:t>
      </w:r>
      <w:r>
        <w:rPr>
          <w:rFonts w:hint="eastAsia" w:ascii="Times New Roman" w:hAnsi="Times New Roman" w:cs="Times New Roman"/>
          <w:szCs w:val="32"/>
          <w:lang w:val="en-US" w:eastAsia="zh-CN"/>
        </w:rPr>
        <w:t>2</w:t>
      </w:r>
      <w:r>
        <w:rPr>
          <w:rFonts w:ascii="Times New Roman" w:hAnsi="Times New Roman" w:cs="Times New Roman"/>
          <w:szCs w:val="32"/>
        </w:rPr>
        <w:t>年“三公”经费预算数为</w:t>
      </w:r>
      <w:r>
        <w:rPr>
          <w:rFonts w:hint="eastAsia" w:ascii="Times New Roman" w:hAnsi="Times New Roman" w:cs="Times New Roman"/>
          <w:szCs w:val="32"/>
          <w:lang w:val="en-US" w:eastAsia="zh-CN"/>
        </w:rPr>
        <w:t>0</w:t>
      </w:r>
      <w:r>
        <w:rPr>
          <w:rFonts w:ascii="Times New Roman" w:hAnsi="Times New Roman" w:cs="Times New Roman"/>
          <w:szCs w:val="32"/>
        </w:rPr>
        <w:t>万元</w:t>
      </w:r>
      <w:r>
        <w:rPr>
          <w:rFonts w:hint="eastAsia" w:ascii="Times New Roman" w:hAnsi="Times New Roman" w:cs="Times New Roman"/>
          <w:szCs w:val="32"/>
          <w:lang w:eastAsia="zh-CN"/>
        </w:rPr>
        <w:t>。</w:t>
      </w:r>
    </w:p>
    <w:p>
      <w:pPr>
        <w:ind w:firstLine="640" w:firstLineChars="200"/>
        <w:rPr>
          <w:rFonts w:eastAsia="黑体"/>
          <w:szCs w:val="32"/>
        </w:rPr>
      </w:pPr>
      <w:r>
        <w:rPr>
          <w:rFonts w:eastAsia="楷体"/>
          <w:szCs w:val="32"/>
        </w:rPr>
        <w:br w:type="page"/>
      </w:r>
      <w:r>
        <w:rPr>
          <w:rFonts w:eastAsia="黑体"/>
          <w:szCs w:val="32"/>
        </w:rPr>
        <w:t>八、20</w:t>
      </w:r>
      <w:r>
        <w:rPr>
          <w:rFonts w:hint="eastAsia" w:eastAsia="黑体"/>
          <w:szCs w:val="32"/>
        </w:rPr>
        <w:t>22</w:t>
      </w:r>
      <w:r>
        <w:rPr>
          <w:rFonts w:eastAsia="黑体"/>
          <w:szCs w:val="32"/>
        </w:rPr>
        <w:t>年政府性基金预算支出情况</w:t>
      </w:r>
    </w:p>
    <w:p>
      <w:pPr>
        <w:ind w:firstLine="640"/>
        <w:rPr>
          <w:rFonts w:hint="eastAsia" w:ascii="Times New Roman" w:hAnsi="Times New Roman" w:cs="Times New Roman"/>
          <w:szCs w:val="32"/>
          <w:lang w:eastAsia="zh-CN"/>
        </w:rPr>
      </w:pPr>
      <w:r>
        <w:rPr>
          <w:rFonts w:ascii="Times New Roman" w:hAnsi="Times New Roman" w:cs="Times New Roman"/>
          <w:szCs w:val="32"/>
        </w:rPr>
        <w:t>本部门无政府性基金预算拨款</w:t>
      </w:r>
      <w:r>
        <w:rPr>
          <w:rFonts w:hint="eastAsia" w:ascii="Times New Roman" w:hAnsi="Times New Roman" w:cs="Times New Roman"/>
          <w:szCs w:val="32"/>
          <w:lang w:eastAsia="zh-CN"/>
        </w:rPr>
        <w:t>。</w:t>
      </w: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黑体"/>
          <w:szCs w:val="32"/>
        </w:rPr>
      </w:pPr>
      <w:r>
        <w:rPr>
          <w:rFonts w:hint="eastAsia" w:eastAsia="黑体"/>
          <w:szCs w:val="32"/>
        </w:rPr>
        <w:t>九</w:t>
      </w:r>
      <w:r>
        <w:rPr>
          <w:rFonts w:eastAsia="黑体"/>
          <w:szCs w:val="32"/>
        </w:rPr>
        <w:t>、20</w:t>
      </w:r>
      <w:r>
        <w:rPr>
          <w:rFonts w:hint="eastAsia" w:eastAsia="黑体"/>
          <w:szCs w:val="32"/>
        </w:rPr>
        <w:t>22</w:t>
      </w:r>
      <w:r>
        <w:rPr>
          <w:rFonts w:eastAsia="黑体"/>
          <w:szCs w:val="32"/>
        </w:rPr>
        <w:t>年</w:t>
      </w:r>
      <w:r>
        <w:rPr>
          <w:rFonts w:hint="eastAsia" w:eastAsia="黑体"/>
          <w:szCs w:val="32"/>
        </w:rPr>
        <w:t>国有资本经营</w:t>
      </w:r>
      <w:r>
        <w:rPr>
          <w:rFonts w:eastAsia="黑体"/>
          <w:szCs w:val="32"/>
        </w:rPr>
        <w:t>预算支出情况</w:t>
      </w:r>
    </w:p>
    <w:p>
      <w:pPr>
        <w:ind w:firstLine="640"/>
        <w:rPr>
          <w:rFonts w:hint="eastAsia" w:ascii="Times New Roman" w:hAnsi="Times New Roman" w:cs="Times New Roman"/>
          <w:szCs w:val="32"/>
          <w:lang w:eastAsia="zh-CN"/>
        </w:rPr>
      </w:pPr>
      <w:r>
        <w:rPr>
          <w:rFonts w:hint="eastAsia" w:ascii="Times New Roman" w:hAnsi="Times New Roman" w:cs="Times New Roman"/>
          <w:szCs w:val="32"/>
        </w:rPr>
        <w:t>本部门无国有资本经营预算拨款</w:t>
      </w:r>
      <w:r>
        <w:rPr>
          <w:rFonts w:hint="eastAsia" w:ascii="Times New Roman" w:hAnsi="Times New Roman" w:cs="Times New Roman"/>
          <w:szCs w:val="32"/>
          <w:lang w:eastAsia="zh-CN"/>
        </w:rPr>
        <w:t>。</w:t>
      </w: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ind w:firstLine="640" w:firstLineChars="200"/>
        <w:rPr>
          <w:szCs w:val="32"/>
        </w:rPr>
      </w:pPr>
      <w:r>
        <w:rPr>
          <w:szCs w:val="32"/>
        </w:rPr>
        <w:t>20</w:t>
      </w:r>
      <w:r>
        <w:rPr>
          <w:rFonts w:hint="eastAsia"/>
          <w:szCs w:val="32"/>
        </w:rPr>
        <w:t>22</w:t>
      </w:r>
      <w:r>
        <w:rPr>
          <w:szCs w:val="32"/>
        </w:rPr>
        <w:t>年部门</w:t>
      </w:r>
      <w:r>
        <w:rPr>
          <w:rFonts w:hint="eastAsia"/>
          <w:szCs w:val="32"/>
          <w:lang w:eastAsia="zh-CN"/>
        </w:rPr>
        <w:t>本级</w:t>
      </w:r>
      <w:r>
        <w:rPr>
          <w:rFonts w:hint="eastAsia"/>
          <w:szCs w:val="32"/>
          <w:lang w:val="en-US" w:eastAsia="zh-CN"/>
        </w:rPr>
        <w:t>1</w:t>
      </w:r>
      <w:r>
        <w:rPr>
          <w:szCs w:val="32"/>
        </w:rPr>
        <w:t>家</w:t>
      </w:r>
      <w:r>
        <w:rPr>
          <w:rFonts w:hint="eastAsia" w:ascii="Times New Roman" w:hAnsi="Times New Roman" w:eastAsia="仿宋_GB2312" w:cs="Times New Roman"/>
          <w:lang w:val="en-US" w:eastAsia="zh-CN"/>
        </w:rPr>
        <w:t>的公益一类事业单位</w:t>
      </w:r>
      <w:r>
        <w:rPr>
          <w:szCs w:val="32"/>
        </w:rPr>
        <w:t>的</w:t>
      </w:r>
      <w:r>
        <w:rPr>
          <w:rFonts w:hint="eastAsia"/>
          <w:szCs w:val="32"/>
          <w:lang w:eastAsia="zh-CN"/>
        </w:rPr>
        <w:t>事业</w:t>
      </w:r>
      <w:r>
        <w:rPr>
          <w:szCs w:val="32"/>
        </w:rPr>
        <w:t>运行经费财政拨款预算</w:t>
      </w:r>
      <w:r>
        <w:rPr>
          <w:rFonts w:hint="eastAsia"/>
          <w:szCs w:val="32"/>
          <w:lang w:val="en-US" w:eastAsia="zh-CN"/>
        </w:rPr>
        <w:t>108.46</w:t>
      </w:r>
      <w:r>
        <w:rPr>
          <w:szCs w:val="32"/>
        </w:rPr>
        <w:t>万元，比20</w:t>
      </w:r>
      <w:r>
        <w:rPr>
          <w:rFonts w:hint="eastAsia"/>
          <w:szCs w:val="32"/>
        </w:rPr>
        <w:t>21</w:t>
      </w:r>
      <w:r>
        <w:rPr>
          <w:szCs w:val="32"/>
        </w:rPr>
        <w:t>年预算增加</w:t>
      </w:r>
      <w:r>
        <w:rPr>
          <w:rFonts w:hint="eastAsia"/>
          <w:szCs w:val="32"/>
          <w:lang w:val="en-US" w:eastAsia="zh-CN"/>
        </w:rPr>
        <w:t>108.46</w:t>
      </w:r>
      <w:r>
        <w:rPr>
          <w:szCs w:val="32"/>
        </w:rPr>
        <w:t>万元，增长</w:t>
      </w:r>
      <w:r>
        <w:rPr>
          <w:rFonts w:hint="eastAsia"/>
          <w:szCs w:val="32"/>
          <w:lang w:val="en-US" w:eastAsia="zh-CN"/>
        </w:rPr>
        <w:t>100</w:t>
      </w:r>
      <w:r>
        <w:rPr>
          <w:szCs w:val="32"/>
        </w:rPr>
        <w:t>%</w:t>
      </w:r>
      <w:r>
        <w:rPr>
          <w:rFonts w:hint="eastAsia"/>
          <w:szCs w:val="32"/>
        </w:rPr>
        <w:t>，主要原因是</w:t>
      </w:r>
      <w:r>
        <w:rPr>
          <w:rFonts w:hint="eastAsia"/>
          <w:szCs w:val="32"/>
          <w:lang w:eastAsia="zh-CN"/>
        </w:rPr>
        <w:t>八区街道综合服务中心账户正式启用，将事业编人员编制落到八区街道综合服务中心，事业编人员工资福利等经费都拨付到八区街道综合服务中心账户</w:t>
      </w:r>
      <w:r>
        <w:rPr>
          <w:szCs w:val="32"/>
        </w:rPr>
        <w:t>。</w:t>
      </w:r>
    </w:p>
    <w:p>
      <w:pPr>
        <w:spacing w:line="540" w:lineRule="exact"/>
        <w:ind w:firstLine="640" w:firstLineChars="200"/>
        <w:rPr>
          <w:rFonts w:eastAsia="楷体"/>
          <w:szCs w:val="32"/>
        </w:rPr>
      </w:pPr>
      <w:r>
        <w:rPr>
          <w:rFonts w:eastAsia="楷体"/>
          <w:szCs w:val="32"/>
        </w:rPr>
        <w:t>（二）政府采购情况</w:t>
      </w:r>
    </w:p>
    <w:p>
      <w:pPr>
        <w:spacing w:line="540" w:lineRule="exact"/>
        <w:ind w:firstLine="640" w:firstLineChars="200"/>
        <w:rPr>
          <w:szCs w:val="32"/>
        </w:rPr>
      </w:pPr>
      <w:r>
        <w:rPr>
          <w:szCs w:val="32"/>
        </w:rPr>
        <w:t>20</w:t>
      </w:r>
      <w:r>
        <w:rPr>
          <w:rFonts w:hint="eastAsia"/>
          <w:szCs w:val="32"/>
        </w:rPr>
        <w:t>22</w:t>
      </w:r>
      <w:r>
        <w:rPr>
          <w:szCs w:val="32"/>
        </w:rPr>
        <w:t>年</w:t>
      </w:r>
      <w:r>
        <w:rPr>
          <w:rFonts w:ascii="Times New Roman" w:hAnsi="Times New Roman" w:cs="Times New Roman"/>
          <w:szCs w:val="32"/>
        </w:rPr>
        <w:t>本部门无政府</w:t>
      </w:r>
      <w:r>
        <w:rPr>
          <w:rFonts w:hint="eastAsia" w:cs="Times New Roman"/>
          <w:szCs w:val="32"/>
          <w:lang w:eastAsia="zh-CN"/>
        </w:rPr>
        <w:t>采购资金</w:t>
      </w:r>
      <w:r>
        <w:rPr>
          <w:rFonts w:ascii="Times New Roman" w:hAnsi="Times New Roman" w:cs="Times New Roman"/>
          <w:szCs w:val="32"/>
        </w:rPr>
        <w:t>预算拨款</w:t>
      </w:r>
      <w:r>
        <w:rPr>
          <w:rFonts w:hint="eastAsia" w:ascii="Times New Roman" w:hAnsi="Times New Roman" w:cs="Times New Roman"/>
          <w:szCs w:val="32"/>
          <w:lang w:eastAsia="zh-CN"/>
        </w:rPr>
        <w:t>。</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rPr>
        <w:t>截至</w:t>
      </w:r>
      <w:r>
        <w:rPr>
          <w:rFonts w:hint="eastAsia"/>
          <w:szCs w:val="32"/>
          <w:lang w:val="en-US" w:eastAsia="zh-CN"/>
        </w:rPr>
        <w:t>2022</w:t>
      </w:r>
      <w:r>
        <w:rPr>
          <w:rFonts w:hint="eastAsia"/>
          <w:szCs w:val="32"/>
        </w:rPr>
        <w:t>年</w:t>
      </w:r>
      <w:r>
        <w:rPr>
          <w:rFonts w:hint="eastAsia"/>
          <w:szCs w:val="32"/>
          <w:lang w:val="en-US" w:eastAsia="zh-CN"/>
        </w:rPr>
        <w:t>5</w:t>
      </w:r>
      <w:r>
        <w:rPr>
          <w:rFonts w:hint="eastAsia"/>
          <w:szCs w:val="32"/>
        </w:rPr>
        <w:t>月底，部门本级和所属各预算单位共有车辆</w:t>
      </w:r>
      <w:r>
        <w:rPr>
          <w:rFonts w:hint="eastAsia"/>
          <w:szCs w:val="32"/>
          <w:lang w:val="en-US" w:eastAsia="zh-CN"/>
        </w:rPr>
        <w:t>0</w:t>
      </w:r>
      <w:r>
        <w:rPr>
          <w:rFonts w:hint="eastAsia"/>
          <w:szCs w:val="32"/>
        </w:rPr>
        <w:t>辆，土地</w:t>
      </w:r>
      <w:r>
        <w:rPr>
          <w:rFonts w:hint="eastAsia"/>
          <w:szCs w:val="32"/>
          <w:lang w:val="en-US" w:eastAsia="zh-CN"/>
        </w:rPr>
        <w:t>0</w:t>
      </w:r>
      <w:r>
        <w:rPr>
          <w:rFonts w:hint="eastAsia"/>
          <w:szCs w:val="32"/>
        </w:rPr>
        <w:t>平方米，房屋</w:t>
      </w:r>
      <w:r>
        <w:rPr>
          <w:rFonts w:hint="eastAsia"/>
          <w:szCs w:val="32"/>
          <w:lang w:val="en-US" w:eastAsia="zh-CN"/>
        </w:rPr>
        <w:t>0</w:t>
      </w:r>
      <w:r>
        <w:rPr>
          <w:rFonts w:hint="eastAsia"/>
          <w:szCs w:val="32"/>
        </w:rPr>
        <w:t>平方米，单价50万元及以上的通用设备</w:t>
      </w:r>
      <w:r>
        <w:rPr>
          <w:rFonts w:hint="eastAsia"/>
          <w:szCs w:val="32"/>
          <w:lang w:val="en-US" w:eastAsia="zh-CN"/>
        </w:rPr>
        <w:t xml:space="preserve">0 </w:t>
      </w:r>
      <w:r>
        <w:rPr>
          <w:rFonts w:hint="eastAsia"/>
          <w:szCs w:val="32"/>
        </w:rPr>
        <w:t>台/套，单价100万元及以上的专用设备实有数</w:t>
      </w:r>
      <w:r>
        <w:rPr>
          <w:rFonts w:hint="eastAsia"/>
          <w:szCs w:val="32"/>
          <w:lang w:val="en-US" w:eastAsia="zh-CN"/>
        </w:rPr>
        <w:t xml:space="preserve">0 </w:t>
      </w:r>
      <w:r>
        <w:rPr>
          <w:rFonts w:hint="eastAsia"/>
          <w:szCs w:val="32"/>
        </w:rPr>
        <w:t>台/套。</w:t>
      </w:r>
    </w:p>
    <w:p>
      <w:pPr>
        <w:spacing w:line="540" w:lineRule="exact"/>
        <w:ind w:firstLine="640" w:firstLineChars="200"/>
        <w:rPr>
          <w:szCs w:val="32"/>
        </w:rPr>
      </w:pPr>
      <w:r>
        <w:rPr>
          <w:rFonts w:hint="eastAsia"/>
          <w:szCs w:val="32"/>
        </w:rPr>
        <w:t>2022年部门预算安排购置车辆</w:t>
      </w:r>
      <w:r>
        <w:rPr>
          <w:rFonts w:hint="eastAsia"/>
          <w:szCs w:val="32"/>
          <w:lang w:val="en-US" w:eastAsia="zh-CN"/>
        </w:rPr>
        <w:t>0</w:t>
      </w:r>
      <w:r>
        <w:rPr>
          <w:rFonts w:hint="eastAsia"/>
          <w:szCs w:val="32"/>
        </w:rPr>
        <w:t>辆，安排购置土地</w:t>
      </w:r>
      <w:r>
        <w:rPr>
          <w:rFonts w:hint="eastAsia"/>
          <w:szCs w:val="32"/>
          <w:lang w:val="en-US" w:eastAsia="zh-CN"/>
        </w:rPr>
        <w:t>0</w:t>
      </w:r>
      <w:r>
        <w:rPr>
          <w:rFonts w:hint="eastAsia"/>
          <w:szCs w:val="32"/>
        </w:rPr>
        <w:t>平方米，安排购置房屋</w:t>
      </w:r>
      <w:r>
        <w:rPr>
          <w:rFonts w:hint="eastAsia"/>
          <w:szCs w:val="32"/>
          <w:lang w:val="en-US" w:eastAsia="zh-CN"/>
        </w:rPr>
        <w:t>0</w:t>
      </w:r>
      <w:r>
        <w:rPr>
          <w:rFonts w:hint="eastAsia"/>
          <w:szCs w:val="32"/>
        </w:rPr>
        <w:t>平方米，计划新增单价50万元及以上的通用设备</w:t>
      </w:r>
      <w:r>
        <w:rPr>
          <w:rFonts w:hint="eastAsia"/>
          <w:szCs w:val="32"/>
          <w:lang w:val="en-US" w:eastAsia="zh-CN"/>
        </w:rPr>
        <w:t>0</w:t>
      </w:r>
      <w:r>
        <w:rPr>
          <w:rFonts w:hint="eastAsia"/>
          <w:szCs w:val="32"/>
        </w:rPr>
        <w:t>台/套，计划新增单价100万元及以上的专用设备实有数</w:t>
      </w:r>
      <w:r>
        <w:rPr>
          <w:rFonts w:hint="eastAsia"/>
          <w:szCs w:val="32"/>
          <w:lang w:val="en-US" w:eastAsia="zh-CN"/>
        </w:rPr>
        <w:t>0</w:t>
      </w:r>
      <w:r>
        <w:rPr>
          <w:rFonts w:hint="eastAsia"/>
          <w:szCs w:val="32"/>
        </w:rPr>
        <w:t>台/套。</w:t>
      </w:r>
    </w:p>
    <w:p>
      <w:pPr>
        <w:numPr>
          <w:ilvl w:val="0"/>
          <w:numId w:val="2"/>
        </w:numPr>
        <w:spacing w:line="540" w:lineRule="exact"/>
        <w:ind w:firstLine="640" w:firstLineChars="200"/>
        <w:rPr>
          <w:rFonts w:hint="eastAsia" w:eastAsia="楷体"/>
          <w:szCs w:val="32"/>
        </w:rPr>
      </w:pPr>
      <w:r>
        <w:rPr>
          <w:rFonts w:hint="eastAsia" w:eastAsia="楷体"/>
          <w:szCs w:val="32"/>
        </w:rPr>
        <w:t>项目支出情况说明</w:t>
      </w:r>
    </w:p>
    <w:p>
      <w:pPr>
        <w:spacing w:line="540" w:lineRule="exact"/>
        <w:ind w:firstLine="640" w:firstLineChars="200"/>
      </w:pPr>
      <w:r>
        <w:t>202</w:t>
      </w:r>
      <w:r>
        <w:rPr>
          <w:rFonts w:hint="eastAsia"/>
        </w:rPr>
        <w:t>2</w:t>
      </w:r>
      <w:r>
        <w:t>年部门项目支出</w:t>
      </w:r>
      <w:r>
        <w:rPr>
          <w:rFonts w:hint="eastAsia"/>
          <w:szCs w:val="32"/>
          <w:lang w:val="en-US" w:eastAsia="zh-CN"/>
        </w:rPr>
        <w:t>2</w:t>
      </w:r>
      <w:r>
        <w:rPr>
          <w:szCs w:val="32"/>
        </w:rPr>
        <w:t>万元，其中：一级项目</w:t>
      </w:r>
      <w:r>
        <w:rPr>
          <w:rFonts w:hint="eastAsia"/>
          <w:szCs w:val="32"/>
          <w:lang w:val="en-US" w:eastAsia="zh-CN"/>
        </w:rPr>
        <w:t>1</w:t>
      </w:r>
      <w:r>
        <w:rPr>
          <w:szCs w:val="32"/>
        </w:rPr>
        <w:t>个，二级项目</w:t>
      </w:r>
      <w:r>
        <w:rPr>
          <w:rFonts w:hint="eastAsia"/>
          <w:szCs w:val="32"/>
          <w:lang w:val="en-US" w:eastAsia="zh-CN"/>
        </w:rPr>
        <w:t>1</w:t>
      </w:r>
      <w:r>
        <w:rPr>
          <w:szCs w:val="32"/>
        </w:rPr>
        <w:t>个；使用</w:t>
      </w:r>
      <w:r>
        <w:rPr>
          <w:rFonts w:hint="eastAsia"/>
          <w:szCs w:val="32"/>
        </w:rPr>
        <w:t>本年拨款</w:t>
      </w:r>
      <w:r>
        <w:rPr>
          <w:rFonts w:hint="eastAsia"/>
          <w:szCs w:val="32"/>
          <w:lang w:val="en-US" w:eastAsia="zh-CN"/>
        </w:rPr>
        <w:t>2</w:t>
      </w:r>
      <w:r>
        <w:rPr>
          <w:szCs w:val="32"/>
        </w:rPr>
        <w:t>万元，</w:t>
      </w:r>
      <w:r>
        <w:rPr>
          <w:rFonts w:hint="eastAsia"/>
          <w:szCs w:val="32"/>
        </w:rPr>
        <w:t>财政拨款结转</w:t>
      </w:r>
      <w:r>
        <w:rPr>
          <w:rFonts w:hint="eastAsia"/>
          <w:szCs w:val="32"/>
          <w:lang w:val="en-US" w:eastAsia="zh-CN"/>
        </w:rPr>
        <w:t>2</w:t>
      </w:r>
      <w:r>
        <w:rPr>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宋体" w:hAnsi="宋体"/>
        </w:rPr>
        <w:t>按照全面实施预算绩效管理的要求，结合本部门职能和重点工作，2022年确定</w:t>
      </w:r>
      <w:r>
        <w:rPr>
          <w:rFonts w:hint="eastAsia"/>
          <w:szCs w:val="32"/>
          <w:lang w:val="en-US" w:eastAsia="zh-CN"/>
        </w:rPr>
        <w:t>1</w:t>
      </w:r>
      <w:r>
        <w:rPr>
          <w:rFonts w:hint="eastAsia" w:ascii="宋体" w:hAnsi="宋体"/>
        </w:rPr>
        <w:t>个一级项目支出的绩效目标和指标向社会公开，涉及金额</w:t>
      </w:r>
      <w:r>
        <w:rPr>
          <w:rFonts w:hint="eastAsia"/>
          <w:szCs w:val="32"/>
          <w:lang w:val="en-US" w:eastAsia="zh-CN"/>
        </w:rPr>
        <w:t>2</w:t>
      </w:r>
      <w:r>
        <w:rPr>
          <w:rFonts w:hint="eastAsia" w:ascii="宋体" w:hAnsi="宋体"/>
        </w:rPr>
        <w:t>万元。</w:t>
      </w:r>
    </w:p>
    <w:p>
      <w:pPr>
        <w:ind w:firstLine="645"/>
        <w:rPr>
          <w:rFonts w:eastAsia="楷体"/>
          <w:szCs w:val="32"/>
        </w:rPr>
      </w:pPr>
    </w:p>
    <w:p>
      <w:pPr>
        <w:ind w:firstLine="645"/>
        <w:rPr>
          <w:rFonts w:eastAsia="楷体"/>
          <w:szCs w:val="32"/>
        </w:rPr>
      </w:pPr>
    </w:p>
    <w:p>
      <w:pPr>
        <w:ind w:firstLine="645"/>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r>
        <w:rPr>
          <w:rFonts w:eastAsia="楷体"/>
          <w:szCs w:val="32"/>
        </w:rPr>
        <w:br w:type="page"/>
      </w:r>
    </w:p>
    <w:p>
      <w:pPr>
        <w:ind w:firstLine="640" w:firstLineChars="200"/>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eastAsia="仿宋"/>
          <w:szCs w:val="32"/>
        </w:rPr>
      </w:pPr>
      <w:r>
        <w:rPr>
          <w:rFonts w:eastAsia="楷体"/>
          <w:szCs w:val="32"/>
        </w:rPr>
        <w:t>（</w:t>
      </w:r>
      <w:r>
        <w:rPr>
          <w:rFonts w:hint="eastAsia" w:eastAsia="楷体"/>
          <w:szCs w:val="32"/>
        </w:rPr>
        <w:t>九</w:t>
      </w:r>
      <w:r>
        <w:rPr>
          <w:rFonts w:eastAsia="楷体"/>
          <w:szCs w:val="32"/>
        </w:rPr>
        <w:t>）其他收入：</w:t>
      </w:r>
      <w:r>
        <w:rPr>
          <w:szCs w:val="32"/>
        </w:rPr>
        <w:t>指除上述“一般公共预算拨款收入”、</w:t>
      </w:r>
      <w:r>
        <w:rPr>
          <w:rFonts w:hint="eastAsia"/>
          <w:szCs w:val="32"/>
        </w:rPr>
        <w:t>“政府性基金预算拨款收入”、</w:t>
      </w:r>
      <w:r>
        <w:rPr>
          <w:szCs w:val="32"/>
        </w:rPr>
        <w:t>“事业收入”、“事业单位经营收入”等以外的收入。</w:t>
      </w:r>
    </w:p>
    <w:p>
      <w:pPr>
        <w:ind w:firstLine="640"/>
        <w:rPr>
          <w:szCs w:val="32"/>
        </w:rPr>
      </w:pPr>
      <w:r>
        <w:rPr>
          <w:rFonts w:eastAsia="楷体"/>
          <w:szCs w:val="32"/>
        </w:rPr>
        <w:t>（</w:t>
      </w:r>
      <w:r>
        <w:rPr>
          <w:rFonts w:hint="eastAsia" w:eastAsia="楷体"/>
          <w:szCs w:val="32"/>
        </w:rPr>
        <w:t>十</w:t>
      </w:r>
      <w:r>
        <w:rPr>
          <w:rFonts w:eastAsia="楷体"/>
          <w:szCs w:val="32"/>
        </w:rPr>
        <w:t>）用事业基金弥补收支差额：</w:t>
      </w:r>
      <w:r>
        <w:rPr>
          <w:szCs w:val="32"/>
        </w:rPr>
        <w:t>指事业单位在预计当年的“一般公共预算拨款收入”、</w:t>
      </w:r>
      <w:r>
        <w:rPr>
          <w:rFonts w:hint="eastAsia"/>
          <w:szCs w:val="32"/>
        </w:rPr>
        <w:t>“政府性基金预算拨款收入”、</w:t>
      </w:r>
      <w:r>
        <w:rPr>
          <w:szCs w:val="32"/>
        </w:rPr>
        <w:t>“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E61D02"/>
    <w:multiLevelType w:val="singleLevel"/>
    <w:tmpl w:val="C6E61D02"/>
    <w:lvl w:ilvl="0" w:tentative="0">
      <w:start w:val="1"/>
      <w:numFmt w:val="decimal"/>
      <w:suff w:val="nothing"/>
      <w:lvlText w:val="%1、"/>
      <w:lvlJc w:val="left"/>
      <w:pPr>
        <w:ind w:left="980" w:leftChars="0" w:firstLine="0" w:firstLineChars="0"/>
      </w:p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0ODZlNjRlMzIxMGYzZTc5YzcyODJkZDBiOTEzNT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8133AD"/>
    <w:rsid w:val="019B69D8"/>
    <w:rsid w:val="020E6D2C"/>
    <w:rsid w:val="031D7D4B"/>
    <w:rsid w:val="0486486A"/>
    <w:rsid w:val="04954460"/>
    <w:rsid w:val="050D06DA"/>
    <w:rsid w:val="05513E94"/>
    <w:rsid w:val="05674750"/>
    <w:rsid w:val="056F5A6D"/>
    <w:rsid w:val="059B3770"/>
    <w:rsid w:val="063949A0"/>
    <w:rsid w:val="06BD5BC7"/>
    <w:rsid w:val="09A0082A"/>
    <w:rsid w:val="0A452C35"/>
    <w:rsid w:val="0ABA06FE"/>
    <w:rsid w:val="0B5F5ADA"/>
    <w:rsid w:val="0C2A5C84"/>
    <w:rsid w:val="0DA001B0"/>
    <w:rsid w:val="0DEB170B"/>
    <w:rsid w:val="0E4C7841"/>
    <w:rsid w:val="0F3E0406"/>
    <w:rsid w:val="0FD62F63"/>
    <w:rsid w:val="10AE7F82"/>
    <w:rsid w:val="10C93B35"/>
    <w:rsid w:val="11177619"/>
    <w:rsid w:val="112605C8"/>
    <w:rsid w:val="12E711B7"/>
    <w:rsid w:val="136D62BD"/>
    <w:rsid w:val="13F21722"/>
    <w:rsid w:val="1441443C"/>
    <w:rsid w:val="14C12787"/>
    <w:rsid w:val="15593E10"/>
    <w:rsid w:val="159F7E25"/>
    <w:rsid w:val="15F848D0"/>
    <w:rsid w:val="160E1FA5"/>
    <w:rsid w:val="160F2600"/>
    <w:rsid w:val="16891933"/>
    <w:rsid w:val="17765BCA"/>
    <w:rsid w:val="17A027D8"/>
    <w:rsid w:val="1A817DF8"/>
    <w:rsid w:val="1ADC594E"/>
    <w:rsid w:val="1AEB5252"/>
    <w:rsid w:val="1C852172"/>
    <w:rsid w:val="1CA40C0C"/>
    <w:rsid w:val="1CFF4A32"/>
    <w:rsid w:val="1D833200"/>
    <w:rsid w:val="1E3A3FD0"/>
    <w:rsid w:val="1EB55C07"/>
    <w:rsid w:val="1F351A10"/>
    <w:rsid w:val="1FED47E9"/>
    <w:rsid w:val="206816AC"/>
    <w:rsid w:val="22A4003E"/>
    <w:rsid w:val="23EC61F6"/>
    <w:rsid w:val="244C543C"/>
    <w:rsid w:val="24624768"/>
    <w:rsid w:val="25531312"/>
    <w:rsid w:val="259B5BC5"/>
    <w:rsid w:val="25F62C4E"/>
    <w:rsid w:val="26643D6C"/>
    <w:rsid w:val="26FE109D"/>
    <w:rsid w:val="27073E1E"/>
    <w:rsid w:val="27B04AB3"/>
    <w:rsid w:val="28A63332"/>
    <w:rsid w:val="29C45F24"/>
    <w:rsid w:val="2C0E1B0C"/>
    <w:rsid w:val="2D8A5DB7"/>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838492F"/>
    <w:rsid w:val="3887374F"/>
    <w:rsid w:val="39041A07"/>
    <w:rsid w:val="39043B77"/>
    <w:rsid w:val="39670895"/>
    <w:rsid w:val="3A657F9A"/>
    <w:rsid w:val="3A9113D4"/>
    <w:rsid w:val="3AC54F32"/>
    <w:rsid w:val="3B144A0A"/>
    <w:rsid w:val="3BC92948"/>
    <w:rsid w:val="3BE370D4"/>
    <w:rsid w:val="3C29381E"/>
    <w:rsid w:val="3C711E1D"/>
    <w:rsid w:val="3C7F463D"/>
    <w:rsid w:val="3CAE3960"/>
    <w:rsid w:val="3D365BF6"/>
    <w:rsid w:val="3DF23324"/>
    <w:rsid w:val="3DF95535"/>
    <w:rsid w:val="3EA14040"/>
    <w:rsid w:val="3EE8108D"/>
    <w:rsid w:val="40B80EFF"/>
    <w:rsid w:val="41A35364"/>
    <w:rsid w:val="41C31686"/>
    <w:rsid w:val="42982B4E"/>
    <w:rsid w:val="436B1E42"/>
    <w:rsid w:val="456D114B"/>
    <w:rsid w:val="45EB670F"/>
    <w:rsid w:val="46AB7C0D"/>
    <w:rsid w:val="46D44808"/>
    <w:rsid w:val="47CF49E6"/>
    <w:rsid w:val="48674ED2"/>
    <w:rsid w:val="487708E6"/>
    <w:rsid w:val="49645F71"/>
    <w:rsid w:val="499F5C68"/>
    <w:rsid w:val="4AF16062"/>
    <w:rsid w:val="4B646DDD"/>
    <w:rsid w:val="4B7F44F8"/>
    <w:rsid w:val="4BAC24C5"/>
    <w:rsid w:val="4BFA0656"/>
    <w:rsid w:val="4D730507"/>
    <w:rsid w:val="4D741DD3"/>
    <w:rsid w:val="4DC93207"/>
    <w:rsid w:val="4E8D5761"/>
    <w:rsid w:val="4EF54A85"/>
    <w:rsid w:val="501B3C66"/>
    <w:rsid w:val="504B40C5"/>
    <w:rsid w:val="50987DC2"/>
    <w:rsid w:val="50A4703E"/>
    <w:rsid w:val="5136104F"/>
    <w:rsid w:val="52071113"/>
    <w:rsid w:val="525A440D"/>
    <w:rsid w:val="54741940"/>
    <w:rsid w:val="54810E66"/>
    <w:rsid w:val="54C2556E"/>
    <w:rsid w:val="55480EEF"/>
    <w:rsid w:val="57AE5C26"/>
    <w:rsid w:val="57DD75A9"/>
    <w:rsid w:val="58256ABD"/>
    <w:rsid w:val="59472AC7"/>
    <w:rsid w:val="5AB343F7"/>
    <w:rsid w:val="5ABF50F2"/>
    <w:rsid w:val="5AF76904"/>
    <w:rsid w:val="5B052E7A"/>
    <w:rsid w:val="5B3D7F7E"/>
    <w:rsid w:val="5B7C7777"/>
    <w:rsid w:val="5BEC6771"/>
    <w:rsid w:val="5CA506B9"/>
    <w:rsid w:val="5D5A7C63"/>
    <w:rsid w:val="5E256F6F"/>
    <w:rsid w:val="5F6235A9"/>
    <w:rsid w:val="614125C2"/>
    <w:rsid w:val="624C5C52"/>
    <w:rsid w:val="63DF08E4"/>
    <w:rsid w:val="64C04AFD"/>
    <w:rsid w:val="661A7B69"/>
    <w:rsid w:val="664909C1"/>
    <w:rsid w:val="66C63EB5"/>
    <w:rsid w:val="679461D3"/>
    <w:rsid w:val="6858287E"/>
    <w:rsid w:val="69157114"/>
    <w:rsid w:val="691A443E"/>
    <w:rsid w:val="6A80735F"/>
    <w:rsid w:val="6ACC5E47"/>
    <w:rsid w:val="6AD43ED1"/>
    <w:rsid w:val="6B11024D"/>
    <w:rsid w:val="6B7D5B36"/>
    <w:rsid w:val="6CF120A8"/>
    <w:rsid w:val="714213DD"/>
    <w:rsid w:val="717F272E"/>
    <w:rsid w:val="728027C6"/>
    <w:rsid w:val="73FE7ACC"/>
    <w:rsid w:val="74556746"/>
    <w:rsid w:val="76C17E06"/>
    <w:rsid w:val="76CA67BD"/>
    <w:rsid w:val="774E6400"/>
    <w:rsid w:val="775B0046"/>
    <w:rsid w:val="79700BEF"/>
    <w:rsid w:val="7A090695"/>
    <w:rsid w:val="7AE175F4"/>
    <w:rsid w:val="7B417685"/>
    <w:rsid w:val="7B5220F0"/>
    <w:rsid w:val="7BA169C0"/>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5"/>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font11"/>
    <w:qFormat/>
    <w:uiPriority w:val="0"/>
    <w:rPr>
      <w:rFonts w:hint="default" w:ascii="Arial" w:hAnsi="Arial" w:cs="Arial"/>
      <w:color w:val="000000"/>
      <w:sz w:val="24"/>
      <w:szCs w:val="24"/>
      <w:u w:val="none"/>
    </w:rPr>
  </w:style>
  <w:style w:type="character" w:customStyle="1" w:styleId="14">
    <w:name w:val="页脚 字符"/>
    <w:link w:val="6"/>
    <w:qFormat/>
    <w:uiPriority w:val="0"/>
    <w:rPr>
      <w:rFonts w:eastAsia="仿宋_GB2312"/>
      <w:kern w:val="2"/>
      <w:sz w:val="18"/>
    </w:rPr>
  </w:style>
  <w:style w:type="character" w:customStyle="1" w:styleId="15">
    <w:name w:val="批注框文本 字符"/>
    <w:link w:val="5"/>
    <w:qFormat/>
    <w:uiPriority w:val="0"/>
    <w:rPr>
      <w:rFonts w:eastAsia="仿宋_GB2312"/>
      <w:kern w:val="2"/>
      <w:sz w:val="18"/>
      <w:szCs w:val="18"/>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5012</Words>
  <Characters>5590</Characters>
  <Lines>71</Lines>
  <Paragraphs>20</Paragraphs>
  <TotalTime>1</TotalTime>
  <ScaleCrop>false</ScaleCrop>
  <LinksUpToDate>false</LinksUpToDate>
  <CharactersWithSpaces>6121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川</cp:lastModifiedBy>
  <cp:lastPrinted>2022-06-09T02:51:00Z</cp:lastPrinted>
  <dcterms:modified xsi:type="dcterms:W3CDTF">2021-12-25T08:56:09Z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1938627A27A9494A8418CE56B90AE245</vt:lpwstr>
  </property>
</Properties>
</file>