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w:t>
      </w:r>
      <w:bookmarkStart w:id="0" w:name="_GoBack"/>
      <w:bookmarkEnd w:id="0"/>
      <w:r>
        <w:rPr>
          <w:rFonts w:eastAsia="黑体"/>
        </w:rPr>
        <w:t>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lang w:eastAsia="zh-CN"/>
        </w:rPr>
        <w:t>通榆县八区街道办事处</w:t>
      </w:r>
      <w:r>
        <w:rPr>
          <w:rFonts w:eastAsia="方正小标宋简体"/>
          <w:sz w:val="44"/>
          <w:szCs w:val="44"/>
        </w:rPr>
        <w:t>20</w:t>
      </w:r>
      <w:r>
        <w:rPr>
          <w:rFonts w:hint="eastAsia" w:eastAsia="方正小标宋简体"/>
          <w:sz w:val="44"/>
          <w:szCs w:val="44"/>
        </w:rPr>
        <w:t>22</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left"/>
      </w:pPr>
      <w:r>
        <w:tab/>
      </w:r>
      <w:r>
        <w:tab/>
      </w:r>
      <w:r>
        <w:tab/>
      </w:r>
      <w:r>
        <w:tab/>
      </w:r>
      <w:r>
        <w:tab/>
      </w:r>
      <w:r>
        <w:tab/>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640" w:firstLineChars="200"/>
        <w:jc w:val="center"/>
        <w:rPr>
          <w:rFonts w:eastAsia="黑体"/>
        </w:rPr>
      </w:pPr>
      <w:r>
        <w:rPr>
          <w:rFonts w:eastAsia="黑体"/>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keepNext w:val="0"/>
        <w:keepLines w:val="0"/>
        <w:widowControl/>
        <w:suppressLineNumbers w:val="0"/>
        <w:ind w:firstLine="640" w:firstLineChars="200"/>
        <w:jc w:val="left"/>
        <w:rPr>
          <w:rFonts w:hint="eastAsia" w:ascii="Times New Roman" w:hAnsi="Times New Roman" w:eastAsia="仿宋_GB2312" w:cs="Times New Roman"/>
          <w:lang w:val="en-US" w:eastAsia="zh-CN"/>
        </w:rPr>
      </w:pPr>
      <w:r>
        <w:rPr>
          <w:rFonts w:ascii="Times New Roman" w:hAnsi="Times New Roman" w:eastAsia="仿宋_GB2312" w:cs="Times New Roman"/>
          <w:lang w:val="en-US" w:eastAsia="zh-CN"/>
        </w:rPr>
        <w:t>中共通榆县八区街道工作委员会（以下简称八区</w:t>
      </w:r>
      <w:r>
        <w:rPr>
          <w:rFonts w:hint="eastAsia" w:ascii="Times New Roman" w:hAnsi="Times New Roman" w:eastAsia="仿宋_GB2312" w:cs="Times New Roman"/>
          <w:lang w:val="en-US" w:eastAsia="zh-CN"/>
        </w:rPr>
        <w:t>街道党工委）作为县委派出机关，是街道各种组织、县级部门延伸机构和各项工作的领导核心，对街道经济、政治、文化、社会、生态文明建设实行全面领导，对街道党的建设等全面负责。通榆县八区街道办事处（以下简称八区街道办事处）作为县政府的派出机关，根据街道经济社会发展的特点和资源禀赋，确定功能定位，加快职能转变步伐，推进区域发展。</w:t>
      </w:r>
    </w:p>
    <w:p>
      <w:pPr>
        <w:keepNext w:val="0"/>
        <w:keepLines w:val="0"/>
        <w:widowControl/>
        <w:suppressLineNumbers w:val="0"/>
        <w:ind w:firstLine="640" w:firstLineChars="200"/>
        <w:jc w:val="left"/>
      </w:pPr>
      <w:r>
        <w:rPr>
          <w:rFonts w:ascii="仿宋_GB2312" w:hAnsi="宋体" w:eastAsia="仿宋_GB2312" w:cs="仿宋_GB2312"/>
          <w:color w:val="000000"/>
          <w:kern w:val="0"/>
          <w:sz w:val="32"/>
          <w:szCs w:val="32"/>
          <w:lang w:val="en-US" w:eastAsia="zh-CN" w:bidi="ar"/>
        </w:rPr>
        <w:t xml:space="preserve">街道的党工委、办事处的主要职责是：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（一）加强党的建设。落实基层党建工作责任制，坚持和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完善党的全面领导，加强党的组织体系建设，增强党的政治领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导力、思想引领力、群众组织力、社会号召力。统筹抓好辖区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内新领域新业态新群体党建工作，强化党的政治建设、思想建设、组织建设、作风建设、纪律建设，把制度建设贯穿其中。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深入推进反腐败斗争，加强基层意识形态工作。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（二）统筹区域发展。统筹落实辖区发展的重大决策和辖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区建设规划，参与辖区公共服务设施建设规划，推动辖区健康、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有序、可持续发展。合理确定经济发展职能，把经济工作重心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转移到推进产业升级、促进经济结构调整和经济增长方式转变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上来。统筹做好企业服务工作，营造良好营商环境。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（三）组织公共服务。推进政府职能由“管理型”向“服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务型”转变，积极推进基本公共服务均等化。推动优质公共服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务资源向社区延伸。创新公共服务供给方式，加快建立政府主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导、社会参与、公办民办并举的公共服务供给模式，加大政府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购买服务力度。组织实施与群众生活密切相关的各项公共服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务，落实人力社保、民政、教育、文化、体育、卫生健康等各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领域相关政策。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（四）实施综合管理。负责对辖区内社区管理、人口管理、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社会管理等综合性工作，承担组织领导、推进实施、综合协调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和监督检查职能。统筹协调部门派驻机构的日常管理。突出基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层治理职责，着力解决发展进程中的各种问题。配合相关部门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落实好综合执法、应急管理、自然资源管理、市场监管、生态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环境保护等方面职能。负责对辖区内物业管理的监督指导，对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辖区住宅小区开展综合管理。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（五）动员社会参与。坚持以基层党建引领基层治理，动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员指导辖区内各类单位、社会组织等社会力量参与社会治理，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引导辖区单位履行社会责任，整合辖区内各种社会力量为社区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发展服务。做实做强由党建引领的基层共治基本单元，构建党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组织统一领导、各类组织积极协同、广大群众广泛参与的基层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治理体系。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（六）领导基层自治。发挥社区党组织在基层群众自治组 织建设中的领导核心作用，完善党领导下的基层社会治</w:t>
      </w:r>
      <w:r>
        <w:rPr>
          <w:rFonts w:hint="eastAsia" w:ascii="仿宋_GB2312" w:hAnsi="宋体" w:cs="仿宋_GB2312"/>
          <w:color w:val="000000"/>
          <w:kern w:val="0"/>
          <w:sz w:val="32"/>
          <w:szCs w:val="32"/>
          <w:lang w:val="en-US" w:eastAsia="zh-CN" w:bidi="ar"/>
        </w:rPr>
        <w:t>理体</w:t>
      </w:r>
      <w:r>
        <w:rPr>
          <w:rFonts w:hint="eastAsia" w:ascii="仿宋_GB2312" w:hAnsi="宋体" w:eastAsia="仿宋_GB2312" w:cs="仿宋_GB2312"/>
          <w:color w:val="000000"/>
          <w:kern w:val="0"/>
          <w:sz w:val="32"/>
          <w:szCs w:val="32"/>
          <w:lang w:val="en-US" w:eastAsia="zh-CN" w:bidi="ar"/>
        </w:rPr>
        <w:t xml:space="preserve">系，推进社会主义基层协商民主建设，做好组织群众、宣传群众、凝聚群众、服务群众工作，发挥居民在基层社会治理中的主体作用，提高基层自治整体水平。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（七）维护安全稳定。落实安全稳定工作部署。负责辖区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平安建设、综合治理、安全生产管理等有关工作，处理群众来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信来访，有效化解各类矛盾纠纷等。坚持重心下移、力量下沉、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保障下倾，实现辖区安全监管执法和综合治理网格化、一体化，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提高公共安全体系精细化水平。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（八）深化“放管服”改革和“最多跑一次”改革。依托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街道便民服务平台，推进审批服务事项向便民服务中心集中，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保障便民服务中心的审批服务事项到位、权限到位。推进街道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便民服务平台标准化建设，加快实现政务服务马上办、网上办、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就近办、一次办，提升政务服务质量。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（九）完成法律、法规、规章规定的其他事项和县委、县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政府交办的其他任务。 </w:t>
      </w:r>
    </w:p>
    <w:p>
      <w:pPr>
        <w:ind w:firstLine="640" w:firstLineChars="200"/>
      </w:pPr>
      <w:r>
        <w:rPr>
          <w:rFonts w:eastAsia="楷体_GB2312"/>
        </w:rPr>
        <w:t>二、机构设置</w:t>
      </w:r>
    </w:p>
    <w:p>
      <w:pPr>
        <w:keepNext w:val="0"/>
        <w:keepLines w:val="0"/>
        <w:widowControl/>
        <w:suppressLineNumbers w:val="0"/>
        <w:ind w:firstLine="640" w:firstLineChars="200"/>
        <w:jc w:val="left"/>
        <w:rPr>
          <w:rFonts w:hint="eastAsia" w:eastAsia="仿宋_GB2312"/>
          <w:lang w:eastAsia="zh-CN"/>
        </w:rPr>
      </w:pPr>
      <w:r>
        <w:rPr>
          <w:rFonts w:eastAsia="仿宋_GB2312"/>
        </w:rPr>
        <w:t>根据上述职责，</w:t>
      </w:r>
      <w:r>
        <w:rPr>
          <w:rFonts w:hint="eastAsia" w:ascii="Times New Roman" w:hAnsi="Times New Roman" w:eastAsia="仿宋_GB2312" w:cs="Times New Roman"/>
          <w:lang w:eastAsia="zh-CN"/>
        </w:rPr>
        <w:t>通榆县八区街道办事处</w:t>
      </w:r>
      <w:r>
        <w:rPr>
          <w:rFonts w:eastAsia="仿宋_GB2312"/>
        </w:rPr>
        <w:t>内设</w:t>
      </w:r>
      <w:r>
        <w:rPr>
          <w:rFonts w:hint="eastAsia" w:eastAsia="仿宋_GB2312"/>
          <w:lang w:val="en-US" w:eastAsia="zh-CN"/>
        </w:rPr>
        <w:t>7</w:t>
      </w:r>
      <w:r>
        <w:rPr>
          <w:rFonts w:eastAsia="仿宋_GB2312"/>
        </w:rPr>
        <w:t>个机构，分别为</w:t>
      </w:r>
      <w:r>
        <w:rPr>
          <w:rFonts w:hint="eastAsia"/>
          <w:lang w:eastAsia="zh-CN"/>
        </w:rPr>
        <w:t>：</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（一）综合办公室。负责机关日常运转工作，承担机关会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务、文书、信息、保密、档案、机构编制、人事、资产管理、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后勤保障等工作。负责重大事项和工作部署的落实、督办、检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查工作。负责牵头推进“放管服”改革和“最多跑一次”改革，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统筹协调下放审批服务事项的承接工作。承办街道党工委、办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（二）党建工作办公室。负责党的政治建设、组织建设和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宣传、意识形态、统战工作，统筹推进区域化党建、“两新”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组织党建、社区党建工作。承担机关党务、党风廉政建设和反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腐败等工作。统筹推进辖区人才工作。负责指导工会、共青团、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妇联等群团工作。承办街道党工委、办事处交办的其他事项。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（三）平安建设办公室（应急管理办公室）。负责平安建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设、综合治理、维护稳定、“多网合一”等工作。组织协调开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展邪教防范、法治宣传、社区戒毒、社区矫正、刑满释放人员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安置帮教工作。指导督促辖区单位和居民落实安全生产和消防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安全等工作。受理人民群众来信来访、开展矛盾纠纷调处化解。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组织协调有关部门共同解决辖区内的治安问题。加强国防教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育，组织开展防空、防震工作，负责安全生产、应急事件应对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预案的制订和执行等工作。承办街道党工委、办事处交办的其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（四）社会事务办公室（退役军人事务办公室）。具体承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担社会事务和公共服务等工作职责。落实人力社保、医保、退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役军人、民政、保障性住房、教育、文化、体育、卫生健康、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人口计生、残联、红十字等领域的有关政策和工作的落实。承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（五）财政经济办公室。负责编制本街道产业发展规划，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优化投资环境，协调解决经济发展中的相关问题，做好企业管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理和服务工作；统筹协调市监、财税、工信、审计、统计、粮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商等部门的管理工作；编制和执行街道财政预（决）算计划，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统管街道财务、机关及所属单位财务运行、财务管理等工作。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承办街道党工委、办事处交办的其他事项。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（六）公共管理办公室。统筹落实街道发展的重大决策和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街道建设规划，参与辖区公共服务设施建设规划编制；负责贯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彻落实城市建设管理法律法规，统筹抓好辖区基础设施建设管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理、环境整治等工作；指导监督物业服务企业按照合同约定提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供服务；落实对“弃管”小区物业的临时托管；承办街道党工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（七）综合行政执法办公室。负责统筹组织协调辖区内派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驻和基层执法力量实行联合执法，牵头建立综合行政执法平台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工作，代表街道办事处履行明确赋予或授权的行政执法职责。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承办街道党工委、办事处交办的其他事项。 </w:t>
      </w:r>
    </w:p>
    <w:p>
      <w:pPr>
        <w:keepNext w:val="0"/>
        <w:keepLines w:val="0"/>
        <w:widowControl/>
        <w:suppressLineNumbers w:val="0"/>
        <w:ind w:firstLine="640" w:firstLineChars="200"/>
        <w:jc w:val="left"/>
      </w:pPr>
      <w:r>
        <w:rPr>
          <w:rFonts w:hint="eastAsia" w:ascii="仿宋_GB2312" w:hAnsi="宋体" w:eastAsia="仿宋_GB2312" w:cs="仿宋_GB2312"/>
          <w:color w:val="000000"/>
          <w:kern w:val="0"/>
          <w:sz w:val="32"/>
          <w:szCs w:val="32"/>
          <w:lang w:val="en-US" w:eastAsia="zh-CN" w:bidi="ar"/>
        </w:rPr>
        <w:t xml:space="preserve">街道人大、纪检监察、人武、工会、共青团、妇联等组织 </w:t>
      </w:r>
    </w:p>
    <w:p>
      <w:pPr>
        <w:keepNext w:val="0"/>
        <w:keepLines w:val="0"/>
        <w:widowControl/>
        <w:suppressLineNumbers w:val="0"/>
        <w:jc w:val="left"/>
      </w:pPr>
      <w:r>
        <w:rPr>
          <w:rFonts w:hint="eastAsia" w:ascii="仿宋_GB2312" w:hAnsi="宋体" w:eastAsia="仿宋_GB2312" w:cs="仿宋_GB2312"/>
          <w:color w:val="000000"/>
          <w:kern w:val="0"/>
          <w:sz w:val="32"/>
          <w:szCs w:val="32"/>
          <w:lang w:val="en-US" w:eastAsia="zh-CN" w:bidi="ar"/>
        </w:rPr>
        <w:t xml:space="preserve">按有关规定设置并开展工作。 </w:t>
      </w:r>
    </w:p>
    <w:p>
      <w:pPr>
        <w:pStyle w:val="51"/>
        <w:ind w:firstLine="640" w:firstLineChars="200"/>
        <w:rPr>
          <w:rFonts w:eastAsia="仿宋_GB2312"/>
        </w:rPr>
      </w:pPr>
      <w:r>
        <w:rPr>
          <w:rFonts w:eastAsia="仿宋_GB2312"/>
        </w:rPr>
        <w:t>下设</w:t>
      </w:r>
      <w:r>
        <w:rPr>
          <w:rFonts w:hint="eastAsia" w:eastAsia="仿宋_GB2312"/>
          <w:lang w:val="en-US" w:eastAsia="zh-CN"/>
        </w:rPr>
        <w:t>1</w:t>
      </w:r>
      <w:r>
        <w:rPr>
          <w:rFonts w:eastAsia="仿宋_GB2312"/>
        </w:rPr>
        <w:t>家预算单位，为</w:t>
      </w:r>
      <w:r>
        <w:rPr>
          <w:rFonts w:hint="eastAsia" w:eastAsia="仿宋_GB2312"/>
          <w:lang w:val="en-US" w:eastAsia="zh-CN"/>
        </w:rPr>
        <w:t>通榆县</w:t>
      </w:r>
      <w:r>
        <w:rPr>
          <w:rFonts w:hint="eastAsia" w:eastAsia="仿宋_GB2312"/>
          <w:lang w:eastAsia="zh-CN"/>
        </w:rPr>
        <w:t>八区街道综合服务中心</w:t>
      </w:r>
      <w:r>
        <w:rPr>
          <w:rFonts w:eastAsia="仿宋_GB2312"/>
        </w:rPr>
        <w:t>。</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640" w:firstLineChars="200"/>
        <w:jc w:val="center"/>
        <w:rPr>
          <w:rFonts w:eastAsia="黑体"/>
        </w:rPr>
      </w:pPr>
      <w:r>
        <w:rPr>
          <w:rFonts w:eastAsia="黑体"/>
        </w:rPr>
        <w:t>第二部分 预算表格</w:t>
      </w:r>
    </w:p>
    <w:tbl>
      <w:tblPr>
        <w:tblStyle w:val="9"/>
        <w:tblpPr w:leftFromText="180" w:rightFromText="180" w:vertAnchor="text" w:horzAnchor="page" w:tblpX="1126" w:tblpY="698"/>
        <w:tblOverlap w:val="never"/>
        <w:tblW w:w="0" w:type="auto"/>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44"/>
                <w:szCs w:val="44"/>
              </w:rPr>
              <w:t>收支</w:t>
            </w:r>
            <w:r>
              <w:rPr>
                <w:rFonts w:hint="eastAsia" w:eastAsia="方正小标宋简体"/>
                <w:kern w:val="0"/>
                <w:sz w:val="44"/>
                <w:szCs w:val="44"/>
              </w:rPr>
              <w:t>总</w:t>
            </w:r>
            <w:r>
              <w:rPr>
                <w:rFonts w:eastAsia="方正小标宋简体"/>
                <w:kern w:val="0"/>
                <w:sz w:val="44"/>
                <w:szCs w:val="44"/>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2</w:t>
            </w:r>
            <w:r>
              <w:rPr>
                <w:rFonts w:eastAsia="宋体"/>
                <w:kern w:val="0"/>
                <w:sz w:val="20"/>
              </w:rPr>
              <w:t>022</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9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277.75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277.75</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color w:val="000000"/>
                <w:kern w:val="0"/>
                <w:sz w:val="20"/>
                <w:lang w:eastAsia="zh-CN"/>
              </w:rPr>
            </w:pPr>
            <w:r>
              <w:rPr>
                <w:rFonts w:hint="eastAsia" w:eastAsia="宋体"/>
                <w:color w:val="000000"/>
                <w:kern w:val="0"/>
                <w:sz w:val="20"/>
                <w:lang w:eastAsia="zh-CN"/>
              </w:rPr>
              <w:t>277.75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277.75</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277.75</w:t>
            </w: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r>
              <w:rPr>
                <w:rFonts w:hint="eastAsia" w:eastAsia="宋体"/>
                <w:kern w:val="0"/>
                <w:sz w:val="20"/>
                <w:lang w:val="en-US" w:eastAsia="zh-CN"/>
              </w:rPr>
              <w:t>277.75</w:t>
            </w:r>
          </w:p>
        </w:tc>
        <w:tc>
          <w:tcPr>
            <w:tcW w:w="1200" w:type="dxa"/>
            <w:tcBorders>
              <w:top w:val="nil"/>
              <w:left w:val="single" w:color="auto" w:sz="4" w:space="0"/>
              <w:bottom w:val="single" w:color="auto" w:sz="4" w:space="0"/>
              <w:right w:val="nil"/>
            </w:tcBorders>
            <w:noWrap w:val="0"/>
            <w:vAlign w:val="center"/>
          </w:tcPr>
          <w:p>
            <w:pPr>
              <w:tabs>
                <w:tab w:val="left" w:pos="366"/>
              </w:tabs>
              <w:jc w:val="left"/>
              <w:rPr>
                <w:rFonts w:hint="default" w:eastAsia="宋体"/>
                <w:kern w:val="0"/>
                <w:sz w:val="20"/>
                <w:lang w:val="en-US" w:eastAsia="zh-CN"/>
              </w:rPr>
            </w:pPr>
            <w:r>
              <w:rPr>
                <w:rFonts w:hint="eastAsia" w:eastAsia="宋体"/>
                <w:kern w:val="0"/>
                <w:sz w:val="20"/>
                <w:lang w:eastAsia="zh-CN"/>
              </w:rPr>
              <w:tab/>
            </w: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sz w:val="20"/>
              </w:rPr>
              <w:t>三、国防支出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r>
              <w:rPr>
                <w:rFonts w:eastAsia="宋体"/>
                <w:color w:val="000000"/>
                <w:kern w:val="0"/>
                <w:sz w:val="20"/>
              </w:rPr>
              <w:t>……</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277.75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277.75</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b/>
                <w:bCs/>
                <w:kern w:val="0"/>
                <w:sz w:val="20"/>
                <w:lang w:eastAsia="zh-CN"/>
              </w:rPr>
            </w:pPr>
            <w:r>
              <w:rPr>
                <w:rFonts w:hint="eastAsia" w:eastAsia="宋体"/>
                <w:b w:val="0"/>
                <w:bCs w:val="0"/>
                <w:kern w:val="0"/>
                <w:sz w:val="20"/>
                <w:lang w:eastAsia="zh-CN"/>
              </w:rPr>
              <w:t>277.75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277.75</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277.75</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277.75</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lang w:eastAsia="zh-CN"/>
              </w:rPr>
              <w:t>277.75</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val="en-US" w:eastAsia="zh-CN"/>
              </w:rPr>
              <w:t>277.75</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bl>
    <w:p>
      <w:pPr>
        <w:ind w:firstLine="640" w:firstLineChars="200"/>
        <w:rPr>
          <w:rFonts w:eastAsia="楷体_GB2312"/>
          <w:strike/>
        </w:rPr>
      </w:pPr>
    </w:p>
    <w:p>
      <w:pPr>
        <w:ind w:firstLine="640" w:firstLineChars="200"/>
        <w:rPr>
          <w:rFonts w:eastAsia="楷体_GB2312"/>
        </w:rPr>
      </w:pPr>
    </w:p>
    <w:p>
      <w:pPr>
        <w:ind w:firstLine="645"/>
        <w:rPr>
          <w:rFonts w:hint="eastAsia" w:hAnsi="楷体" w:eastAsia="楷体"/>
          <w:lang w:val="en-US" w:eastAsia="zh-CN"/>
        </w:rPr>
      </w:pPr>
      <w:r>
        <w:rPr>
          <w:rFonts w:hint="eastAsia" w:hAnsi="楷体" w:eastAsia="楷体"/>
          <w:lang w:val="en-US" w:eastAsia="zh-CN"/>
        </w:rPr>
        <w:t xml:space="preserve"> </w:t>
      </w:r>
    </w:p>
    <w:p>
      <w:pPr>
        <w:ind w:firstLine="645"/>
        <w:rPr>
          <w:rFonts w:hint="eastAsia" w:hAnsi="楷体" w:eastAsia="楷体"/>
          <w:lang w:val="en-US" w:eastAsia="zh-CN"/>
        </w:rPr>
      </w:pPr>
    </w:p>
    <w:p>
      <w:pPr>
        <w:ind w:firstLine="645"/>
        <w:rPr>
          <w:rFonts w:eastAsia="楷体"/>
        </w:rPr>
      </w:pPr>
      <w:r>
        <w:rPr>
          <w:rFonts w:hAnsi="楷体" w:eastAsia="楷体"/>
        </w:rPr>
        <w:br w:type="page"/>
      </w:r>
    </w:p>
    <w:p>
      <w:pPr>
        <w:jc w:val="center"/>
        <w:rPr>
          <w:rFonts w:eastAsia="方正小标宋简体"/>
          <w:sz w:val="44"/>
        </w:rPr>
      </w:pPr>
      <w:r>
        <w:rPr>
          <w:rFonts w:eastAsia="方正小标宋简体"/>
          <w:sz w:val="44"/>
        </w:rPr>
        <w:t>收入</w:t>
      </w:r>
      <w:r>
        <w:rPr>
          <w:rFonts w:hint="eastAsia" w:eastAsia="方正小标宋简体"/>
          <w:sz w:val="44"/>
        </w:rPr>
        <w:t>总</w:t>
      </w:r>
      <w:r>
        <w:rPr>
          <w:rFonts w:eastAsia="方正小标宋简体"/>
          <w:sz w:val="44"/>
        </w:rPr>
        <w:t>表</w:t>
      </w:r>
    </w:p>
    <w:tbl>
      <w:tblPr>
        <w:tblStyle w:val="9"/>
        <w:tblW w:w="0" w:type="auto"/>
        <w:jc w:val="center"/>
        <w:tblLayout w:type="fixed"/>
        <w:tblCellMar>
          <w:top w:w="0" w:type="dxa"/>
          <w:left w:w="108" w:type="dxa"/>
          <w:bottom w:w="0" w:type="dxa"/>
          <w:right w:w="108" w:type="dxa"/>
        </w:tblCellMar>
      </w:tblPr>
      <w:tblGrid>
        <w:gridCol w:w="428"/>
        <w:gridCol w:w="534"/>
        <w:gridCol w:w="570"/>
        <w:gridCol w:w="600"/>
        <w:gridCol w:w="600"/>
        <w:gridCol w:w="360"/>
        <w:gridCol w:w="416"/>
        <w:gridCol w:w="416"/>
        <w:gridCol w:w="416"/>
        <w:gridCol w:w="218"/>
        <w:gridCol w:w="198"/>
        <w:gridCol w:w="416"/>
        <w:gridCol w:w="447"/>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962"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70"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472"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96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70"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962" w:type="dxa"/>
            <w:gridSpan w:val="2"/>
            <w:tcBorders>
              <w:left w:val="single" w:color="000000" w:sz="4" w:space="0"/>
              <w:right w:val="single" w:color="000000" w:sz="4" w:space="0"/>
            </w:tcBorders>
            <w:noWrap w:val="0"/>
            <w:vAlign w:val="center"/>
          </w:tcPr>
          <w:p>
            <w:pPr>
              <w:widowControl/>
              <w:jc w:val="center"/>
              <w:rPr>
                <w:rFonts w:hint="eastAsia" w:eastAsia="宋体"/>
                <w:color w:val="000000"/>
                <w:sz w:val="20"/>
                <w:lang w:eastAsia="zh-CN"/>
              </w:rPr>
            </w:pPr>
            <w:r>
              <w:rPr>
                <w:rFonts w:hint="eastAsia" w:eastAsia="宋体"/>
                <w:color w:val="000000"/>
                <w:sz w:val="20"/>
                <w:lang w:eastAsia="zh-CN"/>
              </w:rPr>
              <w:t>通榆县八区街道办事处</w:t>
            </w:r>
          </w:p>
        </w:tc>
        <w:tc>
          <w:tcPr>
            <w:tcW w:w="57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277.75</w:t>
            </w:r>
          </w:p>
        </w:tc>
        <w:tc>
          <w:tcPr>
            <w:tcW w:w="6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277.75</w:t>
            </w:r>
          </w:p>
        </w:tc>
        <w:tc>
          <w:tcPr>
            <w:tcW w:w="60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kern w:val="2"/>
                <w:sz w:val="20"/>
                <w:lang w:val="en-US" w:eastAsia="zh-CN" w:bidi="ar-SA"/>
              </w:rPr>
            </w:pPr>
            <w:r>
              <w:rPr>
                <w:rFonts w:hint="eastAsia" w:eastAsia="宋体"/>
                <w:color w:val="000000"/>
                <w:sz w:val="20"/>
                <w:lang w:val="en-US" w:eastAsia="zh-CN"/>
              </w:rPr>
              <w:t>277.75</w:t>
            </w:r>
          </w:p>
        </w:tc>
        <w:tc>
          <w:tcPr>
            <w:tcW w:w="36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4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962"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7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eastAsia="宋体"/>
                <w:color w:val="000000"/>
                <w:kern w:val="2"/>
                <w:sz w:val="20"/>
                <w:lang w:val="en-US" w:eastAsia="zh-CN" w:bidi="ar-SA"/>
              </w:rPr>
            </w:pPr>
            <w:r>
              <w:rPr>
                <w:rFonts w:hint="eastAsia" w:eastAsia="宋体"/>
                <w:color w:val="000000"/>
                <w:sz w:val="20"/>
                <w:lang w:val="en-US" w:eastAsia="zh-CN"/>
              </w:rPr>
              <w:t>277.75</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eastAsia="宋体"/>
                <w:color w:val="000000"/>
                <w:kern w:val="2"/>
                <w:sz w:val="20"/>
                <w:lang w:val="en-US" w:eastAsia="zh-CN" w:bidi="ar-SA"/>
              </w:rPr>
            </w:pPr>
            <w:r>
              <w:rPr>
                <w:rFonts w:hint="eastAsia" w:eastAsia="宋体"/>
                <w:color w:val="000000"/>
                <w:sz w:val="20"/>
                <w:lang w:val="en-US" w:eastAsia="zh-CN"/>
              </w:rPr>
              <w:t>277.75</w:t>
            </w:r>
          </w:p>
        </w:tc>
        <w:tc>
          <w:tcPr>
            <w:tcW w:w="60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eastAsia="宋体"/>
                <w:color w:val="000000"/>
                <w:kern w:val="2"/>
                <w:sz w:val="20"/>
                <w:lang w:val="en-US" w:eastAsia="zh-CN" w:bidi="ar-SA"/>
              </w:rPr>
            </w:pPr>
            <w:r>
              <w:rPr>
                <w:rFonts w:hint="eastAsia" w:eastAsia="宋体"/>
                <w:color w:val="000000"/>
                <w:sz w:val="20"/>
                <w:lang w:val="en-US" w:eastAsia="zh-CN"/>
              </w:rPr>
              <w:t>277.75</w:t>
            </w:r>
          </w:p>
        </w:tc>
        <w:tc>
          <w:tcPr>
            <w:tcW w:w="36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4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
      <w:pPr>
        <w:ind w:firstLine="640" w:firstLineChars="200"/>
      </w:pPr>
    </w:p>
    <w:p>
      <w:pPr>
        <w:ind w:firstLine="640" w:firstLineChars="200"/>
        <w:rPr>
          <w:rFonts w:eastAsia="楷体"/>
        </w:rPr>
      </w:pPr>
      <w:r>
        <w:rPr>
          <w:rFonts w:hint="eastAsia" w:hAnsi="楷体" w:eastAsia="楷体"/>
          <w:lang w:val="en-US" w:eastAsia="zh-CN"/>
        </w:rPr>
        <w:t xml:space="preserve"> </w:t>
      </w: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r>
              <w:rPr>
                <w:rFonts w:eastAsia="方正小标宋简体"/>
                <w:kern w:val="0"/>
                <w:sz w:val="44"/>
                <w:szCs w:val="44"/>
              </w:rPr>
              <w:t>支出</w:t>
            </w:r>
            <w:r>
              <w:rPr>
                <w:rFonts w:hint="eastAsia" w:eastAsia="方正小标宋简体"/>
                <w:kern w:val="0"/>
                <w:sz w:val="44"/>
                <w:szCs w:val="44"/>
              </w:rPr>
              <w:t>总</w:t>
            </w:r>
            <w:r>
              <w:rPr>
                <w:rFonts w:eastAsia="方正小标宋简体"/>
                <w:kern w:val="0"/>
                <w:sz w:val="44"/>
                <w:szCs w:val="44"/>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p>
                <w:p>
                  <w:pPr>
                    <w:widowControl/>
                    <w:jc w:val="center"/>
                    <w:rPr>
                      <w:rFonts w:eastAsia="华文细黑"/>
                      <w:color w:val="000000"/>
                      <w:kern w:val="0"/>
                      <w:sz w:val="20"/>
                    </w:rPr>
                  </w:pPr>
                  <w:r>
                    <w:rPr>
                      <w:rFonts w:eastAsia="华文细黑"/>
                      <w:color w:val="000000"/>
                      <w:kern w:val="0"/>
                      <w:sz w:val="20"/>
                    </w:rPr>
                    <w:t>基本</w:t>
                  </w:r>
                </w:p>
                <w:p>
                  <w:pPr>
                    <w:widowControl/>
                    <w:jc w:val="center"/>
                    <w:rPr>
                      <w:rFonts w:eastAsia="华文细黑"/>
                      <w:color w:val="000000"/>
                      <w:kern w:val="0"/>
                      <w:sz w:val="20"/>
                    </w:rPr>
                  </w:pPr>
                  <w:r>
                    <w:rPr>
                      <w:rFonts w:eastAsia="华文细黑"/>
                      <w:color w:val="000000"/>
                      <w:kern w:val="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事业单位</w:t>
                  </w:r>
                </w:p>
                <w:p>
                  <w:pPr>
                    <w:widowControl/>
                    <w:jc w:val="center"/>
                    <w:rPr>
                      <w:rFonts w:hint="eastAsia" w:eastAsia="华文细黑"/>
                      <w:color w:val="000000"/>
                      <w:kern w:val="0"/>
                      <w:sz w:val="20"/>
                    </w:rPr>
                  </w:pPr>
                  <w:r>
                    <w:rPr>
                      <w:rFonts w:hint="eastAsia" w:eastAsia="华文细黑"/>
                      <w:color w:val="000000"/>
                      <w:kern w:val="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eastAsia="宋体"/>
                      <w:color w:val="000000"/>
                      <w:kern w:val="2"/>
                      <w:sz w:val="20"/>
                      <w:lang w:val="en-US" w:eastAsia="zh-CN" w:bidi="ar-SA"/>
                    </w:rPr>
                  </w:pPr>
                  <w:r>
                    <w:rPr>
                      <w:rFonts w:hint="eastAsia" w:eastAsia="宋体"/>
                      <w:color w:val="000000"/>
                      <w:sz w:val="20"/>
                      <w:lang w:val="en-US" w:eastAsia="zh-CN"/>
                    </w:rPr>
                    <w:t>277.75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62.05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277.75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62.05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277.75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62.05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277.75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215.7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62.05</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bl>
          <w:p>
            <w:pPr>
              <w:widowControl/>
              <w:jc w:val="center"/>
              <w:rPr>
                <w:rFonts w:eastAsia="方正小标宋简体"/>
                <w:kern w:val="0"/>
                <w:sz w:val="44"/>
                <w:szCs w:val="44"/>
              </w:rPr>
            </w:pPr>
          </w:p>
        </w:tc>
      </w:tr>
    </w:tbl>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p>
      <w:pPr>
        <w:ind w:firstLine="640" w:firstLineChars="200"/>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814"/>
              <w:gridCol w:w="837"/>
              <w:gridCol w:w="688"/>
              <w:gridCol w:w="1721"/>
              <w:gridCol w:w="864"/>
              <w:gridCol w:w="795"/>
              <w:gridCol w:w="693"/>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ind w:firstLine="2640" w:firstLineChars="600"/>
                    <w:rPr>
                      <w:rFonts w:eastAsia="方正小标宋简体"/>
                      <w:kern w:val="0"/>
                      <w:sz w:val="44"/>
                      <w:szCs w:val="44"/>
                    </w:rPr>
                  </w:pPr>
                  <w:r>
                    <w:rPr>
                      <w:rFonts w:eastAsia="方正小标宋简体"/>
                      <w:kern w:val="0"/>
                      <w:sz w:val="44"/>
                      <w:szCs w:val="44"/>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81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837"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eastAsia="宋体"/>
                      <w:kern w:val="0"/>
                      <w:sz w:val="20"/>
                      <w:lang w:eastAsia="zh-CN"/>
                    </w:rPr>
                  </w:pPr>
                  <w:r>
                    <w:rPr>
                      <w:rFonts w:hint="eastAsia" w:eastAsia="宋体"/>
                      <w:kern w:val="0"/>
                      <w:sz w:val="20"/>
                    </w:rPr>
                    <w:t>2</w:t>
                  </w:r>
                  <w:r>
                    <w:rPr>
                      <w:rFonts w:eastAsia="宋体"/>
                      <w:kern w:val="0"/>
                      <w:sz w:val="20"/>
                    </w:rPr>
                    <w:t>022</w:t>
                  </w:r>
                  <w:r>
                    <w:rPr>
                      <w:rFonts w:hint="eastAsia" w:eastAsia="宋体"/>
                      <w:kern w:val="0"/>
                      <w:sz w:val="20"/>
                    </w:rPr>
                    <w:t>年预算</w:t>
                  </w:r>
                  <w:r>
                    <w:rPr>
                      <w:rFonts w:hint="eastAsia" w:eastAsia="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14"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37"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w:t>
                  </w:r>
                  <w:r>
                    <w:rPr>
                      <w:rFonts w:hint="eastAsia" w:eastAsia="宋体"/>
                      <w:kern w:val="0"/>
                      <w:sz w:val="20"/>
                      <w:lang w:val="en-US" w:eastAsia="zh-CN"/>
                    </w:rPr>
                    <w:t xml:space="preserve">  </w:t>
                  </w:r>
                  <w:r>
                    <w:rPr>
                      <w:rFonts w:hint="eastAsia" w:eastAsia="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277.75</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277.75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一、一般公共服务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二、</w:t>
                  </w:r>
                  <w:r>
                    <w:rPr>
                      <w:rFonts w:hint="eastAsia" w:eastAsia="宋体"/>
                      <w:color w:val="000000"/>
                      <w:sz w:val="20"/>
                    </w:rPr>
                    <w:t>外交支出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sz w:val="20"/>
                    </w:rPr>
                    <w:t>三、国防支出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autoSpaceDN w:val="0"/>
                    <w:jc w:val="left"/>
                    <w:textAlignment w:val="center"/>
                    <w:rPr>
                      <w:rFonts w:eastAsia="宋体"/>
                      <w:color w:val="000000"/>
                      <w:kern w:val="0"/>
                      <w:sz w:val="20"/>
                    </w:rPr>
                  </w:pPr>
                  <w:r>
                    <w:rPr>
                      <w:rFonts w:eastAsia="宋体"/>
                      <w:color w:val="000000"/>
                      <w:kern w:val="0"/>
                      <w:sz w:val="20"/>
                    </w:rPr>
                    <w:t>……</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1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37"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9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93"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1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837"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r>
                    <w:rPr>
                      <w:rFonts w:eastAsia="宋体"/>
                      <w:kern w:val="0"/>
                      <w:sz w:val="20"/>
                    </w:rPr>
                    <w:t>　</w:t>
                  </w:r>
                </w:p>
              </w:tc>
              <w:tc>
                <w:tcPr>
                  <w:tcW w:w="795"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lang w:val="en-US" w:eastAsia="zh-CN" w:bidi="ar-SA"/>
                    </w:rPr>
                  </w:pPr>
                  <w:r>
                    <w:rPr>
                      <w:rFonts w:hint="eastAsia" w:eastAsia="宋体"/>
                      <w:kern w:val="0"/>
                      <w:sz w:val="20"/>
                      <w:lang w:val="en-US" w:eastAsia="zh-CN"/>
                    </w:rPr>
                    <w:t>277.75</w:t>
                  </w:r>
                </w:p>
              </w:tc>
              <w:tc>
                <w:tcPr>
                  <w:tcW w:w="69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bidi="ar-SA"/>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20"/>
                    </w:rPr>
                  </w:pPr>
                  <w:r>
                    <w:rPr>
                      <w:rFonts w:eastAsia="方正小标宋简体"/>
                      <w:kern w:val="0"/>
                      <w:sz w:val="44"/>
                      <w:szCs w:val="44"/>
                    </w:rPr>
                    <w:t>一般公共预算</w:t>
                  </w:r>
                  <w:r>
                    <w:rPr>
                      <w:rFonts w:hint="eastAsia" w:eastAsia="方正小标宋简体"/>
                      <w:kern w:val="0"/>
                      <w:sz w:val="44"/>
                      <w:szCs w:val="44"/>
                    </w:rPr>
                    <w:t>支出</w:t>
                  </w:r>
                  <w:r>
                    <w:rPr>
                      <w:rFonts w:eastAsia="方正小标宋简体"/>
                      <w:kern w:val="0"/>
                      <w:sz w:val="44"/>
                      <w:szCs w:val="44"/>
                    </w:rPr>
                    <w:t>表</w:t>
                  </w: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277.75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215.7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19.14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62.05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 xml:space="preserve">    人大事务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277.75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215.7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196.56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19.14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62.05</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r>
                    <w:rPr>
                      <w:rFonts w:eastAsia="宋体"/>
                      <w:color w:val="000000"/>
                      <w:kern w:val="0"/>
                      <w:sz w:val="20"/>
                    </w:rPr>
                    <w:t>……</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277.75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215.7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196.56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19.14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bidi="ar-SA"/>
                    </w:rPr>
                  </w:pPr>
                  <w:r>
                    <w:rPr>
                      <w:rFonts w:hint="eastAsia" w:eastAsia="宋体"/>
                      <w:color w:val="000000"/>
                      <w:kern w:val="0"/>
                      <w:sz w:val="20"/>
                      <w:lang w:val="en-US" w:eastAsia="zh-CN"/>
                    </w:rPr>
                    <w:t>62.05</w:t>
                  </w:r>
                </w:p>
              </w:tc>
            </w:tr>
          </w:tbl>
          <w:p>
            <w:pPr>
              <w:widowControl/>
              <w:jc w:val="center"/>
              <w:rPr>
                <w:rFonts w:eastAsia="方正小标宋简体"/>
                <w:kern w:val="0"/>
                <w:sz w:val="44"/>
                <w:szCs w:val="44"/>
              </w:rPr>
            </w:pPr>
          </w:p>
        </w:tc>
      </w:tr>
    </w:tbl>
    <w:p>
      <w:pPr>
        <w:ind w:firstLine="640" w:firstLineChars="200"/>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ind w:firstLine="640" w:firstLineChars="200"/>
        <w:rPr>
          <w:rFonts w:eastAsia="楷体"/>
        </w:rPr>
      </w:pPr>
    </w:p>
    <w:p>
      <w:pPr>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44"/>
                <w:szCs w:val="44"/>
              </w:rPr>
              <w:t>一般公共预算</w:t>
            </w:r>
            <w:r>
              <w:rPr>
                <w:rFonts w:hint="eastAsia" w:eastAsia="方正小标宋简体"/>
                <w:kern w:val="0"/>
                <w:sz w:val="44"/>
                <w:szCs w:val="44"/>
              </w:rPr>
              <w:t>基本</w:t>
            </w:r>
            <w:r>
              <w:rPr>
                <w:rFonts w:eastAsia="方正小标宋简体"/>
                <w:kern w:val="0"/>
                <w:sz w:val="44"/>
                <w:szCs w:val="44"/>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Ansi="华文细黑" w:eastAsia="华文细黑"/>
                <w:kern w:val="0"/>
                <w:sz w:val="20"/>
              </w:rPr>
              <w:t>　</w:t>
            </w:r>
            <w:r>
              <w:rPr>
                <w:rFonts w:hint="eastAsia" w:hAnsi="华文细黑" w:eastAsia="华文细黑"/>
                <w:kern w:val="0"/>
                <w:sz w:val="20"/>
              </w:rPr>
              <w:t>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Ansi="华文细黑" w:eastAsia="华文细黑"/>
                <w:kern w:val="0"/>
                <w:sz w:val="20"/>
              </w:rPr>
            </w:pPr>
            <w:r>
              <w:rPr>
                <w:rFonts w:hAnsi="华文细黑" w:eastAsia="华文细黑"/>
                <w:kern w:val="0"/>
                <w:sz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eastAsia="华文细黑"/>
                <w:kern w:val="0"/>
                <w:sz w:val="20"/>
              </w:rPr>
            </w:pPr>
            <w:r>
              <w:rPr>
                <w:rFonts w:eastAsia="华文细黑"/>
                <w:color w:val="000000"/>
                <w:kern w:val="0"/>
                <w:sz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pPr>
            <w:r>
              <w:rPr>
                <w:rFonts w:eastAsia="华文细黑"/>
                <w:color w:val="000000"/>
                <w:kern w:val="0"/>
                <w:sz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pPr>
            <w:r>
              <w:rPr>
                <w:rFonts w:eastAsia="华文细黑"/>
                <w:color w:val="000000"/>
                <w:kern w:val="0"/>
                <w:sz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r>
              <w:rPr>
                <w:rFonts w:eastAsia="宋体"/>
                <w:color w:val="000000"/>
                <w:sz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196.56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196.56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64.85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64.85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49.79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49.79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4.92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4.92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46.22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77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30.78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30.78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kern w:val="0"/>
                <w:sz w:val="20"/>
              </w:rPr>
            </w:pPr>
            <w:r>
              <w:rPr>
                <w:rFonts w:eastAsia="宋体"/>
                <w:color w:val="000000"/>
                <w:sz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19.14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19.14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3.4</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eastAsia="zh-CN"/>
              </w:rPr>
            </w:pPr>
            <w:r>
              <w:rPr>
                <w:rFonts w:hint="eastAsia" w:eastAsia="宋体"/>
                <w:color w:val="000000"/>
                <w:kern w:val="0"/>
                <w:sz w:val="20"/>
                <w:lang w:eastAsia="zh-CN"/>
              </w:rPr>
              <w:t>取暖费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15.74</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0</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rPr>
            </w:pPr>
            <w:r>
              <w:rPr>
                <w:rFonts w:hint="eastAsia" w:ascii="Times New Roman" w:hAnsi="Times New Roman" w:eastAsia="宋体" w:cs="Times New Roman"/>
                <w:kern w:val="0"/>
                <w:sz w:val="20"/>
                <w:lang w:val="en-US" w:eastAsia="zh-CN"/>
              </w:rPr>
              <w:t>15.74</w:t>
            </w:r>
          </w:p>
        </w:tc>
      </w:tr>
    </w:tbl>
    <w:p>
      <w:pPr>
        <w:rPr>
          <w:sz w:val="16"/>
          <w:szCs w:val="16"/>
        </w:rPr>
      </w:pPr>
    </w:p>
    <w:p>
      <w:pPr>
        <w:rPr>
          <w:sz w:val="16"/>
          <w:szCs w:val="16"/>
        </w:rPr>
      </w:pPr>
    </w:p>
    <w:p>
      <w:pPr>
        <w:rPr>
          <w:sz w:val="16"/>
          <w:szCs w:val="16"/>
        </w:rPr>
      </w:pPr>
    </w:p>
    <w:p>
      <w:pPr>
        <w:ind w:firstLine="636"/>
        <w:rPr>
          <w:rFonts w:hAnsi="楷体" w:eastAsia="楷体"/>
        </w:rPr>
      </w:pPr>
    </w:p>
    <w:p>
      <w:pPr>
        <w:ind w:firstLine="636"/>
        <w:rPr>
          <w:rFonts w:hAnsi="楷体" w:eastAsia="楷体"/>
        </w:rPr>
      </w:pPr>
    </w:p>
    <w:p>
      <w:pPr>
        <w:ind w:firstLine="636"/>
        <w:rPr>
          <w:rFonts w:hAnsi="楷体" w:eastAsia="楷体"/>
        </w:rPr>
      </w:pPr>
    </w:p>
    <w:p>
      <w:pPr>
        <w:ind w:firstLine="636"/>
        <w:rPr>
          <w:rFonts w:hAnsi="楷体" w:eastAsia="楷体"/>
        </w:rPr>
      </w:pPr>
    </w:p>
    <w:p>
      <w:pPr>
        <w:ind w:firstLine="636"/>
        <w:rPr>
          <w:rFonts w:hAnsi="楷体" w:eastAsia="楷体"/>
        </w:rPr>
      </w:pPr>
    </w:p>
    <w:p>
      <w:pPr>
        <w:ind w:firstLine="636"/>
        <w:rPr>
          <w:rFonts w:eastAsia="楷体"/>
        </w:rPr>
      </w:pP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eastAsia="方正小标宋简体"/>
                <w:color w:val="000000"/>
                <w:kern w:val="0"/>
                <w:sz w:val="44"/>
                <w:szCs w:val="44"/>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eastAsia="华文细黑"/>
                <w:color w:val="000000"/>
                <w:kern w:val="0"/>
                <w:sz w:val="20"/>
              </w:rPr>
              <w:t>20</w:t>
            </w:r>
            <w:r>
              <w:rPr>
                <w:rFonts w:hint="eastAsia" w:eastAsia="华文细黑"/>
                <w:color w:val="000000"/>
                <w:kern w:val="0"/>
                <w:sz w:val="20"/>
              </w:rPr>
              <w:t>22</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hint="eastAsia" w:eastAsia="宋体"/>
                <w:color w:val="000000"/>
                <w:kern w:val="0"/>
                <w:sz w:val="20"/>
                <w:lang w:val="en-US" w:eastAsia="zh-CN" w:bidi="ar-SA"/>
              </w:rPr>
            </w:pPr>
          </w:p>
        </w:tc>
        <w:tc>
          <w:tcPr>
            <w:tcW w:w="1378"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bidi="ar-SA"/>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“20</w:t>
            </w:r>
            <w:r>
              <w:rPr>
                <w:rFonts w:hint="eastAsia" w:eastAsia="宋体"/>
                <w:color w:val="000000"/>
                <w:kern w:val="0"/>
                <w:sz w:val="28"/>
                <w:szCs w:val="28"/>
              </w:rPr>
              <w:t>22</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17</w:t>
            </w:r>
            <w:r>
              <w:rPr>
                <w:color w:val="000000"/>
                <w:kern w:val="0"/>
                <w:sz w:val="28"/>
                <w:szCs w:val="28"/>
              </w:rPr>
              <w:t>人，其中：在职人员</w:t>
            </w:r>
            <w:r>
              <w:rPr>
                <w:rFonts w:hint="eastAsia"/>
                <w:color w:val="000000"/>
                <w:kern w:val="0"/>
                <w:sz w:val="28"/>
                <w:szCs w:val="28"/>
                <w:lang w:val="en-US" w:eastAsia="zh-CN"/>
              </w:rPr>
              <w:t>17</w:t>
            </w:r>
            <w:r>
              <w:rPr>
                <w:color w:val="000000"/>
                <w:kern w:val="0"/>
                <w:sz w:val="28"/>
                <w:szCs w:val="28"/>
              </w:rPr>
              <w:t>人，离退休人员</w:t>
            </w:r>
            <w:r>
              <w:rPr>
                <w:rFonts w:hint="eastAsia"/>
                <w:color w:val="000000"/>
                <w:kern w:val="0"/>
                <w:sz w:val="28"/>
                <w:szCs w:val="28"/>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3、按照吉林省财政厅《关于规范按权责发生制列支事项的通知》（吉财办〔2021〕900号）及《吉林省省级部门财政拨款结转和结余资金管理办法》（吉财预〔2021〕1120号）要求，2021年下达预算单位未支出在财政预算结转部分列入2022年年初预算，坚持“过紧日子”思想，在2022年“三公”经费预算中“上年结转”额度在2022年预算执行中由省财政统一收回，不再形成“三公经费”支出。</w:t>
            </w: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eastAsia="方正小标宋简体"/>
                <w:kern w:val="0"/>
                <w:sz w:val="44"/>
                <w:szCs w:val="44"/>
              </w:rPr>
              <w:t>政府性基金预算支出表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jc w:val="center"/>
              <w:rPr>
                <w:rFonts w:eastAsia="方正小标宋简体"/>
                <w:kern w:val="0"/>
                <w:sz w:val="44"/>
                <w:szCs w:val="44"/>
              </w:rPr>
            </w:pPr>
            <w:r>
              <w:rPr>
                <w:rFonts w:hint="eastAsia" w:eastAsia="方正小标宋简体"/>
                <w:kern w:val="0"/>
                <w:sz w:val="44"/>
                <w:szCs w:val="44"/>
              </w:rPr>
              <w:t>国有资本经营</w:t>
            </w:r>
            <w:r>
              <w:rPr>
                <w:rFonts w:eastAsia="方正小标宋简体"/>
                <w:kern w:val="0"/>
                <w:sz w:val="44"/>
                <w:szCs w:val="44"/>
              </w:rPr>
              <w:t>预算支出表</w:t>
            </w:r>
          </w:p>
          <w:p>
            <w:pPr>
              <w:widowControl/>
              <w:jc w:val="right"/>
              <w:rPr>
                <w:rFonts w:eastAsia="华文细黑"/>
                <w:color w:val="000000"/>
                <w:kern w:val="0"/>
                <w:sz w:val="20"/>
              </w:rPr>
            </w:pPr>
          </w:p>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eastAsia="华文细黑"/>
                <w:color w:val="000000"/>
                <w:sz w:val="20"/>
              </w:rPr>
              <w:t>功能分类</w:t>
            </w:r>
          </w:p>
          <w:p>
            <w:pPr>
              <w:widowControl/>
              <w:jc w:val="center"/>
              <w:rPr>
                <w:rFonts w:eastAsia="华文细黑"/>
                <w:color w:val="000000"/>
                <w:kern w:val="0"/>
                <w:sz w:val="20"/>
              </w:rPr>
            </w:pPr>
            <w:r>
              <w:rPr>
                <w:rFonts w:eastAsia="华文细黑"/>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r>
        <w:rPr>
          <w:rFonts w:eastAsia="楷体"/>
          <w:kern w:val="0"/>
          <w:szCs w:val="32"/>
        </w:rPr>
        <w:br w:type="page"/>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44"/>
                <w:szCs w:val="44"/>
              </w:rPr>
            </w:pPr>
            <w:r>
              <w:rPr>
                <w:rFonts w:hint="eastAsia" w:ascii="Calibri" w:hAnsi="Calibri" w:eastAsia="方正小标宋简体"/>
                <w:kern w:val="0"/>
                <w:sz w:val="44"/>
                <w:szCs w:val="44"/>
              </w:rPr>
              <w:t>项目支出</w:t>
            </w:r>
            <w:r>
              <w:rPr>
                <w:rFonts w:ascii="Calibri" w:hAnsi="Calibri" w:eastAsia="方正小标宋简体"/>
                <w:kern w:val="0"/>
                <w:sz w:val="44"/>
                <w:szCs w:val="44"/>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类型</w:t>
            </w:r>
          </w:p>
        </w:tc>
        <w:tc>
          <w:tcPr>
            <w:tcW w:w="2170" w:type="dxa"/>
            <w:gridSpan w:val="2"/>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项目名称</w:t>
            </w:r>
          </w:p>
        </w:tc>
        <w:tc>
          <w:tcPr>
            <w:tcW w:w="864"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项目</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单位</w:t>
            </w:r>
          </w:p>
        </w:tc>
        <w:tc>
          <w:tcPr>
            <w:tcW w:w="498" w:type="dxa"/>
            <w:vMerge w:val="restart"/>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628"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本年财政拨款</w:t>
            </w:r>
          </w:p>
        </w:tc>
        <w:tc>
          <w:tcPr>
            <w:tcW w:w="1694" w:type="dxa"/>
            <w:gridSpan w:val="3"/>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财政拨款结转</w:t>
            </w:r>
          </w:p>
        </w:tc>
        <w:tc>
          <w:tcPr>
            <w:tcW w:w="443" w:type="dxa"/>
            <w:vMerge w:val="restart"/>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财政专户</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管理资金</w:t>
            </w:r>
          </w:p>
        </w:tc>
        <w:tc>
          <w:tcPr>
            <w:tcW w:w="425" w:type="dxa"/>
            <w:vMerge w:val="restart"/>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一级项目</w:t>
            </w:r>
          </w:p>
        </w:tc>
        <w:tc>
          <w:tcPr>
            <w:tcW w:w="1107"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一般公共预算</w:t>
            </w:r>
          </w:p>
        </w:tc>
        <w:tc>
          <w:tcPr>
            <w:tcW w:w="554"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21"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经营预算</w:t>
            </w:r>
          </w:p>
        </w:tc>
        <w:tc>
          <w:tcPr>
            <w:tcW w:w="564"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一般</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公共</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32"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政府性</w:t>
            </w:r>
          </w:p>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基金</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598" w:type="dxa"/>
            <w:noWrap w:val="0"/>
            <w:vAlign w:val="center"/>
          </w:tcPr>
          <w:p>
            <w:pPr>
              <w:autoSpaceDN w:val="0"/>
              <w:jc w:val="center"/>
              <w:textAlignment w:val="center"/>
              <w:rPr>
                <w:rFonts w:hint="eastAsia" w:ascii="Calibri" w:hAnsi="Calibri" w:eastAsia="华文细黑"/>
                <w:color w:val="000000"/>
                <w:sz w:val="20"/>
                <w:szCs w:val="22"/>
                <w:lang w:eastAsia="zh-CN"/>
              </w:rPr>
            </w:pPr>
            <w:r>
              <w:rPr>
                <w:rFonts w:hint="eastAsia" w:ascii="Calibri" w:hAnsi="Calibri" w:eastAsia="华文细黑"/>
                <w:color w:val="000000"/>
                <w:sz w:val="20"/>
                <w:szCs w:val="22"/>
              </w:rPr>
              <w:t>国有资本经营</w:t>
            </w:r>
          </w:p>
          <w:p>
            <w:pPr>
              <w:autoSpaceDN w:val="0"/>
              <w:jc w:val="center"/>
              <w:textAlignment w:val="center"/>
              <w:rPr>
                <w:rFonts w:ascii="Calibri" w:hAnsi="Calibri" w:eastAsia="华文细黑"/>
                <w:color w:val="000000"/>
                <w:sz w:val="20"/>
                <w:szCs w:val="22"/>
              </w:rPr>
            </w:pPr>
            <w:r>
              <w:rPr>
                <w:rFonts w:hint="eastAsia" w:ascii="Calibri" w:hAnsi="Calibri" w:eastAsia="华文细黑"/>
                <w:color w:val="000000"/>
                <w:sz w:val="20"/>
                <w:szCs w:val="22"/>
              </w:rPr>
              <w:t>预算</w:t>
            </w:r>
          </w:p>
        </w:tc>
        <w:tc>
          <w:tcPr>
            <w:tcW w:w="443" w:type="dxa"/>
            <w:vMerge w:val="continue"/>
            <w:noWrap w:val="0"/>
            <w:vAlign w:val="center"/>
          </w:tcPr>
          <w:p>
            <w:pPr>
              <w:autoSpaceDN w:val="0"/>
              <w:jc w:val="center"/>
              <w:textAlignment w:val="center"/>
              <w:rPr>
                <w:rFonts w:ascii="Calibri" w:hAnsi="Calibri" w:eastAsia="华文细黑"/>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eastAsia" w:ascii="Calibri" w:hAnsi="Calibri" w:eastAsia="华文细黑" w:cs="Times New Roman"/>
                <w:color w:val="000000"/>
                <w:sz w:val="20"/>
                <w:szCs w:val="22"/>
                <w:lang w:eastAsia="zh-CN"/>
              </w:rPr>
            </w:pPr>
            <w:r>
              <w:rPr>
                <w:rFonts w:hint="eastAsia" w:ascii="Calibri" w:hAnsi="Calibri" w:eastAsia="华文细黑" w:cs="Times New Roman"/>
                <w:color w:val="000000"/>
                <w:sz w:val="20"/>
                <w:szCs w:val="22"/>
                <w:lang w:eastAsia="zh-CN"/>
              </w:rPr>
              <w:t>辅岗</w:t>
            </w: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lang w:eastAsia="zh-CN"/>
              </w:rPr>
            </w:pPr>
            <w:r>
              <w:rPr>
                <w:rFonts w:hint="eastAsia" w:ascii="Calibri" w:hAnsi="Calibri" w:eastAsia="华文细黑" w:cs="Times New Roman"/>
                <w:color w:val="000000"/>
                <w:sz w:val="20"/>
                <w:szCs w:val="22"/>
                <w:lang w:eastAsia="zh-CN"/>
              </w:rPr>
              <w:t>辅岗工资</w:t>
            </w:r>
          </w:p>
        </w:tc>
        <w:tc>
          <w:tcPr>
            <w:tcW w:w="864" w:type="dxa"/>
            <w:noWrap w:val="0"/>
            <w:vAlign w:val="center"/>
          </w:tcPr>
          <w:p>
            <w:pPr>
              <w:autoSpaceDN w:val="0"/>
              <w:jc w:val="both"/>
              <w:textAlignment w:val="center"/>
              <w:rPr>
                <w:rFonts w:hint="eastAsia" w:ascii="Calibri" w:hAnsi="Calibri" w:eastAsia="华文细黑" w:cs="Times New Roman"/>
                <w:color w:val="000000"/>
                <w:sz w:val="20"/>
                <w:szCs w:val="22"/>
                <w:lang w:eastAsia="zh-CN"/>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center"/>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29.11</w:t>
            </w:r>
          </w:p>
        </w:tc>
        <w:tc>
          <w:tcPr>
            <w:tcW w:w="553" w:type="dxa"/>
            <w:noWrap w:val="0"/>
            <w:vAlign w:val="center"/>
          </w:tcPr>
          <w:p>
            <w:pPr>
              <w:autoSpaceDN w:val="0"/>
              <w:jc w:val="center"/>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29.11</w:t>
            </w:r>
          </w:p>
        </w:tc>
        <w:tc>
          <w:tcPr>
            <w:tcW w:w="554"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办公经费</w:t>
            </w:r>
          </w:p>
        </w:tc>
        <w:tc>
          <w:tcPr>
            <w:tcW w:w="1107"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办公费</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3.4</w:t>
            </w:r>
          </w:p>
        </w:tc>
        <w:tc>
          <w:tcPr>
            <w:tcW w:w="553"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3.4</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tabs>
                <w:tab w:val="left" w:pos="381"/>
              </w:tabs>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eastAsia="zh-CN"/>
              </w:rPr>
              <w:t>补</w:t>
            </w:r>
            <w:r>
              <w:rPr>
                <w:rFonts w:hint="eastAsia" w:ascii="Calibri" w:hAnsi="Calibri" w:eastAsia="华文细黑" w:cs="Times New Roman"/>
                <w:color w:val="000000"/>
                <w:sz w:val="20"/>
                <w:szCs w:val="22"/>
                <w:lang w:val="en-US" w:eastAsia="zh-CN"/>
              </w:rPr>
              <w:t>2021年年末追加住房公积金</w:t>
            </w: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eastAsia="zh-CN"/>
              </w:rPr>
              <w:t>八区街道办事处</w:t>
            </w:r>
            <w:r>
              <w:rPr>
                <w:rFonts w:hint="eastAsia" w:ascii="Calibri" w:hAnsi="Calibri" w:eastAsia="华文细黑" w:cs="Times New Roman"/>
                <w:color w:val="000000"/>
                <w:sz w:val="20"/>
                <w:szCs w:val="22"/>
                <w:lang w:val="en-US" w:eastAsia="zh-CN"/>
              </w:rPr>
              <w:t>2021年末追加住房公积金</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0.32</w:t>
            </w:r>
          </w:p>
        </w:tc>
        <w:tc>
          <w:tcPr>
            <w:tcW w:w="553"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0.32</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eastAsia="zh-CN"/>
              </w:rPr>
              <w:t>预拨</w:t>
            </w:r>
            <w:r>
              <w:rPr>
                <w:rFonts w:hint="eastAsia" w:ascii="Calibri" w:hAnsi="Calibri" w:eastAsia="华文细黑" w:cs="Times New Roman"/>
                <w:color w:val="000000"/>
                <w:sz w:val="20"/>
                <w:szCs w:val="22"/>
                <w:lang w:val="en-US" w:eastAsia="zh-CN"/>
              </w:rPr>
              <w:t>2021年下半年绩效奖</w:t>
            </w: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eastAsia="zh-CN"/>
              </w:rPr>
              <w:t>八区街道办事处</w:t>
            </w:r>
            <w:r>
              <w:rPr>
                <w:rFonts w:hint="eastAsia" w:ascii="Calibri" w:hAnsi="Calibri" w:eastAsia="华文细黑" w:cs="Times New Roman"/>
                <w:color w:val="000000"/>
                <w:sz w:val="20"/>
                <w:szCs w:val="22"/>
                <w:lang w:val="en-US" w:eastAsia="zh-CN"/>
              </w:rPr>
              <w:t>2021年下半年绩效奖</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4.34</w:t>
            </w:r>
          </w:p>
        </w:tc>
        <w:tc>
          <w:tcPr>
            <w:tcW w:w="553"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4.34</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2"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2022年八区街道办事处社区工作者补贴</w:t>
            </w: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val="en-US" w:eastAsia="zh-CN"/>
              </w:rPr>
              <w:t>2022年八区街道办事处补发社区工作者补贴</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2.08</w:t>
            </w:r>
          </w:p>
        </w:tc>
        <w:tc>
          <w:tcPr>
            <w:tcW w:w="553"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2.08</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val="en-US" w:eastAsia="zh-CN"/>
              </w:rPr>
              <w:t>2022年八区街道办事处办公设备</w:t>
            </w:r>
          </w:p>
        </w:tc>
        <w:tc>
          <w:tcPr>
            <w:tcW w:w="1107"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2022年八区街道办事处办公设备</w:t>
            </w:r>
          </w:p>
        </w:tc>
        <w:tc>
          <w:tcPr>
            <w:tcW w:w="864"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9.8</w:t>
            </w:r>
          </w:p>
        </w:tc>
        <w:tc>
          <w:tcPr>
            <w:tcW w:w="553" w:type="dxa"/>
            <w:noWrap w:val="0"/>
            <w:vAlign w:val="center"/>
          </w:tcPr>
          <w:p>
            <w:pPr>
              <w:autoSpaceDN w:val="0"/>
              <w:jc w:val="both"/>
              <w:textAlignment w:val="center"/>
              <w:rPr>
                <w:rFonts w:hint="default"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9.8</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2022年八区街道办事处网费及通讯费</w:t>
            </w: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val="en-US" w:eastAsia="zh-CN"/>
              </w:rPr>
              <w:t>2022年八区街道办事处网费及通讯费</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5</w:t>
            </w:r>
          </w:p>
        </w:tc>
        <w:tc>
          <w:tcPr>
            <w:tcW w:w="553" w:type="dxa"/>
            <w:noWrap w:val="0"/>
            <w:vAlign w:val="center"/>
          </w:tcPr>
          <w:p>
            <w:pPr>
              <w:autoSpaceDN w:val="0"/>
              <w:jc w:val="both"/>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5</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exact"/>
          <w:jc w:val="center"/>
        </w:trPr>
        <w:tc>
          <w:tcPr>
            <w:tcW w:w="759"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专项业务支 出</w:t>
            </w:r>
          </w:p>
        </w:tc>
        <w:tc>
          <w:tcPr>
            <w:tcW w:w="1063"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val="en-US" w:eastAsia="zh-CN"/>
              </w:rPr>
              <w:t>2022年八区街道办事处办公经费</w:t>
            </w:r>
          </w:p>
        </w:tc>
        <w:tc>
          <w:tcPr>
            <w:tcW w:w="1107" w:type="dxa"/>
            <w:noWrap w:val="0"/>
            <w:vAlign w:val="center"/>
          </w:tcPr>
          <w:p>
            <w:pPr>
              <w:autoSpaceDN w:val="0"/>
              <w:jc w:val="both"/>
              <w:textAlignment w:val="center"/>
              <w:rPr>
                <w:rFonts w:hint="eastAsia" w:ascii="Calibri" w:hAnsi="Calibri" w:eastAsia="华文细黑" w:cs="Times New Roman"/>
                <w:color w:val="000000"/>
                <w:sz w:val="20"/>
                <w:szCs w:val="22"/>
              </w:rPr>
            </w:pPr>
            <w:r>
              <w:rPr>
                <w:rFonts w:hint="eastAsia" w:ascii="Calibri" w:hAnsi="Calibri" w:eastAsia="华文细黑" w:cs="Times New Roman"/>
                <w:color w:val="000000"/>
                <w:sz w:val="20"/>
                <w:szCs w:val="22"/>
                <w:lang w:val="en-US" w:eastAsia="zh-CN"/>
              </w:rPr>
              <w:t>2022年八区街道办事处办公经费</w:t>
            </w:r>
          </w:p>
        </w:tc>
        <w:tc>
          <w:tcPr>
            <w:tcW w:w="864" w:type="dxa"/>
            <w:noWrap w:val="0"/>
            <w:vAlign w:val="center"/>
          </w:tcPr>
          <w:p>
            <w:pPr>
              <w:autoSpaceDN w:val="0"/>
              <w:jc w:val="both"/>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eastAsia="zh-CN"/>
              </w:rPr>
              <w:t>通榆县八区街道办事处</w:t>
            </w:r>
          </w:p>
        </w:tc>
        <w:tc>
          <w:tcPr>
            <w:tcW w:w="498" w:type="dxa"/>
            <w:noWrap w:val="0"/>
            <w:vAlign w:val="center"/>
          </w:tcPr>
          <w:p>
            <w:pPr>
              <w:autoSpaceDN w:val="0"/>
              <w:jc w:val="both"/>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8</w:t>
            </w:r>
          </w:p>
        </w:tc>
        <w:tc>
          <w:tcPr>
            <w:tcW w:w="553" w:type="dxa"/>
            <w:noWrap w:val="0"/>
            <w:vAlign w:val="center"/>
          </w:tcPr>
          <w:p>
            <w:pPr>
              <w:autoSpaceDN w:val="0"/>
              <w:jc w:val="both"/>
              <w:textAlignment w:val="center"/>
              <w:rPr>
                <w:rFonts w:hint="eastAsia" w:ascii="Calibri" w:hAnsi="Calibri" w:eastAsia="华文细黑" w:cs="Times New Roman"/>
                <w:color w:val="000000"/>
                <w:sz w:val="20"/>
                <w:szCs w:val="22"/>
                <w:lang w:val="en-US" w:eastAsia="zh-CN"/>
              </w:rPr>
            </w:pPr>
            <w:r>
              <w:rPr>
                <w:rFonts w:hint="eastAsia" w:ascii="Calibri" w:hAnsi="Calibri" w:eastAsia="华文细黑" w:cs="Times New Roman"/>
                <w:color w:val="000000"/>
                <w:sz w:val="20"/>
                <w:szCs w:val="22"/>
                <w:lang w:val="en-US" w:eastAsia="zh-CN"/>
              </w:rPr>
              <w:t>8</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62.05</w:t>
            </w:r>
          </w:p>
        </w:tc>
        <w:tc>
          <w:tcPr>
            <w:tcW w:w="553" w:type="dxa"/>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62.05</w:t>
            </w:r>
          </w:p>
        </w:tc>
        <w:tc>
          <w:tcPr>
            <w:tcW w:w="55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21"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64"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32"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598"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43"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c>
          <w:tcPr>
            <w:tcW w:w="425" w:type="dxa"/>
            <w:noWrap w:val="0"/>
            <w:vAlign w:val="center"/>
          </w:tcPr>
          <w:p>
            <w:pPr>
              <w:autoSpaceDN w:val="0"/>
              <w:jc w:val="center"/>
              <w:textAlignment w:val="center"/>
              <w:rPr>
                <w:rFonts w:hint="eastAsia"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sz w:val="20"/>
                <w:szCs w:val="22"/>
                <w:lang w:val="en-US" w:eastAsia="zh-CN"/>
              </w:rPr>
              <w:t>0</w:t>
            </w:r>
          </w:p>
        </w:tc>
      </w:tr>
    </w:tbl>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hAnsi="楷体" w:eastAsia="楷体"/>
        </w:rPr>
      </w:pPr>
    </w:p>
    <w:p>
      <w:pPr>
        <w:ind w:firstLine="640" w:firstLineChars="200"/>
        <w:rPr>
          <w:rFonts w:hAnsi="楷体" w:eastAsia="楷体"/>
        </w:rPr>
      </w:pPr>
    </w:p>
    <w:p>
      <w:pPr>
        <w:spacing w:line="700" w:lineRule="exact"/>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辅岗</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(万元）</w:t>
            </w:r>
          </w:p>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eastAsia="华文细黑"/>
                <w:color w:val="000000"/>
                <w:sz w:val="20"/>
                <w:lang w:val="en-US" w:eastAsia="zh-CN"/>
              </w:rPr>
              <w:t>29.11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eastAsia="华文细黑"/>
                <w:color w:val="000000"/>
                <w:sz w:val="20"/>
                <w:lang w:val="en-US" w:eastAsia="zh-CN"/>
              </w:rPr>
              <w:t>29.11</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为单位8名辅岗成员开工工资及缴纳五险一金单位承担部分。</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绩效指标</w:t>
            </w:r>
          </w:p>
          <w:p>
            <w:pPr>
              <w:autoSpaceDN w:val="0"/>
              <w:jc w:val="center"/>
              <w:textAlignment w:val="center"/>
              <w:rPr>
                <w:rFonts w:hint="eastAsia" w:eastAsia="华文细黑"/>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产出指标</w:t>
            </w:r>
          </w:p>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辅助岗工作人员人数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宋体"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辅助岗工作人员资格合格率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人均工资发放标准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2000元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eastAsia="华文细黑"/>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效果指标</w:t>
            </w:r>
          </w:p>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辖区居民问题解决率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宣传内容居民知晓率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85%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辅岗工作人员满意度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eastAsia="华文细黑"/>
                <w:color w:val="000000"/>
                <w:sz w:val="20"/>
                <w:lang w:val="en-US" w:eastAsia="zh-CN"/>
              </w:rPr>
              <w:t>95%</w:t>
            </w:r>
          </w:p>
        </w:tc>
      </w:tr>
    </w:tbl>
    <w:p>
      <w:pPr>
        <w:spacing w:line="700" w:lineRule="exact"/>
        <w:ind w:firstLine="560" w:firstLineChars="200"/>
        <w:rPr>
          <w:rFonts w:hint="eastAsia" w:eastAsia="楷体"/>
          <w:kern w:val="0"/>
          <w:sz w:val="28"/>
          <w:szCs w:val="28"/>
        </w:rPr>
      </w:pPr>
    </w:p>
    <w:p>
      <w:pPr>
        <w:spacing w:line="700" w:lineRule="exact"/>
        <w:ind w:firstLine="560" w:firstLineChars="200"/>
        <w:rPr>
          <w:rFonts w:hint="eastAsia" w:eastAsia="楷体"/>
          <w:kern w:val="0"/>
          <w:sz w:val="28"/>
          <w:szCs w:val="28"/>
        </w:rPr>
      </w:pPr>
    </w:p>
    <w:p>
      <w:pPr>
        <w:spacing w:line="700" w:lineRule="exact"/>
        <w:ind w:firstLine="560" w:firstLineChars="200"/>
        <w:rPr>
          <w:rFonts w:hint="eastAsia" w:eastAsia="楷体"/>
          <w:kern w:val="0"/>
          <w:sz w:val="28"/>
          <w:szCs w:val="28"/>
        </w:rPr>
      </w:pPr>
    </w:p>
    <w:p>
      <w:pPr>
        <w:spacing w:line="700" w:lineRule="exact"/>
        <w:ind w:firstLine="560" w:firstLineChars="200"/>
        <w:rPr>
          <w:rFonts w:hint="eastAsia" w:eastAsia="楷体"/>
          <w:kern w:val="0"/>
          <w:sz w:val="28"/>
          <w:szCs w:val="28"/>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办公经费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(万元）</w:t>
            </w:r>
          </w:p>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eastAsia="华文细黑"/>
                <w:color w:val="000000"/>
                <w:sz w:val="20"/>
                <w:lang w:val="en-US" w:eastAsia="zh-CN"/>
              </w:rPr>
              <w:t>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eastAsia="华文细黑"/>
                <w:color w:val="000000"/>
                <w:sz w:val="20"/>
                <w:lang w:val="en-US" w:eastAsia="zh-CN"/>
              </w:rPr>
              <w:t>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eastAsia="华文细黑"/>
                <w:color w:val="000000"/>
                <w:sz w:val="20"/>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eastAsia" w:eastAsia="华文细黑"/>
                <w:color w:val="000000"/>
                <w:sz w:val="20"/>
              </w:rPr>
            </w:pPr>
            <w:r>
              <w:rPr>
                <w:rFonts w:hint="eastAsia" w:eastAsia="华文细黑"/>
                <w:color w:val="000000"/>
                <w:sz w:val="20"/>
                <w:lang w:eastAsia="zh-CN"/>
              </w:rPr>
              <w:t>保证单位各项工作正常进行，购买日常需要的各种办公用品等。</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绩效指标</w:t>
            </w:r>
          </w:p>
          <w:p>
            <w:pPr>
              <w:autoSpaceDN w:val="0"/>
              <w:jc w:val="center"/>
              <w:textAlignment w:val="center"/>
              <w:rPr>
                <w:rFonts w:hint="eastAsia" w:eastAsia="华文细黑"/>
                <w:color w:val="000000"/>
                <w:sz w:val="20"/>
              </w:rPr>
            </w:pP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产出指标</w:t>
            </w:r>
          </w:p>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both"/>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办公用品质量合格率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办公用品提供期限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eastAsia="华文细黑"/>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rPr>
              <w:t>效果指标</w:t>
            </w:r>
          </w:p>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来办事群众问题解决率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保证单位正常运行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12月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单位员工对办公经费使用情况的满意度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eastAsia="华文细黑"/>
                <w:color w:val="000000"/>
                <w:sz w:val="20"/>
                <w:lang w:val="en-US" w:eastAsia="zh-CN"/>
              </w:rPr>
              <w:t>90%</w:t>
            </w:r>
          </w:p>
        </w:tc>
      </w:tr>
    </w:tbl>
    <w:p>
      <w:pPr>
        <w:spacing w:line="700" w:lineRule="exact"/>
        <w:rPr>
          <w:rFonts w:hint="eastAsia" w:eastAsia="楷体"/>
          <w:kern w:val="0"/>
          <w:sz w:val="28"/>
          <w:szCs w:val="28"/>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Calibri" w:hAnsi="Calibri" w:eastAsia="华文细黑" w:cs="Times New Roman"/>
                <w:color w:val="000000"/>
                <w:sz w:val="20"/>
                <w:szCs w:val="22"/>
                <w:lang w:eastAsia="zh-CN"/>
              </w:rPr>
              <w:t>补</w:t>
            </w:r>
            <w:r>
              <w:rPr>
                <w:rFonts w:hint="eastAsia" w:ascii="Calibri" w:hAnsi="Calibri" w:eastAsia="华文细黑" w:cs="Times New Roman"/>
                <w:color w:val="000000"/>
                <w:sz w:val="20"/>
                <w:szCs w:val="22"/>
                <w:lang w:val="en-US" w:eastAsia="zh-CN"/>
              </w:rPr>
              <w:t>2021年年末追加住房公积金</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0.32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0.32</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eastAsia="华文细黑"/>
                <w:color w:val="000000"/>
                <w:sz w:val="20"/>
                <w:lang w:val="en-US" w:eastAsia="zh-CN"/>
              </w:rPr>
            </w:pPr>
            <w:r>
              <w:rPr>
                <w:rFonts w:hint="eastAsia" w:eastAsia="华文细黑"/>
                <w:color w:val="000000"/>
                <w:sz w:val="20"/>
                <w:lang w:eastAsia="zh-CN"/>
              </w:rPr>
              <w:t>为新考入的</w:t>
            </w:r>
            <w:r>
              <w:rPr>
                <w:rFonts w:hint="eastAsia" w:eastAsia="华文细黑"/>
                <w:color w:val="000000"/>
                <w:sz w:val="20"/>
                <w:lang w:val="en-US" w:eastAsia="zh-CN"/>
              </w:rPr>
              <w:t>3名公务员补缴住房公积金。</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新增干部人数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干部资格合格率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人均住房公积金单位承担部分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388元/月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住房公积金补缴及时率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改善职工住房条件率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为职工解决住房问题率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b/>
                <w:bCs/>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ascii="宋体" w:hAnsi="宋体" w:eastAsia="宋体" w:cs="宋体"/>
                <w:color w:val="000000"/>
                <w:sz w:val="20"/>
                <w:lang w:eastAsia="zh-CN"/>
              </w:rPr>
              <w:t>≧</w:t>
            </w:r>
            <w:r>
              <w:rPr>
                <w:rFonts w:hint="eastAsia" w:eastAsia="华文细黑"/>
                <w:color w:val="000000"/>
                <w:sz w:val="20"/>
                <w:lang w:val="en-US" w:eastAsia="zh-CN"/>
              </w:rPr>
              <w:t>95%</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Calibri" w:hAnsi="Calibri" w:eastAsia="华文细黑" w:cs="Times New Roman"/>
                <w:color w:val="000000"/>
                <w:sz w:val="20"/>
                <w:szCs w:val="22"/>
                <w:lang w:eastAsia="zh-CN"/>
              </w:rPr>
              <w:t>预拨</w:t>
            </w:r>
            <w:r>
              <w:rPr>
                <w:rFonts w:hint="eastAsia" w:ascii="Calibri" w:hAnsi="Calibri" w:eastAsia="华文细黑" w:cs="Times New Roman"/>
                <w:color w:val="000000"/>
                <w:sz w:val="20"/>
                <w:szCs w:val="22"/>
                <w:lang w:val="en-US" w:eastAsia="zh-CN"/>
              </w:rPr>
              <w:t>2021年下半年绩效奖</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4.34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4.34</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干部人数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宋体"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干部资格合格率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人均绩效奖发放标准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宋体" w:cs="Times New Roman"/>
                <w:color w:val="000000"/>
                <w:kern w:val="2"/>
                <w:sz w:val="20"/>
                <w:lang w:val="en-US" w:eastAsia="zh-CN" w:bidi="ar-SA"/>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530元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绩效奖发放及时率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eastAsia="华文细黑"/>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来办事群众问题解决率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宣传内容居民知晓率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85%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干部满意度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eastAsia="华文细黑"/>
                <w:color w:val="000000"/>
                <w:sz w:val="20"/>
                <w:lang w:val="en-US" w:eastAsia="zh-CN"/>
              </w:rPr>
              <w:t>95%</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Calibri" w:hAnsi="Calibri" w:eastAsia="华文细黑" w:cs="Times New Roman"/>
                <w:color w:val="000000"/>
                <w:sz w:val="20"/>
                <w:szCs w:val="22"/>
                <w:lang w:val="en-US" w:eastAsia="zh-CN"/>
              </w:rPr>
              <w:t>2022年八区街道办事处社区工作者补贴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2.08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2.08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补发人数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=16人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成本</w:t>
            </w:r>
            <w:r>
              <w:rPr>
                <w:rFonts w:hint="eastAsia" w:eastAsia="华文细黑"/>
                <w:color w:val="000000"/>
                <w:sz w:val="20"/>
              </w:rPr>
              <w:t>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中级社工证补助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300元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初级社工证补助</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200元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发放时限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lang w:val="en-US" w:eastAsia="zh-CN"/>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5月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员工满意度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eastAsia="华文细黑"/>
                <w:color w:val="000000"/>
                <w:sz w:val="20"/>
                <w:lang w:val="en-US" w:eastAsia="zh-CN"/>
              </w:rPr>
              <w:t>90%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Calibri" w:hAnsi="Calibri" w:eastAsia="华文细黑" w:cs="Times New Roman"/>
                <w:color w:val="000000"/>
                <w:sz w:val="20"/>
                <w:szCs w:val="22"/>
                <w:lang w:val="en-US" w:eastAsia="zh-CN"/>
              </w:rPr>
              <w:t>2022年八区街道办事处办公设备</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台式电脑数量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=15台</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激光打印机数量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eastAsia="zh-CN"/>
              </w:rPr>
            </w:pPr>
            <w:r>
              <w:rPr>
                <w:rFonts w:hint="eastAsia" w:eastAsia="华文细黑"/>
                <w:color w:val="000000"/>
                <w:sz w:val="20"/>
                <w:lang w:val="en-US" w:eastAsia="zh-CN"/>
              </w:rPr>
              <w:t>=1台</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台式电脑价格</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5000元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lang w:eastAsia="zh-CN"/>
              </w:rPr>
              <w:t>成本</w:t>
            </w:r>
            <w:r>
              <w:rPr>
                <w:rFonts w:hint="eastAsia" w:eastAsia="华文细黑"/>
                <w:color w:val="000000"/>
                <w:sz w:val="20"/>
              </w:rPr>
              <w:t>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激光打印机价格</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3000元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员工满意度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eastAsia="华文细黑"/>
                <w:color w:val="000000"/>
                <w:sz w:val="20"/>
                <w:lang w:val="en-US" w:eastAsia="zh-CN"/>
              </w:rPr>
              <w:t>90%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Calibri" w:hAnsi="Calibri" w:eastAsia="华文细黑" w:cs="Times New Roman"/>
                <w:color w:val="000000"/>
                <w:sz w:val="20"/>
                <w:szCs w:val="22"/>
                <w:lang w:val="en-US" w:eastAsia="zh-CN"/>
              </w:rPr>
              <w:t>2022年八区街道办事处网费及通讯费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kern w:val="2"/>
                <w:sz w:val="20"/>
                <w:szCs w:val="22"/>
                <w:lang w:val="en-US" w:eastAsia="zh-CN" w:bidi="ar-SA"/>
              </w:rPr>
              <w:t>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Calibri" w:hAnsi="Calibri" w:eastAsia="华文细黑" w:cs="Times New Roman"/>
                <w:color w:val="000000"/>
                <w:kern w:val="2"/>
                <w:sz w:val="20"/>
                <w:szCs w:val="22"/>
                <w:lang w:val="en-US" w:eastAsia="zh-CN" w:bidi="ar-SA"/>
              </w:rPr>
            </w:pPr>
            <w:r>
              <w:rPr>
                <w:rFonts w:hint="eastAsia" w:ascii="Calibri" w:hAnsi="Calibri" w:eastAsia="华文细黑" w:cs="Times New Roman"/>
                <w:color w:val="000000"/>
                <w:kern w:val="2"/>
                <w:sz w:val="20"/>
                <w:szCs w:val="22"/>
                <w:lang w:val="en-US" w:eastAsia="zh-CN" w:bidi="ar-SA"/>
              </w:rPr>
              <w:t>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街道及社区需交网费的账号数量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5个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网络及通话畅通率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eastAsia="华文细黑"/>
                <w:color w:val="000000"/>
                <w:sz w:val="20"/>
                <w:lang w:val="en-US"/>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85%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每个账户每年的网络通讯费</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8500元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每月每台电话通讯费花销</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200元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lang w:eastAsia="zh-CN"/>
              </w:rPr>
              <w:t>单位同事满意度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宋体" w:hAnsi="宋体" w:eastAsia="宋体" w:cs="宋体"/>
                <w:color w:val="000000"/>
                <w:sz w:val="20"/>
                <w:lang w:eastAsia="zh-CN"/>
              </w:rPr>
              <w:t>≧</w:t>
            </w:r>
            <w:r>
              <w:rPr>
                <w:rFonts w:hint="eastAsia" w:eastAsia="华文细黑"/>
                <w:color w:val="000000"/>
                <w:sz w:val="20"/>
                <w:lang w:val="en-US" w:eastAsia="zh-CN"/>
              </w:rPr>
              <w:t>90%</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hint="eastAsia" w:eastAsia="方正小标宋简体"/>
                <w:kern w:val="0"/>
                <w:sz w:val="44"/>
                <w:szCs w:val="44"/>
              </w:rPr>
            </w:pPr>
          </w:p>
          <w:p>
            <w:pPr>
              <w:widowControl/>
              <w:jc w:val="center"/>
              <w:textAlignment w:val="center"/>
              <w:rPr>
                <w:rFonts w:ascii="黑体" w:hAnsi="宋体" w:eastAsia="黑体" w:cs="黑体"/>
                <w:color w:val="000000"/>
                <w:szCs w:val="32"/>
              </w:rPr>
            </w:pPr>
            <w:r>
              <w:rPr>
                <w:rFonts w:hint="eastAsia" w:eastAsia="方正小标宋简体"/>
                <w:kern w:val="0"/>
                <w:sz w:val="44"/>
                <w:szCs w:val="44"/>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ascii="Calibri" w:hAnsi="Calibri" w:eastAsia="华文细黑" w:cs="Times New Roman"/>
                <w:color w:val="000000"/>
                <w:sz w:val="20"/>
                <w:szCs w:val="22"/>
                <w:lang w:val="en-US" w:eastAsia="zh-CN"/>
              </w:rPr>
              <w:t>2022年八区街道办事处办公经费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项目资金</w:t>
            </w:r>
          </w:p>
          <w:p>
            <w:pPr>
              <w:autoSpaceDN w:val="0"/>
              <w:jc w:val="center"/>
              <w:textAlignment w:val="center"/>
              <w:rPr>
                <w:rFonts w:hint="eastAsia" w:eastAsia="华文细黑"/>
                <w:color w:val="000000"/>
                <w:sz w:val="20"/>
              </w:rPr>
            </w:pPr>
            <w:r>
              <w:rPr>
                <w:rFonts w:hint="eastAsia" w:eastAsia="华文细黑"/>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val="en-US" w:eastAsia="zh-CN"/>
              </w:rPr>
            </w:pPr>
            <w:r>
              <w:rPr>
                <w:rFonts w:hint="eastAsia" w:eastAsia="华文细黑"/>
                <w:color w:val="000000"/>
                <w:sz w:val="20"/>
                <w:lang w:val="en-US" w:eastAsia="zh-CN"/>
              </w:rPr>
              <w:t>0</w:t>
            </w: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lang w:eastAsia="zh-CN"/>
              </w:rPr>
            </w:pPr>
            <w:r>
              <w:rPr>
                <w:rFonts w:hint="eastAsia" w:eastAsia="华文细黑"/>
                <w:color w:val="000000"/>
                <w:sz w:val="20"/>
              </w:rPr>
              <w:t>年度绩效</w:t>
            </w:r>
          </w:p>
          <w:p>
            <w:pPr>
              <w:autoSpaceDN w:val="0"/>
              <w:jc w:val="center"/>
              <w:textAlignment w:val="center"/>
              <w:rPr>
                <w:rFonts w:hint="eastAsia" w:eastAsia="华文细黑"/>
                <w:color w:val="000000"/>
                <w:sz w:val="20"/>
              </w:rPr>
            </w:pPr>
            <w:r>
              <w:rPr>
                <w:rFonts w:hint="eastAsia" w:eastAsia="华文细黑"/>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eastAsia="华文细黑"/>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购买A4纸数量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5箱/月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办公用品质量合格率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华文细黑" w:cs="Times New Roman"/>
                <w:color w:val="000000"/>
                <w:kern w:val="2"/>
                <w:sz w:val="20"/>
                <w:lang w:val="en-US" w:eastAsia="zh-CN" w:bidi="ar-SA"/>
              </w:rPr>
            </w:pPr>
            <w:r>
              <w:rPr>
                <w:rFonts w:hint="eastAsia" w:eastAsia="华文细黑" w:cs="Times New Roman"/>
                <w:color w:val="000000"/>
                <w:kern w:val="2"/>
                <w:sz w:val="20"/>
                <w:lang w:val="en-US" w:eastAsia="zh-CN" w:bidi="ar-SA"/>
              </w:rPr>
              <w:t>A4纸价格</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200元/箱</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办公用品提供期限</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rPr>
              <w:t>≦</w:t>
            </w:r>
            <w:r>
              <w:rPr>
                <w:rFonts w:hint="eastAsia" w:eastAsia="华文细黑"/>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来办事群众问题解决率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保证单位正常运行</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ascii="宋体" w:hAnsi="宋体" w:eastAsia="宋体" w:cs="宋体"/>
                <w:color w:val="000000"/>
                <w:sz w:val="20"/>
                <w:lang w:val="en-US" w:eastAsia="zh-CN"/>
              </w:rPr>
              <w:t>12月</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华文细黑"/>
                <w:color w:val="000000"/>
                <w:sz w:val="20"/>
              </w:rPr>
            </w:pPr>
            <w:r>
              <w:rPr>
                <w:rFonts w:hint="eastAsia" w:eastAsia="华文细黑"/>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eastAsia="华文细黑"/>
                <w:color w:val="000000"/>
                <w:sz w:val="20"/>
                <w:lang w:eastAsia="zh-CN"/>
              </w:rPr>
              <w:t>单位员工对办公经费使用情况的满意度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imes New Roman" w:hAnsi="Times New Roman" w:eastAsia="华文细黑" w:cs="Times New Roman"/>
                <w:color w:val="000000"/>
                <w:kern w:val="2"/>
                <w:sz w:val="20"/>
                <w:lang w:val="en-US" w:eastAsia="zh-CN" w:bidi="ar-SA"/>
              </w:rPr>
            </w:pPr>
            <w:r>
              <w:rPr>
                <w:rFonts w:hint="eastAsia" w:ascii="宋体" w:hAnsi="宋体" w:eastAsia="宋体" w:cs="宋体"/>
                <w:color w:val="000000"/>
                <w:sz w:val="20"/>
                <w:lang w:eastAsia="zh-CN"/>
              </w:rPr>
              <w:t>≧</w:t>
            </w:r>
            <w:r>
              <w:rPr>
                <w:rFonts w:hint="eastAsia" w:eastAsia="华文细黑"/>
                <w:color w:val="000000"/>
                <w:sz w:val="20"/>
                <w:lang w:val="en-US" w:eastAsia="zh-CN"/>
              </w:rPr>
              <w:t>90%</w:t>
            </w:r>
          </w:p>
        </w:tc>
      </w:tr>
    </w:tbl>
    <w:p>
      <w:pPr>
        <w:spacing w:line="700" w:lineRule="exact"/>
        <w:ind w:firstLine="640" w:firstLineChars="200"/>
        <w:rPr>
          <w:rFonts w:hint="eastAsia" w:eastAsia="楷体"/>
          <w:kern w:val="0"/>
          <w:szCs w:val="32"/>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r>
        <w:rPr>
          <w:rFonts w:eastAsia="黑体"/>
        </w:rPr>
        <w:t>第三部分 情况说明</w:t>
      </w:r>
    </w:p>
    <w:p>
      <w:pPr>
        <w:rPr>
          <w:rFonts w:eastAsia="仿宋"/>
          <w:szCs w:val="32"/>
        </w:rPr>
      </w:pPr>
    </w:p>
    <w:p>
      <w:pPr>
        <w:ind w:firstLine="640" w:firstLineChars="200"/>
        <w:rPr>
          <w:rFonts w:eastAsia="黑体"/>
          <w:szCs w:val="32"/>
        </w:rPr>
      </w:pPr>
      <w:r>
        <w:rPr>
          <w:rFonts w:eastAsia="黑体"/>
          <w:szCs w:val="32"/>
        </w:rPr>
        <w:t>一、20</w:t>
      </w:r>
      <w:r>
        <w:rPr>
          <w:rFonts w:hint="eastAsia" w:eastAsia="黑体"/>
          <w:szCs w:val="32"/>
        </w:rPr>
        <w:t>22</w:t>
      </w:r>
      <w:r>
        <w:rPr>
          <w:rFonts w:eastAsia="黑体"/>
          <w:szCs w:val="32"/>
        </w:rPr>
        <w:t>年收支预算总体情况</w:t>
      </w:r>
    </w:p>
    <w:p>
      <w:pPr>
        <w:ind w:firstLine="640" w:firstLineChars="200"/>
        <w:rPr>
          <w:szCs w:val="32"/>
        </w:rPr>
      </w:pPr>
      <w:r>
        <w:rPr>
          <w:szCs w:val="32"/>
        </w:rPr>
        <w:t>按照综合预算的原则，所有收入和支出全部纳入部门预算管理。收入包括：一般公共预算拨款收入、政府性基金预算拨款收入、</w:t>
      </w:r>
      <w:r>
        <w:rPr>
          <w:rFonts w:hint="eastAsia"/>
          <w:szCs w:val="32"/>
        </w:rPr>
        <w:t>国有资本经营预算拨款收入、财政专户管理资金收入、</w:t>
      </w:r>
      <w:r>
        <w:rPr>
          <w:szCs w:val="32"/>
        </w:rPr>
        <w:t>事业收入、</w:t>
      </w:r>
      <w:r>
        <w:rPr>
          <w:rFonts w:hint="eastAsia"/>
          <w:szCs w:val="32"/>
        </w:rPr>
        <w:t>上级补助收入</w:t>
      </w:r>
      <w:r>
        <w:rPr>
          <w:szCs w:val="32"/>
        </w:rPr>
        <w:t>、</w:t>
      </w:r>
      <w:r>
        <w:rPr>
          <w:rFonts w:hint="eastAsia"/>
          <w:szCs w:val="32"/>
        </w:rPr>
        <w:t>附属单位上缴收入、</w:t>
      </w:r>
      <w:r>
        <w:rPr>
          <w:szCs w:val="32"/>
        </w:rPr>
        <w:t>事业单位经营收入</w:t>
      </w:r>
      <w:r>
        <w:rPr>
          <w:rFonts w:hint="eastAsia"/>
          <w:szCs w:val="32"/>
        </w:rPr>
        <w:t>、</w:t>
      </w:r>
      <w:r>
        <w:rPr>
          <w:szCs w:val="32"/>
        </w:rPr>
        <w:t>其他收入、用事业基金弥补收支差额、上年结转</w:t>
      </w:r>
      <w:r>
        <w:rPr>
          <w:rFonts w:hint="eastAsia"/>
          <w:szCs w:val="32"/>
        </w:rPr>
        <w:t>结余</w:t>
      </w:r>
      <w:r>
        <w:rPr>
          <w:szCs w:val="32"/>
        </w:rPr>
        <w:t>等；支出包括：一般公共服务支出、教育支出、科学技术支出、文化</w:t>
      </w:r>
      <w:r>
        <w:rPr>
          <w:rFonts w:hint="eastAsia"/>
          <w:szCs w:val="32"/>
        </w:rPr>
        <w:t>旅游</w:t>
      </w:r>
      <w:r>
        <w:rPr>
          <w:szCs w:val="32"/>
        </w:rPr>
        <w:t>体育与传媒支出、社会保障和就业支出、农林水支出、住房保障支出、结转下年支出等。20</w:t>
      </w:r>
      <w:r>
        <w:rPr>
          <w:rFonts w:hint="eastAsia"/>
          <w:szCs w:val="32"/>
        </w:rPr>
        <w:t>22</w:t>
      </w:r>
      <w:r>
        <w:rPr>
          <w:szCs w:val="32"/>
        </w:rPr>
        <w:t>年收支总预算</w:t>
      </w:r>
      <w:r>
        <w:rPr>
          <w:rFonts w:hint="eastAsia"/>
          <w:szCs w:val="32"/>
          <w:lang w:val="en-US" w:eastAsia="zh-CN"/>
        </w:rPr>
        <w:t>277.75</w:t>
      </w:r>
      <w:r>
        <w:rPr>
          <w:szCs w:val="32"/>
        </w:rPr>
        <w:t>万元</w:t>
      </w:r>
      <w:r>
        <w:rPr>
          <w:rFonts w:hint="eastAsia"/>
          <w:szCs w:val="32"/>
          <w:lang w:eastAsia="zh-CN"/>
        </w:rPr>
        <w:t>，其中：当年预算</w:t>
      </w:r>
      <w:r>
        <w:rPr>
          <w:rFonts w:hint="eastAsia"/>
          <w:szCs w:val="32"/>
          <w:lang w:val="en-US" w:eastAsia="zh-CN"/>
        </w:rPr>
        <w:t>277.75</w:t>
      </w:r>
      <w:r>
        <w:rPr>
          <w:rFonts w:hint="eastAsia"/>
          <w:szCs w:val="32"/>
          <w:lang w:eastAsia="zh-CN"/>
        </w:rPr>
        <w:t>万元；上年结转</w:t>
      </w:r>
      <w:r>
        <w:rPr>
          <w:rFonts w:hint="eastAsia"/>
          <w:szCs w:val="32"/>
          <w:lang w:val="en-US" w:eastAsia="zh-CN"/>
        </w:rPr>
        <w:t>0</w:t>
      </w:r>
      <w:r>
        <w:rPr>
          <w:rFonts w:hint="eastAsia"/>
          <w:szCs w:val="32"/>
          <w:lang w:eastAsia="zh-CN"/>
        </w:rPr>
        <w:t>万元。</w:t>
      </w:r>
      <w:r>
        <w:rPr>
          <w:rFonts w:hint="eastAsia"/>
          <w:szCs w:val="32"/>
          <w:lang w:val="en-US" w:eastAsia="zh-CN"/>
        </w:rPr>
        <w:t>2022年当年预算</w:t>
      </w:r>
      <w:r>
        <w:rPr>
          <w:szCs w:val="32"/>
        </w:rPr>
        <w:t>比20</w:t>
      </w:r>
      <w:r>
        <w:rPr>
          <w:rFonts w:hint="eastAsia"/>
          <w:szCs w:val="32"/>
        </w:rPr>
        <w:t>21</w:t>
      </w:r>
      <w:r>
        <w:rPr>
          <w:szCs w:val="32"/>
        </w:rPr>
        <w:t>年预算减少</w:t>
      </w:r>
      <w:r>
        <w:rPr>
          <w:rFonts w:hint="eastAsia"/>
          <w:szCs w:val="32"/>
          <w:lang w:val="en-US" w:eastAsia="zh-CN"/>
        </w:rPr>
        <w:t>127.67</w:t>
      </w:r>
      <w:r>
        <w:rPr>
          <w:szCs w:val="32"/>
        </w:rPr>
        <w:t>万元，主要原因是</w:t>
      </w:r>
      <w:r>
        <w:rPr>
          <w:rFonts w:hint="eastAsia"/>
          <w:szCs w:val="32"/>
          <w:lang w:val="en-US" w:eastAsia="zh-CN"/>
        </w:rPr>
        <w:t>2022年</w:t>
      </w:r>
      <w:r>
        <w:rPr>
          <w:rFonts w:hint="eastAsia"/>
          <w:szCs w:val="32"/>
          <w:lang w:eastAsia="zh-CN"/>
        </w:rPr>
        <w:t>事业编人员编制落到八区街道综合服务中心，事业编人员工资福利、经费都拨付到八区街道综合服务中心账户</w:t>
      </w:r>
      <w:r>
        <w:rPr>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eastAsia="黑体"/>
          <w:szCs w:val="32"/>
        </w:rPr>
        <w:t>二、20</w:t>
      </w:r>
      <w:r>
        <w:rPr>
          <w:rFonts w:hint="eastAsia" w:eastAsia="黑体"/>
          <w:szCs w:val="32"/>
        </w:rPr>
        <w:t>22</w:t>
      </w:r>
      <w:r>
        <w:rPr>
          <w:rFonts w:eastAsia="黑体"/>
          <w:szCs w:val="32"/>
        </w:rPr>
        <w:t>年收入预算情况</w:t>
      </w:r>
    </w:p>
    <w:p>
      <w:pPr>
        <w:ind w:firstLine="640" w:firstLineChars="200"/>
        <w:rPr>
          <w:szCs w:val="32"/>
        </w:rPr>
      </w:pPr>
      <w:r>
        <w:rPr>
          <w:szCs w:val="32"/>
        </w:rPr>
        <w:t>20</w:t>
      </w:r>
      <w:r>
        <w:rPr>
          <w:rFonts w:hint="eastAsia"/>
          <w:szCs w:val="32"/>
        </w:rPr>
        <w:t>22</w:t>
      </w:r>
      <w:r>
        <w:rPr>
          <w:szCs w:val="32"/>
        </w:rPr>
        <w:t>年收入预算</w:t>
      </w:r>
      <w:r>
        <w:rPr>
          <w:rFonts w:hint="eastAsia"/>
          <w:szCs w:val="32"/>
          <w:lang w:val="en-US" w:eastAsia="zh-CN"/>
        </w:rPr>
        <w:t>277.75</w:t>
      </w:r>
      <w:r>
        <w:rPr>
          <w:szCs w:val="32"/>
        </w:rPr>
        <w:t>万元，其中：本年收入</w:t>
      </w:r>
      <w:r>
        <w:rPr>
          <w:rFonts w:hint="eastAsia"/>
          <w:szCs w:val="32"/>
          <w:lang w:val="en-US" w:eastAsia="zh-CN"/>
        </w:rPr>
        <w:t>277.75</w:t>
      </w:r>
      <w:r>
        <w:rPr>
          <w:szCs w:val="32"/>
        </w:rPr>
        <w:t>万元，占</w:t>
      </w:r>
      <w:r>
        <w:rPr>
          <w:rFonts w:hint="eastAsia"/>
          <w:szCs w:val="32"/>
          <w:lang w:val="en-US" w:eastAsia="zh-CN"/>
        </w:rPr>
        <w:t>100</w:t>
      </w:r>
      <w:r>
        <w:rPr>
          <w:szCs w:val="32"/>
        </w:rPr>
        <w:t>%。本年收入中，一般公共预算拨款收入</w:t>
      </w:r>
      <w:r>
        <w:rPr>
          <w:rFonts w:hint="eastAsia"/>
          <w:szCs w:val="32"/>
          <w:lang w:val="en-US" w:eastAsia="zh-CN"/>
        </w:rPr>
        <w:t>277.75</w:t>
      </w:r>
      <w:r>
        <w:rPr>
          <w:szCs w:val="32"/>
        </w:rPr>
        <w:t>万元，占</w:t>
      </w:r>
      <w:r>
        <w:rPr>
          <w:rFonts w:hint="eastAsia"/>
          <w:szCs w:val="32"/>
          <w:lang w:val="en-US" w:eastAsia="zh-CN"/>
        </w:rPr>
        <w:t>100</w:t>
      </w:r>
      <w:r>
        <w:rPr>
          <w:szCs w:val="32"/>
        </w:rPr>
        <w:t>%</w:t>
      </w:r>
      <w:r>
        <w:rPr>
          <w:rFonts w:hint="eastAsia"/>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eastAsia="黑体"/>
          <w:szCs w:val="32"/>
        </w:rPr>
      </w:pPr>
      <w:r>
        <w:rPr>
          <w:rFonts w:hint="eastAsia" w:eastAsia="楷体"/>
          <w:szCs w:val="30"/>
          <w:lang w:val="en-US" w:eastAsia="zh-CN"/>
        </w:rPr>
        <w:t xml:space="preserve"> </w:t>
      </w:r>
      <w:r>
        <w:rPr>
          <w:rFonts w:eastAsia="楷体"/>
          <w:szCs w:val="30"/>
        </w:rPr>
        <w:br w:type="page"/>
      </w:r>
      <w:r>
        <w:rPr>
          <w:rFonts w:eastAsia="黑体"/>
          <w:szCs w:val="32"/>
        </w:rPr>
        <w:t>三、20</w:t>
      </w:r>
      <w:r>
        <w:rPr>
          <w:rFonts w:hint="eastAsia" w:eastAsia="黑体"/>
          <w:szCs w:val="32"/>
        </w:rPr>
        <w:t>22</w:t>
      </w:r>
      <w:r>
        <w:rPr>
          <w:rFonts w:eastAsia="黑体"/>
          <w:szCs w:val="32"/>
        </w:rPr>
        <w:t>年支出预算情况</w:t>
      </w:r>
    </w:p>
    <w:p>
      <w:pPr>
        <w:ind w:firstLine="640" w:firstLineChars="200"/>
        <w:rPr>
          <w:szCs w:val="32"/>
        </w:rPr>
      </w:pPr>
      <w:r>
        <w:rPr>
          <w:szCs w:val="32"/>
        </w:rPr>
        <w:t>20</w:t>
      </w:r>
      <w:r>
        <w:rPr>
          <w:rFonts w:hint="eastAsia"/>
          <w:szCs w:val="32"/>
        </w:rPr>
        <w:t>22</w:t>
      </w:r>
      <w:r>
        <w:rPr>
          <w:szCs w:val="32"/>
        </w:rPr>
        <w:t>年支出预算</w:t>
      </w:r>
      <w:r>
        <w:rPr>
          <w:rFonts w:hint="eastAsia"/>
          <w:szCs w:val="32"/>
          <w:lang w:val="en-US" w:eastAsia="zh-CN"/>
        </w:rPr>
        <w:t>277.75</w:t>
      </w:r>
      <w:r>
        <w:rPr>
          <w:szCs w:val="32"/>
        </w:rPr>
        <w:t>万元，其中：基本支出</w:t>
      </w:r>
      <w:r>
        <w:rPr>
          <w:rFonts w:hint="eastAsia"/>
          <w:szCs w:val="32"/>
          <w:lang w:val="en-US" w:eastAsia="zh-CN"/>
        </w:rPr>
        <w:t>215.7</w:t>
      </w:r>
      <w:r>
        <w:rPr>
          <w:szCs w:val="32"/>
        </w:rPr>
        <w:t>万元，占</w:t>
      </w:r>
      <w:r>
        <w:rPr>
          <w:rFonts w:hint="eastAsia"/>
          <w:szCs w:val="32"/>
          <w:lang w:val="en-US" w:eastAsia="zh-CN"/>
        </w:rPr>
        <w:t>77.66</w:t>
      </w:r>
      <w:r>
        <w:rPr>
          <w:szCs w:val="32"/>
        </w:rPr>
        <w:t>%；项目支出万元</w:t>
      </w:r>
      <w:r>
        <w:rPr>
          <w:rFonts w:hint="eastAsia"/>
          <w:szCs w:val="32"/>
          <w:lang w:val="en-US" w:eastAsia="zh-CN"/>
        </w:rPr>
        <w:t>62.05</w:t>
      </w:r>
      <w:r>
        <w:rPr>
          <w:szCs w:val="32"/>
        </w:rPr>
        <w:t>，占</w:t>
      </w:r>
      <w:r>
        <w:rPr>
          <w:rFonts w:hint="eastAsia"/>
          <w:szCs w:val="32"/>
          <w:lang w:val="en-US" w:eastAsia="zh-CN"/>
        </w:rPr>
        <w:t>22.34</w:t>
      </w:r>
      <w:r>
        <w:rPr>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黑体"/>
          <w:szCs w:val="32"/>
        </w:rPr>
      </w:pPr>
      <w:r>
        <w:rPr>
          <w:rFonts w:hint="eastAsia" w:eastAsia="楷体"/>
          <w:szCs w:val="32"/>
          <w:lang w:val="en-US" w:eastAsia="zh-CN"/>
        </w:rPr>
        <w:t xml:space="preserve"> </w:t>
      </w:r>
      <w:r>
        <w:rPr>
          <w:rFonts w:eastAsia="楷体"/>
          <w:szCs w:val="32"/>
        </w:rPr>
        <w:br w:type="page"/>
      </w:r>
      <w:r>
        <w:rPr>
          <w:rFonts w:eastAsia="黑体"/>
          <w:szCs w:val="32"/>
        </w:rPr>
        <w:t>四、20</w:t>
      </w:r>
      <w:r>
        <w:rPr>
          <w:rFonts w:hint="eastAsia" w:eastAsia="黑体"/>
          <w:szCs w:val="32"/>
        </w:rPr>
        <w:t>22</w:t>
      </w:r>
      <w:r>
        <w:rPr>
          <w:rFonts w:eastAsia="黑体"/>
          <w:szCs w:val="32"/>
        </w:rPr>
        <w:t>年财政拨款收支预算情况</w:t>
      </w:r>
    </w:p>
    <w:p>
      <w:pPr>
        <w:ind w:firstLine="600"/>
        <w:rPr>
          <w:szCs w:val="32"/>
        </w:rPr>
      </w:pPr>
      <w:r>
        <w:rPr>
          <w:szCs w:val="32"/>
        </w:rPr>
        <w:t>20</w:t>
      </w:r>
      <w:r>
        <w:rPr>
          <w:rFonts w:hint="eastAsia"/>
          <w:szCs w:val="32"/>
        </w:rPr>
        <w:t>22</w:t>
      </w:r>
      <w:r>
        <w:rPr>
          <w:szCs w:val="32"/>
        </w:rPr>
        <w:t>年财政拨款收支总预算</w:t>
      </w:r>
      <w:r>
        <w:rPr>
          <w:rFonts w:hint="eastAsia"/>
          <w:szCs w:val="32"/>
          <w:lang w:val="en-US" w:eastAsia="zh-CN"/>
        </w:rPr>
        <w:t>277.75</w:t>
      </w:r>
      <w:r>
        <w:rPr>
          <w:szCs w:val="32"/>
        </w:rPr>
        <w:t>万元，其中：</w:t>
      </w:r>
      <w:r>
        <w:rPr>
          <w:rFonts w:hint="eastAsia"/>
          <w:szCs w:val="32"/>
        </w:rPr>
        <w:t>本年收入</w:t>
      </w:r>
      <w:r>
        <w:rPr>
          <w:rFonts w:hint="eastAsia"/>
          <w:szCs w:val="32"/>
          <w:lang w:val="en-US" w:eastAsia="zh-CN"/>
        </w:rPr>
        <w:t>277.75</w:t>
      </w:r>
      <w:r>
        <w:rPr>
          <w:szCs w:val="32"/>
        </w:rPr>
        <w:t>万元</w:t>
      </w:r>
      <w:r>
        <w:rPr>
          <w:rFonts w:hint="eastAsia"/>
          <w:szCs w:val="32"/>
        </w:rPr>
        <w:t>，上年结转</w:t>
      </w:r>
      <w:r>
        <w:rPr>
          <w:rFonts w:hint="eastAsia"/>
          <w:szCs w:val="32"/>
          <w:lang w:val="en-US" w:eastAsia="zh-CN"/>
        </w:rPr>
        <w:t>0</w:t>
      </w:r>
      <w:r>
        <w:rPr>
          <w:szCs w:val="32"/>
        </w:rPr>
        <w:t>万元</w:t>
      </w:r>
      <w:r>
        <w:rPr>
          <w:rFonts w:hint="eastAsia"/>
          <w:szCs w:val="32"/>
        </w:rPr>
        <w:t>。</w:t>
      </w:r>
      <w:r>
        <w:rPr>
          <w:szCs w:val="32"/>
        </w:rPr>
        <w:t>支出包括：</w:t>
      </w:r>
      <w:r>
        <w:rPr>
          <w:kern w:val="0"/>
          <w:szCs w:val="32"/>
        </w:rPr>
        <w:t>一般公共服务支出</w:t>
      </w:r>
      <w:r>
        <w:rPr>
          <w:rFonts w:hint="eastAsia"/>
          <w:szCs w:val="32"/>
          <w:lang w:val="en-US" w:eastAsia="zh-CN"/>
        </w:rPr>
        <w:t>277.75</w:t>
      </w:r>
      <w:r>
        <w:rPr>
          <w:szCs w:val="32"/>
        </w:rPr>
        <w:t>万元。</w:t>
      </w:r>
    </w:p>
    <w:p>
      <w:pPr>
        <w:ind w:firstLine="600"/>
        <w:rPr>
          <w:szCs w:val="32"/>
        </w:rPr>
      </w:pPr>
    </w:p>
    <w:p>
      <w:pPr>
        <w:ind w:firstLine="600"/>
        <w:rPr>
          <w:szCs w:val="32"/>
        </w:rPr>
      </w:pPr>
    </w:p>
    <w:p>
      <w:pPr>
        <w:ind w:firstLine="600"/>
        <w:rPr>
          <w:szCs w:val="32"/>
        </w:rPr>
      </w:pPr>
    </w:p>
    <w:p>
      <w:pPr>
        <w:ind w:firstLine="600"/>
        <w:rPr>
          <w:rFonts w:eastAsia="黑体"/>
          <w:szCs w:val="30"/>
        </w:rPr>
      </w:pPr>
      <w:r>
        <w:rPr>
          <w:rFonts w:eastAsia="楷体"/>
          <w:szCs w:val="32"/>
        </w:rPr>
        <w:br w:type="page"/>
      </w:r>
      <w:r>
        <w:rPr>
          <w:rFonts w:eastAsia="黑体"/>
          <w:szCs w:val="30"/>
        </w:rPr>
        <w:t>五、20</w:t>
      </w:r>
      <w:r>
        <w:rPr>
          <w:rFonts w:hint="eastAsia" w:eastAsia="黑体"/>
          <w:szCs w:val="30"/>
        </w:rPr>
        <w:t>22</w:t>
      </w:r>
      <w:r>
        <w:rPr>
          <w:rFonts w:eastAsia="黑体"/>
          <w:szCs w:val="30"/>
        </w:rPr>
        <w:t>年一般公共预算</w:t>
      </w:r>
      <w:r>
        <w:rPr>
          <w:rFonts w:hint="eastAsia" w:eastAsia="黑体"/>
          <w:szCs w:val="30"/>
        </w:rPr>
        <w:t>支出</w:t>
      </w:r>
      <w:r>
        <w:rPr>
          <w:rFonts w:eastAsia="黑体"/>
          <w:szCs w:val="30"/>
        </w:rPr>
        <w:t>情况</w:t>
      </w:r>
    </w:p>
    <w:p>
      <w:pPr>
        <w:spacing w:line="520" w:lineRule="exact"/>
        <w:ind w:firstLine="640" w:firstLineChars="200"/>
        <w:rPr>
          <w:szCs w:val="32"/>
        </w:rPr>
      </w:pPr>
      <w:r>
        <w:rPr>
          <w:szCs w:val="32"/>
        </w:rPr>
        <w:t>20</w:t>
      </w:r>
      <w:r>
        <w:rPr>
          <w:rFonts w:hint="eastAsia"/>
          <w:szCs w:val="32"/>
        </w:rPr>
        <w:t>22</w:t>
      </w:r>
      <w:r>
        <w:rPr>
          <w:szCs w:val="32"/>
        </w:rPr>
        <w:t>年一般公共预算拨款</w:t>
      </w:r>
      <w:r>
        <w:rPr>
          <w:rFonts w:hint="eastAsia"/>
          <w:szCs w:val="32"/>
          <w:lang w:val="en-US" w:eastAsia="zh-CN"/>
        </w:rPr>
        <w:t>277.75</w:t>
      </w:r>
      <w:r>
        <w:rPr>
          <w:szCs w:val="32"/>
        </w:rPr>
        <w:t>万元，其中：基本支出</w:t>
      </w:r>
      <w:r>
        <w:rPr>
          <w:rFonts w:hint="eastAsia"/>
          <w:szCs w:val="32"/>
          <w:lang w:val="en-US" w:eastAsia="zh-CN"/>
        </w:rPr>
        <w:t>215.7</w:t>
      </w:r>
      <w:r>
        <w:rPr>
          <w:szCs w:val="32"/>
        </w:rPr>
        <w:t>万元，占</w:t>
      </w:r>
      <w:r>
        <w:rPr>
          <w:rFonts w:hint="eastAsia"/>
          <w:szCs w:val="32"/>
          <w:lang w:val="en-US" w:eastAsia="zh-CN"/>
        </w:rPr>
        <w:t>77.66</w:t>
      </w:r>
      <w:r>
        <w:rPr>
          <w:szCs w:val="32"/>
        </w:rPr>
        <w:t>%；项目支出</w:t>
      </w:r>
      <w:r>
        <w:rPr>
          <w:rFonts w:hint="eastAsia"/>
          <w:szCs w:val="32"/>
          <w:lang w:val="en-US" w:eastAsia="zh-CN"/>
        </w:rPr>
        <w:t>62.05</w:t>
      </w:r>
      <w:r>
        <w:rPr>
          <w:szCs w:val="32"/>
        </w:rPr>
        <w:t>万元，占</w:t>
      </w:r>
      <w:r>
        <w:rPr>
          <w:rFonts w:hint="eastAsia"/>
          <w:szCs w:val="32"/>
          <w:lang w:val="en-US" w:eastAsia="zh-CN"/>
        </w:rPr>
        <w:t>22.34</w:t>
      </w:r>
      <w:r>
        <w:rPr>
          <w:szCs w:val="32"/>
        </w:rPr>
        <w:t>%。基本支出中，人员经费</w:t>
      </w:r>
      <w:r>
        <w:rPr>
          <w:rFonts w:hint="eastAsia"/>
          <w:szCs w:val="32"/>
          <w:lang w:val="en-US" w:eastAsia="zh-CN"/>
        </w:rPr>
        <w:t>196.56</w:t>
      </w:r>
      <w:r>
        <w:rPr>
          <w:szCs w:val="32"/>
        </w:rPr>
        <w:t>万元，占</w:t>
      </w:r>
      <w:r>
        <w:rPr>
          <w:rFonts w:hint="eastAsia"/>
          <w:szCs w:val="32"/>
          <w:lang w:val="en-US" w:eastAsia="zh-CN"/>
        </w:rPr>
        <w:t>91.13</w:t>
      </w:r>
      <w:r>
        <w:rPr>
          <w:szCs w:val="32"/>
        </w:rPr>
        <w:t>%；公用经费</w:t>
      </w:r>
      <w:r>
        <w:rPr>
          <w:rFonts w:hint="eastAsia"/>
          <w:szCs w:val="32"/>
          <w:lang w:val="en-US" w:eastAsia="zh-CN"/>
        </w:rPr>
        <w:t>19.14</w:t>
      </w:r>
      <w:r>
        <w:rPr>
          <w:szCs w:val="32"/>
        </w:rPr>
        <w:t>万元，占</w:t>
      </w:r>
      <w:r>
        <w:rPr>
          <w:rFonts w:hint="eastAsia"/>
          <w:szCs w:val="32"/>
          <w:lang w:val="en-US" w:eastAsia="zh-CN"/>
        </w:rPr>
        <w:t>8.87</w:t>
      </w:r>
      <w:r>
        <w:rPr>
          <w:szCs w:val="32"/>
        </w:rPr>
        <w:t>%。一般公共服务（类）支出</w:t>
      </w:r>
      <w:r>
        <w:rPr>
          <w:rFonts w:hint="eastAsia"/>
          <w:szCs w:val="32"/>
          <w:lang w:val="en-US" w:eastAsia="zh-CN"/>
        </w:rPr>
        <w:t>277.75</w:t>
      </w:r>
      <w:r>
        <w:rPr>
          <w:szCs w:val="32"/>
        </w:rPr>
        <w:t>万元，占</w:t>
      </w:r>
      <w:r>
        <w:rPr>
          <w:rFonts w:hint="eastAsia"/>
          <w:szCs w:val="32"/>
          <w:lang w:val="en-US" w:eastAsia="zh-CN"/>
        </w:rPr>
        <w:t>100</w:t>
      </w:r>
      <w:r>
        <w:rPr>
          <w:szCs w:val="32"/>
        </w:rPr>
        <w:t>%，主要用于</w:t>
      </w:r>
      <w:r>
        <w:rPr>
          <w:rFonts w:hint="eastAsia"/>
          <w:szCs w:val="32"/>
          <w:lang w:eastAsia="zh-CN"/>
        </w:rPr>
        <w:t>人员经费</w:t>
      </w:r>
      <w:r>
        <w:rPr>
          <w:szCs w:val="32"/>
        </w:rPr>
        <w:t>。</w:t>
      </w:r>
    </w:p>
    <w:p>
      <w:pPr>
        <w:spacing w:line="520" w:lineRule="exact"/>
        <w:ind w:firstLine="640" w:firstLineChars="200"/>
        <w:rPr>
          <w:rFonts w:eastAsia="黑体"/>
          <w:szCs w:val="32"/>
        </w:rPr>
      </w:pPr>
      <w:r>
        <w:rPr>
          <w:rFonts w:eastAsia="楷体"/>
          <w:szCs w:val="32"/>
        </w:rPr>
        <w:br w:type="page"/>
      </w:r>
      <w:r>
        <w:rPr>
          <w:rFonts w:eastAsia="黑体"/>
          <w:szCs w:val="32"/>
        </w:rPr>
        <w:t>六、20</w:t>
      </w:r>
      <w:r>
        <w:rPr>
          <w:rFonts w:hint="eastAsia" w:eastAsia="黑体"/>
          <w:szCs w:val="32"/>
        </w:rPr>
        <w:t>22</w:t>
      </w:r>
      <w:r>
        <w:rPr>
          <w:rFonts w:eastAsia="黑体"/>
          <w:szCs w:val="32"/>
        </w:rPr>
        <w:t>年一般公共预算基本支出情况</w:t>
      </w:r>
    </w:p>
    <w:p>
      <w:pPr>
        <w:ind w:firstLine="640"/>
        <w:rPr>
          <w:szCs w:val="32"/>
        </w:rPr>
      </w:pPr>
      <w:r>
        <w:rPr>
          <w:szCs w:val="32"/>
        </w:rPr>
        <w:t>20</w:t>
      </w:r>
      <w:r>
        <w:rPr>
          <w:rFonts w:hint="eastAsia"/>
          <w:szCs w:val="32"/>
        </w:rPr>
        <w:t>22</w:t>
      </w:r>
      <w:r>
        <w:rPr>
          <w:szCs w:val="32"/>
        </w:rPr>
        <w:t>年一般公共预算基本支出</w:t>
      </w:r>
      <w:r>
        <w:rPr>
          <w:rFonts w:hint="eastAsia"/>
          <w:szCs w:val="32"/>
          <w:lang w:val="en-US" w:eastAsia="zh-CN"/>
        </w:rPr>
        <w:t>215.7</w:t>
      </w:r>
      <w:r>
        <w:rPr>
          <w:szCs w:val="32"/>
        </w:rPr>
        <w:t>万元，其中：</w:t>
      </w:r>
    </w:p>
    <w:p>
      <w:pPr>
        <w:ind w:firstLine="640" w:firstLineChars="200"/>
        <w:rPr>
          <w:kern w:val="0"/>
          <w:szCs w:val="32"/>
        </w:rPr>
      </w:pPr>
      <w:r>
        <w:rPr>
          <w:szCs w:val="32"/>
        </w:rPr>
        <w:t>人员经费</w:t>
      </w:r>
      <w:r>
        <w:rPr>
          <w:rFonts w:hint="eastAsia"/>
          <w:szCs w:val="32"/>
          <w:lang w:val="en-US" w:eastAsia="zh-CN"/>
        </w:rPr>
        <w:t>196.56</w:t>
      </w:r>
      <w:r>
        <w:rPr>
          <w:szCs w:val="32"/>
        </w:rPr>
        <w:t>万元，主要包括：</w:t>
      </w:r>
      <w:r>
        <w:rPr>
          <w:kern w:val="0"/>
          <w:szCs w:val="32"/>
        </w:rPr>
        <w:t>基本工资、津贴补贴</w:t>
      </w:r>
      <w:r>
        <w:rPr>
          <w:szCs w:val="32"/>
        </w:rPr>
        <w:t>、</w:t>
      </w:r>
      <w:r>
        <w:rPr>
          <w:kern w:val="0"/>
          <w:szCs w:val="32"/>
        </w:rPr>
        <w:t>奖金</w:t>
      </w:r>
      <w:r>
        <w:rPr>
          <w:szCs w:val="32"/>
        </w:rPr>
        <w:t>、</w:t>
      </w:r>
      <w:r>
        <w:rPr>
          <w:kern w:val="0"/>
          <w:szCs w:val="32"/>
        </w:rPr>
        <w:t>社会保障缴费</w:t>
      </w:r>
      <w:r>
        <w:rPr>
          <w:szCs w:val="32"/>
        </w:rPr>
        <w:t>、</w:t>
      </w:r>
      <w:r>
        <w:rPr>
          <w:kern w:val="0"/>
          <w:szCs w:val="32"/>
        </w:rPr>
        <w:t>其他工资福利支出</w:t>
      </w:r>
      <w:r>
        <w:rPr>
          <w:szCs w:val="32"/>
        </w:rPr>
        <w:t>、</w:t>
      </w:r>
      <w:r>
        <w:rPr>
          <w:kern w:val="0"/>
          <w:szCs w:val="32"/>
        </w:rPr>
        <w:t>离休费</w:t>
      </w:r>
      <w:r>
        <w:rPr>
          <w:szCs w:val="32"/>
        </w:rPr>
        <w:t>、</w:t>
      </w:r>
      <w:r>
        <w:rPr>
          <w:kern w:val="0"/>
          <w:szCs w:val="32"/>
        </w:rPr>
        <w:t>退休费</w:t>
      </w:r>
      <w:r>
        <w:rPr>
          <w:szCs w:val="32"/>
        </w:rPr>
        <w:t>、</w:t>
      </w:r>
      <w:r>
        <w:rPr>
          <w:kern w:val="0"/>
          <w:szCs w:val="32"/>
        </w:rPr>
        <w:t>抚恤金</w:t>
      </w:r>
      <w:r>
        <w:rPr>
          <w:szCs w:val="32"/>
        </w:rPr>
        <w:t>、</w:t>
      </w:r>
      <w:r>
        <w:rPr>
          <w:kern w:val="0"/>
          <w:szCs w:val="32"/>
        </w:rPr>
        <w:t>生活补助</w:t>
      </w:r>
      <w:r>
        <w:rPr>
          <w:szCs w:val="32"/>
        </w:rPr>
        <w:t>、</w:t>
      </w:r>
      <w:r>
        <w:rPr>
          <w:kern w:val="0"/>
          <w:szCs w:val="32"/>
        </w:rPr>
        <w:t>助学金</w:t>
      </w:r>
      <w:r>
        <w:rPr>
          <w:szCs w:val="32"/>
        </w:rPr>
        <w:t>、</w:t>
      </w:r>
      <w:r>
        <w:rPr>
          <w:kern w:val="0"/>
          <w:szCs w:val="32"/>
        </w:rPr>
        <w:t>住房公积金</w:t>
      </w:r>
      <w:r>
        <w:rPr>
          <w:szCs w:val="32"/>
        </w:rPr>
        <w:t>、</w:t>
      </w:r>
      <w:r>
        <w:rPr>
          <w:kern w:val="0"/>
          <w:szCs w:val="32"/>
        </w:rPr>
        <w:t>采暖补贴</w:t>
      </w:r>
      <w:r>
        <w:rPr>
          <w:szCs w:val="32"/>
        </w:rPr>
        <w:t>、</w:t>
      </w:r>
      <w:r>
        <w:rPr>
          <w:kern w:val="0"/>
          <w:szCs w:val="32"/>
        </w:rPr>
        <w:t>其他对个人和家庭的补助支出。</w:t>
      </w:r>
    </w:p>
    <w:p>
      <w:pPr>
        <w:ind w:firstLine="640" w:firstLineChars="200"/>
        <w:rPr>
          <w:szCs w:val="32"/>
        </w:rPr>
      </w:pPr>
      <w:r>
        <w:rPr>
          <w:kern w:val="0"/>
          <w:szCs w:val="32"/>
        </w:rPr>
        <w:t>公用经费</w:t>
      </w:r>
      <w:r>
        <w:rPr>
          <w:rFonts w:hint="eastAsia"/>
          <w:kern w:val="0"/>
          <w:szCs w:val="32"/>
          <w:lang w:val="en-US" w:eastAsia="zh-CN"/>
        </w:rPr>
        <w:t>19.14</w:t>
      </w:r>
      <w:r>
        <w:rPr>
          <w:szCs w:val="32"/>
        </w:rPr>
        <w:t>万元，主要包括：</w:t>
      </w:r>
      <w:r>
        <w:rPr>
          <w:kern w:val="0"/>
          <w:szCs w:val="32"/>
        </w:rPr>
        <w:t>办公费</w:t>
      </w:r>
      <w:r>
        <w:rPr>
          <w:szCs w:val="32"/>
        </w:rPr>
        <w:t>、</w:t>
      </w:r>
      <w:r>
        <w:rPr>
          <w:kern w:val="0"/>
          <w:szCs w:val="32"/>
        </w:rPr>
        <w:t>印刷费</w:t>
      </w:r>
      <w:r>
        <w:rPr>
          <w:szCs w:val="32"/>
        </w:rPr>
        <w:t>、</w:t>
      </w:r>
      <w:r>
        <w:rPr>
          <w:kern w:val="0"/>
          <w:szCs w:val="32"/>
        </w:rPr>
        <w:t>水费</w:t>
      </w:r>
      <w:r>
        <w:rPr>
          <w:szCs w:val="32"/>
        </w:rPr>
        <w:t>、</w:t>
      </w:r>
      <w:r>
        <w:rPr>
          <w:kern w:val="0"/>
          <w:szCs w:val="32"/>
        </w:rPr>
        <w:t>电费</w:t>
      </w:r>
      <w:r>
        <w:rPr>
          <w:szCs w:val="32"/>
        </w:rPr>
        <w:t>、</w:t>
      </w:r>
      <w:r>
        <w:rPr>
          <w:kern w:val="0"/>
          <w:szCs w:val="32"/>
        </w:rPr>
        <w:t>邮电费</w:t>
      </w:r>
      <w:r>
        <w:rPr>
          <w:szCs w:val="32"/>
        </w:rPr>
        <w:t>、</w:t>
      </w:r>
      <w:r>
        <w:rPr>
          <w:kern w:val="0"/>
          <w:szCs w:val="32"/>
        </w:rPr>
        <w:t>取暖费</w:t>
      </w:r>
      <w:r>
        <w:rPr>
          <w:szCs w:val="32"/>
        </w:rPr>
        <w:t>、</w:t>
      </w:r>
      <w:r>
        <w:rPr>
          <w:kern w:val="0"/>
          <w:szCs w:val="32"/>
        </w:rPr>
        <w:t>物业管理费</w:t>
      </w:r>
      <w:r>
        <w:rPr>
          <w:szCs w:val="32"/>
        </w:rPr>
        <w:t>、</w:t>
      </w:r>
      <w:r>
        <w:rPr>
          <w:kern w:val="0"/>
          <w:szCs w:val="32"/>
        </w:rPr>
        <w:t>差旅费</w:t>
      </w:r>
      <w:r>
        <w:rPr>
          <w:szCs w:val="32"/>
        </w:rPr>
        <w:t>、</w:t>
      </w:r>
      <w:r>
        <w:rPr>
          <w:kern w:val="0"/>
          <w:szCs w:val="32"/>
        </w:rPr>
        <w:t>维修（护）费</w:t>
      </w:r>
      <w:r>
        <w:rPr>
          <w:szCs w:val="32"/>
        </w:rPr>
        <w:t>、</w:t>
      </w:r>
      <w:r>
        <w:rPr>
          <w:kern w:val="0"/>
          <w:szCs w:val="32"/>
        </w:rPr>
        <w:t>会议费</w:t>
      </w:r>
      <w:r>
        <w:rPr>
          <w:szCs w:val="32"/>
        </w:rPr>
        <w:t>、</w:t>
      </w:r>
      <w:r>
        <w:rPr>
          <w:kern w:val="0"/>
          <w:szCs w:val="32"/>
        </w:rPr>
        <w:t>培训费</w:t>
      </w:r>
      <w:r>
        <w:rPr>
          <w:szCs w:val="32"/>
        </w:rPr>
        <w:t>、</w:t>
      </w:r>
      <w:r>
        <w:rPr>
          <w:kern w:val="0"/>
          <w:szCs w:val="32"/>
        </w:rPr>
        <w:t>公务接待费</w:t>
      </w:r>
      <w:r>
        <w:rPr>
          <w:szCs w:val="32"/>
        </w:rPr>
        <w:t>、</w:t>
      </w:r>
      <w:r>
        <w:rPr>
          <w:kern w:val="0"/>
          <w:szCs w:val="32"/>
        </w:rPr>
        <w:t>工会经费、福利费</w:t>
      </w:r>
      <w:r>
        <w:rPr>
          <w:szCs w:val="32"/>
        </w:rPr>
        <w:t>、公</w:t>
      </w:r>
      <w:r>
        <w:rPr>
          <w:kern w:val="0"/>
          <w:szCs w:val="32"/>
        </w:rPr>
        <w:t>务用车运行维护费</w:t>
      </w:r>
      <w:r>
        <w:rPr>
          <w:szCs w:val="32"/>
        </w:rPr>
        <w:t>、</w:t>
      </w:r>
      <w:r>
        <w:rPr>
          <w:kern w:val="0"/>
          <w:szCs w:val="32"/>
        </w:rPr>
        <w:t>其他交通补助</w:t>
      </w:r>
      <w:r>
        <w:rPr>
          <w:szCs w:val="32"/>
        </w:rPr>
        <w:t>、</w:t>
      </w:r>
      <w:r>
        <w:rPr>
          <w:kern w:val="0"/>
          <w:szCs w:val="32"/>
        </w:rPr>
        <w:t>其他商品和服务支出。</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黑体"/>
          <w:szCs w:val="30"/>
        </w:rPr>
      </w:pPr>
      <w:r>
        <w:rPr>
          <w:rFonts w:eastAsia="楷体"/>
          <w:szCs w:val="32"/>
        </w:rPr>
        <w:br w:type="page"/>
      </w:r>
      <w:r>
        <w:rPr>
          <w:rFonts w:hint="eastAsia" w:eastAsia="楷体"/>
          <w:szCs w:val="32"/>
          <w:lang w:val="en-US" w:eastAsia="zh-CN"/>
        </w:rPr>
        <w:t>-</w:t>
      </w:r>
      <w:r>
        <w:rPr>
          <w:rFonts w:eastAsia="黑体"/>
          <w:szCs w:val="30"/>
        </w:rPr>
        <w:t>七、20</w:t>
      </w:r>
      <w:r>
        <w:rPr>
          <w:rFonts w:hint="eastAsia" w:eastAsia="黑体"/>
          <w:szCs w:val="30"/>
        </w:rPr>
        <w:t>22</w:t>
      </w:r>
      <w:r>
        <w:rPr>
          <w:rFonts w:eastAsia="黑体"/>
          <w:szCs w:val="30"/>
        </w:rPr>
        <w:t>年一般公共预算</w:t>
      </w:r>
      <w:r>
        <w:rPr>
          <w:rFonts w:hint="eastAsia" w:eastAsia="黑体"/>
          <w:szCs w:val="30"/>
        </w:rPr>
        <w:t>财政拨款</w:t>
      </w:r>
      <w:r>
        <w:rPr>
          <w:rFonts w:eastAsia="黑体"/>
          <w:szCs w:val="30"/>
        </w:rPr>
        <w:t>“三公”经费情况</w:t>
      </w:r>
    </w:p>
    <w:p>
      <w:pPr>
        <w:spacing w:line="330" w:lineRule="auto"/>
        <w:ind w:right="120" w:firstLine="641"/>
        <w:rPr>
          <w:rFonts w:eastAsia="楷体"/>
          <w:szCs w:val="32"/>
        </w:rPr>
      </w:pPr>
      <w:r>
        <w:rPr>
          <w:rFonts w:ascii="Times New Roman" w:hAnsi="Times New Roman" w:cs="Times New Roman"/>
          <w:szCs w:val="32"/>
        </w:rPr>
        <w:t>20</w:t>
      </w:r>
      <w:r>
        <w:rPr>
          <w:rFonts w:hint="eastAsia" w:ascii="Times New Roman" w:hAnsi="Times New Roman" w:cs="Times New Roman"/>
          <w:szCs w:val="32"/>
        </w:rPr>
        <w:t>2</w:t>
      </w:r>
      <w:r>
        <w:rPr>
          <w:rFonts w:hint="eastAsia" w:ascii="Times New Roman" w:hAnsi="Times New Roman" w:cs="Times New Roman"/>
          <w:szCs w:val="32"/>
          <w:lang w:val="en-US" w:eastAsia="zh-CN"/>
        </w:rPr>
        <w:t>2</w:t>
      </w:r>
      <w:r>
        <w:rPr>
          <w:rFonts w:ascii="Times New Roman" w:hAnsi="Times New Roman" w:cs="Times New Roman"/>
          <w:szCs w:val="32"/>
        </w:rPr>
        <w:t>年“三公”经费预算数为</w:t>
      </w:r>
      <w:r>
        <w:rPr>
          <w:rFonts w:hint="eastAsia" w:ascii="Times New Roman" w:hAnsi="Times New Roman" w:cs="Times New Roman"/>
          <w:szCs w:val="32"/>
          <w:lang w:val="en-US" w:eastAsia="zh-CN"/>
        </w:rPr>
        <w:t>0</w:t>
      </w:r>
      <w:r>
        <w:rPr>
          <w:rFonts w:ascii="Times New Roman" w:hAnsi="Times New Roman" w:cs="Times New Roman"/>
          <w:szCs w:val="32"/>
        </w:rPr>
        <w:t>万元</w:t>
      </w:r>
      <w:r>
        <w:rPr>
          <w:rFonts w:hint="eastAsia" w:ascii="Times New Roman" w:hAnsi="Times New Roman" w:cs="Times New Roman"/>
          <w:szCs w:val="32"/>
          <w:lang w:eastAsia="zh-CN"/>
        </w:rPr>
        <w:t>。</w:t>
      </w:r>
    </w:p>
    <w:p>
      <w:pPr>
        <w:ind w:firstLine="640" w:firstLineChars="200"/>
        <w:rPr>
          <w:rFonts w:eastAsia="黑体"/>
          <w:szCs w:val="32"/>
        </w:rPr>
      </w:pPr>
      <w:r>
        <w:rPr>
          <w:rFonts w:eastAsia="楷体"/>
          <w:szCs w:val="32"/>
        </w:rPr>
        <w:br w:type="page"/>
      </w:r>
      <w:r>
        <w:rPr>
          <w:rFonts w:eastAsia="黑体"/>
          <w:szCs w:val="32"/>
        </w:rPr>
        <w:t>八、20</w:t>
      </w:r>
      <w:r>
        <w:rPr>
          <w:rFonts w:hint="eastAsia" w:eastAsia="黑体"/>
          <w:szCs w:val="32"/>
        </w:rPr>
        <w:t>22</w:t>
      </w:r>
      <w:r>
        <w:rPr>
          <w:rFonts w:eastAsia="黑体"/>
          <w:szCs w:val="32"/>
        </w:rPr>
        <w:t>年政府性基金预算支出情况</w:t>
      </w:r>
    </w:p>
    <w:p>
      <w:pPr>
        <w:ind w:firstLine="640"/>
        <w:rPr>
          <w:rFonts w:hint="eastAsia" w:ascii="Times New Roman" w:hAnsi="Times New Roman" w:cs="Times New Roman"/>
          <w:szCs w:val="32"/>
          <w:lang w:eastAsia="zh-CN"/>
        </w:rPr>
      </w:pPr>
      <w:r>
        <w:rPr>
          <w:rFonts w:ascii="Times New Roman" w:hAnsi="Times New Roman" w:cs="Times New Roman"/>
          <w:szCs w:val="32"/>
        </w:rPr>
        <w:t>本部门无政府性基金预算拨款</w:t>
      </w:r>
      <w:r>
        <w:rPr>
          <w:rFonts w:hint="eastAsia" w:ascii="Times New Roman" w:hAnsi="Times New Roman" w:cs="Times New Roman"/>
          <w:szCs w:val="32"/>
          <w:lang w:eastAsia="zh-CN"/>
        </w:rPr>
        <w:t>。</w:t>
      </w: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楷体"/>
          <w:szCs w:val="32"/>
        </w:rPr>
      </w:pPr>
    </w:p>
    <w:p>
      <w:pPr>
        <w:ind w:firstLine="640" w:firstLineChars="200"/>
        <w:rPr>
          <w:rFonts w:eastAsia="黑体"/>
          <w:szCs w:val="32"/>
        </w:rPr>
      </w:pPr>
      <w:r>
        <w:rPr>
          <w:rFonts w:hint="eastAsia" w:eastAsia="黑体"/>
          <w:szCs w:val="32"/>
        </w:rPr>
        <w:t>九</w:t>
      </w:r>
      <w:r>
        <w:rPr>
          <w:rFonts w:eastAsia="黑体"/>
          <w:szCs w:val="32"/>
        </w:rPr>
        <w:t>、20</w:t>
      </w:r>
      <w:r>
        <w:rPr>
          <w:rFonts w:hint="eastAsia" w:eastAsia="黑体"/>
          <w:szCs w:val="32"/>
        </w:rPr>
        <w:t>22</w:t>
      </w:r>
      <w:r>
        <w:rPr>
          <w:rFonts w:eastAsia="黑体"/>
          <w:szCs w:val="32"/>
        </w:rPr>
        <w:t>年</w:t>
      </w:r>
      <w:r>
        <w:rPr>
          <w:rFonts w:hint="eastAsia" w:eastAsia="黑体"/>
          <w:szCs w:val="32"/>
        </w:rPr>
        <w:t>国有资本经营</w:t>
      </w:r>
      <w:r>
        <w:rPr>
          <w:rFonts w:eastAsia="黑体"/>
          <w:szCs w:val="32"/>
        </w:rPr>
        <w:t>预算支出情况</w:t>
      </w:r>
    </w:p>
    <w:p>
      <w:pPr>
        <w:ind w:firstLine="640"/>
        <w:rPr>
          <w:rFonts w:hint="eastAsia" w:ascii="Times New Roman" w:hAnsi="Times New Roman" w:cs="Times New Roman"/>
          <w:szCs w:val="32"/>
          <w:lang w:eastAsia="zh-CN"/>
        </w:rPr>
      </w:pPr>
      <w:r>
        <w:rPr>
          <w:rFonts w:hint="eastAsia" w:ascii="Times New Roman" w:hAnsi="Times New Roman" w:cs="Times New Roman"/>
          <w:szCs w:val="32"/>
        </w:rPr>
        <w:t>本部门无国有资本经营预算拨款</w:t>
      </w:r>
      <w:r>
        <w:rPr>
          <w:rFonts w:hint="eastAsia" w:ascii="Times New Roman" w:hAnsi="Times New Roman" w:cs="Times New Roman"/>
          <w:szCs w:val="32"/>
          <w:lang w:eastAsia="zh-CN"/>
        </w:rPr>
        <w:t>。</w:t>
      </w: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ind w:firstLine="640"/>
        <w:rPr>
          <w:rFonts w:hint="eastAsia" w:ascii="Times New Roman" w:hAnsi="Times New Roman" w:cs="Times New Roman"/>
          <w:szCs w:val="32"/>
          <w:lang w:eastAsia="zh-CN"/>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szCs w:val="32"/>
        </w:rPr>
      </w:pPr>
      <w:r>
        <w:rPr>
          <w:szCs w:val="32"/>
        </w:rPr>
        <w:t>20</w:t>
      </w:r>
      <w:r>
        <w:rPr>
          <w:rFonts w:hint="eastAsia"/>
          <w:szCs w:val="32"/>
        </w:rPr>
        <w:t>22</w:t>
      </w:r>
      <w:r>
        <w:rPr>
          <w:szCs w:val="32"/>
        </w:rPr>
        <w:t>年部门本级</w:t>
      </w:r>
      <w:r>
        <w:rPr>
          <w:rFonts w:hint="eastAsia"/>
          <w:szCs w:val="32"/>
          <w:lang w:eastAsia="zh-CN"/>
        </w:rPr>
        <w:t>通榆县八区街道办事处</w:t>
      </w:r>
      <w:r>
        <w:rPr>
          <w:rFonts w:hint="eastAsia"/>
          <w:szCs w:val="32"/>
          <w:lang w:val="en-US" w:eastAsia="zh-CN"/>
        </w:rPr>
        <w:t>1</w:t>
      </w:r>
      <w:r>
        <w:rPr>
          <w:szCs w:val="32"/>
        </w:rPr>
        <w:t>家行政单位以及</w:t>
      </w:r>
      <w:r>
        <w:rPr>
          <w:rFonts w:hint="eastAsia"/>
          <w:szCs w:val="32"/>
          <w:lang w:val="en-US" w:eastAsia="zh-CN"/>
        </w:rPr>
        <w:t>0</w:t>
      </w:r>
      <w:r>
        <w:rPr>
          <w:szCs w:val="32"/>
        </w:rPr>
        <w:t>家参公管理事业单位的机关运行经费财政拨款预算</w:t>
      </w:r>
      <w:r>
        <w:rPr>
          <w:rFonts w:hint="eastAsia"/>
          <w:szCs w:val="32"/>
          <w:lang w:val="en-US" w:eastAsia="zh-CN"/>
        </w:rPr>
        <w:t>277.75</w:t>
      </w:r>
      <w:r>
        <w:rPr>
          <w:szCs w:val="32"/>
        </w:rPr>
        <w:t>万元，比20</w:t>
      </w:r>
      <w:r>
        <w:rPr>
          <w:rFonts w:hint="eastAsia"/>
          <w:szCs w:val="32"/>
        </w:rPr>
        <w:t>21</w:t>
      </w:r>
      <w:r>
        <w:rPr>
          <w:szCs w:val="32"/>
        </w:rPr>
        <w:t>年预算增加减少</w:t>
      </w:r>
      <w:r>
        <w:rPr>
          <w:rFonts w:hint="eastAsia"/>
          <w:szCs w:val="32"/>
          <w:lang w:val="en-US" w:eastAsia="zh-CN"/>
        </w:rPr>
        <w:t>89.45</w:t>
      </w:r>
      <w:r>
        <w:rPr>
          <w:szCs w:val="32"/>
        </w:rPr>
        <w:t>万元，下降</w:t>
      </w:r>
      <w:r>
        <w:rPr>
          <w:rFonts w:hint="eastAsia"/>
          <w:szCs w:val="32"/>
          <w:lang w:val="en-US" w:eastAsia="zh-CN"/>
        </w:rPr>
        <w:t>24.36</w:t>
      </w:r>
      <w:r>
        <w:rPr>
          <w:szCs w:val="32"/>
        </w:rPr>
        <w:t>%</w:t>
      </w:r>
      <w:r>
        <w:rPr>
          <w:rFonts w:hint="eastAsia"/>
          <w:szCs w:val="32"/>
        </w:rPr>
        <w:t>，</w:t>
      </w:r>
      <w:r>
        <w:rPr>
          <w:szCs w:val="32"/>
        </w:rPr>
        <w:t>主要原因是</w:t>
      </w:r>
      <w:r>
        <w:rPr>
          <w:rFonts w:hint="eastAsia"/>
          <w:szCs w:val="32"/>
          <w:lang w:val="en-US" w:eastAsia="zh-CN"/>
        </w:rPr>
        <w:t>2022年</w:t>
      </w:r>
      <w:r>
        <w:rPr>
          <w:rFonts w:hint="eastAsia"/>
          <w:szCs w:val="32"/>
          <w:lang w:eastAsia="zh-CN"/>
        </w:rPr>
        <w:t>事业编人员编制落到八区街道综合服务中心，事业编人员工资福利、经费都拨付到八区街道综合服务中心账户</w:t>
      </w:r>
      <w:r>
        <w:rPr>
          <w:szCs w:val="32"/>
        </w:rPr>
        <w:t>。</w:t>
      </w:r>
    </w:p>
    <w:p>
      <w:pPr>
        <w:spacing w:line="540" w:lineRule="exact"/>
        <w:ind w:firstLine="640" w:firstLineChars="200"/>
        <w:rPr>
          <w:rFonts w:eastAsia="楷体"/>
          <w:szCs w:val="32"/>
        </w:rPr>
      </w:pPr>
      <w:r>
        <w:rPr>
          <w:rFonts w:eastAsia="楷体"/>
          <w:szCs w:val="32"/>
        </w:rPr>
        <w:t>（二）政府采购情况</w:t>
      </w:r>
    </w:p>
    <w:p>
      <w:pPr>
        <w:spacing w:line="540" w:lineRule="exact"/>
        <w:ind w:firstLine="640" w:firstLineChars="200"/>
        <w:rPr>
          <w:szCs w:val="32"/>
        </w:rPr>
      </w:pPr>
      <w:r>
        <w:rPr>
          <w:szCs w:val="32"/>
        </w:rPr>
        <w:t>20</w:t>
      </w:r>
      <w:r>
        <w:rPr>
          <w:rFonts w:hint="eastAsia"/>
          <w:szCs w:val="32"/>
        </w:rPr>
        <w:t>22</w:t>
      </w:r>
      <w:r>
        <w:rPr>
          <w:szCs w:val="32"/>
        </w:rPr>
        <w:t>年</w:t>
      </w:r>
      <w:r>
        <w:rPr>
          <w:rFonts w:ascii="Times New Roman" w:hAnsi="Times New Roman" w:cs="Times New Roman"/>
          <w:szCs w:val="32"/>
        </w:rPr>
        <w:t>本部门无政府</w:t>
      </w:r>
      <w:r>
        <w:rPr>
          <w:rFonts w:hint="eastAsia" w:cs="Times New Roman"/>
          <w:szCs w:val="32"/>
          <w:lang w:eastAsia="zh-CN"/>
        </w:rPr>
        <w:t>采购资金</w:t>
      </w:r>
      <w:r>
        <w:rPr>
          <w:rFonts w:ascii="Times New Roman" w:hAnsi="Times New Roman" w:cs="Times New Roman"/>
          <w:szCs w:val="32"/>
        </w:rPr>
        <w:t>预算拨款</w:t>
      </w:r>
      <w:r>
        <w:rPr>
          <w:rFonts w:hint="eastAsia" w:ascii="Times New Roman" w:hAnsi="Times New Roman" w:cs="Times New Roman"/>
          <w:szCs w:val="32"/>
          <w:lang w:eastAsia="zh-CN"/>
        </w:rPr>
        <w:t>。</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szCs w:val="32"/>
        </w:rPr>
      </w:pPr>
      <w:r>
        <w:rPr>
          <w:rFonts w:hint="eastAsia"/>
          <w:szCs w:val="32"/>
        </w:rPr>
        <w:t>截至</w:t>
      </w:r>
      <w:r>
        <w:rPr>
          <w:rFonts w:hint="eastAsia"/>
          <w:szCs w:val="32"/>
          <w:lang w:val="en-US" w:eastAsia="zh-CN"/>
        </w:rPr>
        <w:t>2022</w:t>
      </w:r>
      <w:r>
        <w:rPr>
          <w:rFonts w:hint="eastAsia"/>
          <w:szCs w:val="32"/>
        </w:rPr>
        <w:t>年</w:t>
      </w:r>
      <w:r>
        <w:rPr>
          <w:rFonts w:hint="eastAsia"/>
          <w:szCs w:val="32"/>
          <w:lang w:val="en-US" w:eastAsia="zh-CN"/>
        </w:rPr>
        <w:t>5</w:t>
      </w:r>
      <w:r>
        <w:rPr>
          <w:rFonts w:hint="eastAsia"/>
          <w:szCs w:val="32"/>
        </w:rPr>
        <w:t>月底，部门本级和所属各预算单位共有车辆</w:t>
      </w:r>
      <w:r>
        <w:rPr>
          <w:rFonts w:hint="eastAsia"/>
          <w:szCs w:val="32"/>
          <w:lang w:val="en-US" w:eastAsia="zh-CN"/>
        </w:rPr>
        <w:t>0</w:t>
      </w:r>
      <w:r>
        <w:rPr>
          <w:rFonts w:hint="eastAsia"/>
          <w:szCs w:val="32"/>
        </w:rPr>
        <w:t>辆，土地</w:t>
      </w:r>
      <w:r>
        <w:rPr>
          <w:rFonts w:hint="eastAsia"/>
          <w:szCs w:val="32"/>
          <w:lang w:val="en-US" w:eastAsia="zh-CN"/>
        </w:rPr>
        <w:t>0</w:t>
      </w:r>
      <w:r>
        <w:rPr>
          <w:rFonts w:hint="eastAsia"/>
          <w:szCs w:val="32"/>
        </w:rPr>
        <w:t>平方米，房屋</w:t>
      </w:r>
      <w:r>
        <w:rPr>
          <w:rFonts w:hint="eastAsia"/>
          <w:szCs w:val="32"/>
          <w:lang w:val="en-US" w:eastAsia="zh-CN"/>
        </w:rPr>
        <w:t>0</w:t>
      </w:r>
      <w:r>
        <w:rPr>
          <w:rFonts w:hint="eastAsia"/>
          <w:szCs w:val="32"/>
        </w:rPr>
        <w:t>平方米，单价50万元及以上的通用设备</w:t>
      </w:r>
      <w:r>
        <w:rPr>
          <w:rFonts w:hint="eastAsia"/>
          <w:szCs w:val="32"/>
          <w:lang w:val="en-US" w:eastAsia="zh-CN"/>
        </w:rPr>
        <w:t xml:space="preserve">0 </w:t>
      </w:r>
      <w:r>
        <w:rPr>
          <w:rFonts w:hint="eastAsia"/>
          <w:szCs w:val="32"/>
        </w:rPr>
        <w:t>台/套，单价100万元及以上的专用设备实有数</w:t>
      </w:r>
      <w:r>
        <w:rPr>
          <w:rFonts w:hint="eastAsia"/>
          <w:szCs w:val="32"/>
          <w:lang w:val="en-US" w:eastAsia="zh-CN"/>
        </w:rPr>
        <w:t xml:space="preserve">0 </w:t>
      </w:r>
      <w:r>
        <w:rPr>
          <w:rFonts w:hint="eastAsia"/>
          <w:szCs w:val="32"/>
        </w:rPr>
        <w:t>台/套。</w:t>
      </w:r>
    </w:p>
    <w:p>
      <w:pPr>
        <w:spacing w:line="540" w:lineRule="exact"/>
        <w:ind w:firstLine="640" w:firstLineChars="200"/>
        <w:rPr>
          <w:szCs w:val="32"/>
        </w:rPr>
      </w:pPr>
      <w:r>
        <w:rPr>
          <w:rFonts w:hint="eastAsia"/>
          <w:szCs w:val="32"/>
        </w:rPr>
        <w:t>2022年部门预算安排购置车辆</w:t>
      </w:r>
      <w:r>
        <w:rPr>
          <w:rFonts w:hint="eastAsia"/>
          <w:szCs w:val="32"/>
          <w:lang w:val="en-US" w:eastAsia="zh-CN"/>
        </w:rPr>
        <w:t>0</w:t>
      </w:r>
      <w:r>
        <w:rPr>
          <w:rFonts w:hint="eastAsia"/>
          <w:szCs w:val="32"/>
        </w:rPr>
        <w:t>辆，安排购置土地</w:t>
      </w:r>
      <w:r>
        <w:rPr>
          <w:rFonts w:hint="eastAsia"/>
          <w:szCs w:val="32"/>
          <w:lang w:val="en-US" w:eastAsia="zh-CN"/>
        </w:rPr>
        <w:t>0</w:t>
      </w:r>
      <w:r>
        <w:rPr>
          <w:rFonts w:hint="eastAsia"/>
          <w:szCs w:val="32"/>
        </w:rPr>
        <w:t>平方米，安排购置房屋</w:t>
      </w:r>
      <w:r>
        <w:rPr>
          <w:rFonts w:hint="eastAsia"/>
          <w:szCs w:val="32"/>
          <w:lang w:val="en-US" w:eastAsia="zh-CN"/>
        </w:rPr>
        <w:t>0</w:t>
      </w:r>
      <w:r>
        <w:rPr>
          <w:rFonts w:hint="eastAsia"/>
          <w:szCs w:val="32"/>
        </w:rPr>
        <w:t>平方米，计划新增单价50万元及以上的通用设备</w:t>
      </w:r>
      <w:r>
        <w:rPr>
          <w:rFonts w:hint="eastAsia"/>
          <w:szCs w:val="32"/>
          <w:lang w:val="en-US" w:eastAsia="zh-CN"/>
        </w:rPr>
        <w:t>0</w:t>
      </w:r>
      <w:r>
        <w:rPr>
          <w:rFonts w:hint="eastAsia"/>
          <w:szCs w:val="32"/>
        </w:rPr>
        <w:t>台/套，计划新增单价100万元及以上的专用设备实有数</w:t>
      </w:r>
      <w:r>
        <w:rPr>
          <w:rFonts w:hint="eastAsia"/>
          <w:szCs w:val="32"/>
          <w:lang w:val="en-US" w:eastAsia="zh-CN"/>
        </w:rPr>
        <w:t>0</w:t>
      </w:r>
      <w:r>
        <w:rPr>
          <w:rFonts w:hint="eastAsia"/>
          <w:szCs w:val="32"/>
        </w:rPr>
        <w:t>台/套。</w:t>
      </w:r>
    </w:p>
    <w:p>
      <w:pPr>
        <w:numPr>
          <w:ilvl w:val="0"/>
          <w:numId w:val="1"/>
        </w:numPr>
        <w:spacing w:line="540" w:lineRule="exact"/>
        <w:ind w:firstLine="640" w:firstLineChars="200"/>
        <w:rPr>
          <w:rFonts w:hint="eastAsia" w:eastAsia="楷体"/>
          <w:szCs w:val="32"/>
        </w:rPr>
      </w:pPr>
      <w:r>
        <w:rPr>
          <w:rFonts w:hint="eastAsia" w:eastAsia="楷体"/>
          <w:szCs w:val="32"/>
        </w:rPr>
        <w:t>项目支出情况说明</w:t>
      </w:r>
    </w:p>
    <w:p>
      <w:pPr>
        <w:spacing w:line="540" w:lineRule="exact"/>
        <w:ind w:firstLine="640" w:firstLineChars="200"/>
      </w:pPr>
      <w:r>
        <w:t>202</w:t>
      </w:r>
      <w:r>
        <w:rPr>
          <w:rFonts w:hint="eastAsia"/>
        </w:rPr>
        <w:t>2</w:t>
      </w:r>
      <w:r>
        <w:t>年部门项目支出</w:t>
      </w:r>
      <w:r>
        <w:rPr>
          <w:rFonts w:hint="eastAsia"/>
          <w:szCs w:val="32"/>
          <w:lang w:val="en-US" w:eastAsia="zh-CN"/>
        </w:rPr>
        <w:t>62.05</w:t>
      </w:r>
      <w:r>
        <w:rPr>
          <w:szCs w:val="32"/>
        </w:rPr>
        <w:t>万元，其中：一级项目</w:t>
      </w:r>
      <w:r>
        <w:rPr>
          <w:rFonts w:hint="eastAsia"/>
          <w:szCs w:val="32"/>
          <w:lang w:val="en-US" w:eastAsia="zh-CN"/>
        </w:rPr>
        <w:t>8</w:t>
      </w:r>
      <w:r>
        <w:rPr>
          <w:szCs w:val="32"/>
        </w:rPr>
        <w:t>个，二级项目</w:t>
      </w:r>
      <w:r>
        <w:rPr>
          <w:rFonts w:hint="eastAsia"/>
          <w:szCs w:val="32"/>
          <w:lang w:val="en-US" w:eastAsia="zh-CN"/>
        </w:rPr>
        <w:t>8</w:t>
      </w:r>
      <w:r>
        <w:rPr>
          <w:szCs w:val="32"/>
        </w:rPr>
        <w:t>个；使用</w:t>
      </w:r>
      <w:r>
        <w:rPr>
          <w:rFonts w:hint="eastAsia"/>
          <w:szCs w:val="32"/>
        </w:rPr>
        <w:t>本年拨款</w:t>
      </w:r>
      <w:r>
        <w:rPr>
          <w:rFonts w:hint="eastAsia"/>
          <w:szCs w:val="32"/>
          <w:lang w:val="en-US" w:eastAsia="zh-CN"/>
        </w:rPr>
        <w:t>62.05</w:t>
      </w:r>
      <w:r>
        <w:rPr>
          <w:szCs w:val="32"/>
        </w:rPr>
        <w:t>万元，</w:t>
      </w:r>
      <w:r>
        <w:rPr>
          <w:rFonts w:hint="eastAsia"/>
          <w:szCs w:val="32"/>
        </w:rPr>
        <w:t>财政拨款结转</w:t>
      </w:r>
      <w:r>
        <w:rPr>
          <w:rFonts w:hint="eastAsia"/>
          <w:szCs w:val="32"/>
          <w:lang w:val="en-US" w:eastAsia="zh-CN"/>
        </w:rPr>
        <w:t>0</w:t>
      </w:r>
      <w:r>
        <w:rPr>
          <w:szCs w:val="32"/>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eastAsia="楷体"/>
          <w:szCs w:val="32"/>
        </w:rPr>
      </w:pPr>
      <w:r>
        <w:rPr>
          <w:rFonts w:hint="eastAsia" w:ascii="宋体" w:hAnsi="宋体"/>
        </w:rPr>
        <w:t>按照全面实施预算绩效管理的要求，结合本部门职能和重点工作，2022年确定</w:t>
      </w:r>
      <w:r>
        <w:rPr>
          <w:rFonts w:hint="eastAsia" w:ascii="宋体" w:hAnsi="宋体"/>
          <w:lang w:val="en-US" w:eastAsia="zh-CN"/>
        </w:rPr>
        <w:t>8</w:t>
      </w:r>
      <w:r>
        <w:rPr>
          <w:rFonts w:hint="eastAsia" w:ascii="宋体" w:hAnsi="宋体"/>
        </w:rPr>
        <w:t>个一级项目支出的绩效目标和指标向社会公开，涉及金额</w:t>
      </w:r>
      <w:r>
        <w:rPr>
          <w:rFonts w:hint="eastAsia" w:ascii="宋体" w:hAnsi="宋体"/>
          <w:lang w:val="en-US" w:eastAsia="zh-CN"/>
        </w:rPr>
        <w:t>8</w:t>
      </w:r>
      <w:r>
        <w:rPr>
          <w:rFonts w:hint="eastAsia" w:ascii="宋体" w:hAnsi="宋体"/>
        </w:rPr>
        <w:t>万元。</w:t>
      </w:r>
    </w:p>
    <w:p>
      <w:pPr>
        <w:spacing w:line="540" w:lineRule="exact"/>
        <w:ind w:firstLine="640" w:firstLineChars="200"/>
        <w:rPr>
          <w:rFonts w:eastAsia="楷体"/>
          <w:szCs w:val="32"/>
        </w:rPr>
      </w:pPr>
      <w:r>
        <w:rPr>
          <w:rFonts w:eastAsia="楷体"/>
          <w:szCs w:val="32"/>
        </w:rPr>
        <w:br w:type="page"/>
      </w:r>
    </w:p>
    <w:p>
      <w:pPr>
        <w:ind w:firstLine="640" w:firstLineChars="200"/>
        <w:rPr>
          <w:szCs w:val="32"/>
        </w:rPr>
      </w:pP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eastAsia="仿宋"/>
          <w:szCs w:val="32"/>
        </w:rPr>
      </w:pPr>
      <w:r>
        <w:rPr>
          <w:rFonts w:eastAsia="楷体"/>
          <w:szCs w:val="32"/>
        </w:rPr>
        <w:t>（</w:t>
      </w:r>
      <w:r>
        <w:rPr>
          <w:rFonts w:hint="eastAsia" w:eastAsia="楷体"/>
          <w:szCs w:val="32"/>
        </w:rPr>
        <w:t>九</w:t>
      </w:r>
      <w:r>
        <w:rPr>
          <w:rFonts w:eastAsia="楷体"/>
          <w:szCs w:val="32"/>
        </w:rPr>
        <w:t>）其他收入：</w:t>
      </w:r>
      <w:r>
        <w:rPr>
          <w:szCs w:val="32"/>
        </w:rPr>
        <w:t>指除上述“一般公共预算拨款收入”、</w:t>
      </w:r>
      <w:r>
        <w:rPr>
          <w:rFonts w:hint="eastAsia"/>
          <w:szCs w:val="32"/>
        </w:rPr>
        <w:t>“政府性基金预算拨款收入”、</w:t>
      </w:r>
      <w:r>
        <w:rPr>
          <w:szCs w:val="32"/>
        </w:rPr>
        <w:t>“事业收入”、“事业单位经营收入”等以外的收入。</w:t>
      </w:r>
    </w:p>
    <w:p>
      <w:pPr>
        <w:ind w:firstLine="640"/>
        <w:rPr>
          <w:szCs w:val="32"/>
        </w:rPr>
      </w:pPr>
      <w:r>
        <w:rPr>
          <w:rFonts w:eastAsia="楷体"/>
          <w:szCs w:val="32"/>
        </w:rPr>
        <w:t>（</w:t>
      </w:r>
      <w:r>
        <w:rPr>
          <w:rFonts w:hint="eastAsia" w:eastAsia="楷体"/>
          <w:szCs w:val="32"/>
        </w:rPr>
        <w:t>十</w:t>
      </w:r>
      <w:r>
        <w:rPr>
          <w:rFonts w:eastAsia="楷体"/>
          <w:szCs w:val="32"/>
        </w:rPr>
        <w:t>）用事业基金弥补收支差额：</w:t>
      </w:r>
      <w:r>
        <w:rPr>
          <w:szCs w:val="32"/>
        </w:rPr>
        <w:t>指事业单位在预计当年的“一般公共预算拨款收入”、</w:t>
      </w:r>
      <w:r>
        <w:rPr>
          <w:rFonts w:hint="eastAsia"/>
          <w:szCs w:val="32"/>
        </w:rPr>
        <w:t>“政府性基金预算拨款收入”、</w:t>
      </w:r>
      <w:r>
        <w:rPr>
          <w:szCs w:val="32"/>
        </w:rPr>
        <w:t>“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ODZlNjRlMzIxMGYzZTc5YzcyODJkZDBiOTEzNTE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8133AD"/>
    <w:rsid w:val="019B69D8"/>
    <w:rsid w:val="020E6D2C"/>
    <w:rsid w:val="031D7D4B"/>
    <w:rsid w:val="0486486A"/>
    <w:rsid w:val="04954460"/>
    <w:rsid w:val="050D06DA"/>
    <w:rsid w:val="05513E94"/>
    <w:rsid w:val="056F5A6D"/>
    <w:rsid w:val="059B3770"/>
    <w:rsid w:val="063949A0"/>
    <w:rsid w:val="06BD5BC7"/>
    <w:rsid w:val="09A0082A"/>
    <w:rsid w:val="0A452C35"/>
    <w:rsid w:val="0ABA06FE"/>
    <w:rsid w:val="0B5F5ADA"/>
    <w:rsid w:val="0C2A5C84"/>
    <w:rsid w:val="0DA001B0"/>
    <w:rsid w:val="0DEB170B"/>
    <w:rsid w:val="0E4C7841"/>
    <w:rsid w:val="0F3E0406"/>
    <w:rsid w:val="0FD62F63"/>
    <w:rsid w:val="10AE7F82"/>
    <w:rsid w:val="10C93B35"/>
    <w:rsid w:val="11177619"/>
    <w:rsid w:val="112605C8"/>
    <w:rsid w:val="12E711B7"/>
    <w:rsid w:val="136D62BD"/>
    <w:rsid w:val="13F21722"/>
    <w:rsid w:val="1441443C"/>
    <w:rsid w:val="14C12787"/>
    <w:rsid w:val="15015758"/>
    <w:rsid w:val="15593E10"/>
    <w:rsid w:val="159F7E25"/>
    <w:rsid w:val="15F848D0"/>
    <w:rsid w:val="160E1FA5"/>
    <w:rsid w:val="160F2600"/>
    <w:rsid w:val="17765BCA"/>
    <w:rsid w:val="17A027D8"/>
    <w:rsid w:val="1A817DF8"/>
    <w:rsid w:val="1ADC594E"/>
    <w:rsid w:val="1AEB5252"/>
    <w:rsid w:val="1C852172"/>
    <w:rsid w:val="1CA40C0C"/>
    <w:rsid w:val="1CFF4A32"/>
    <w:rsid w:val="1D833200"/>
    <w:rsid w:val="1E3A3FD0"/>
    <w:rsid w:val="1EB55C07"/>
    <w:rsid w:val="1F351A10"/>
    <w:rsid w:val="1FED47E9"/>
    <w:rsid w:val="206816AC"/>
    <w:rsid w:val="22A4003E"/>
    <w:rsid w:val="23EC61F6"/>
    <w:rsid w:val="244C543C"/>
    <w:rsid w:val="24624768"/>
    <w:rsid w:val="25531312"/>
    <w:rsid w:val="259B5BC5"/>
    <w:rsid w:val="25F62C4E"/>
    <w:rsid w:val="26643D6C"/>
    <w:rsid w:val="26FE109D"/>
    <w:rsid w:val="27073E1E"/>
    <w:rsid w:val="27B04AB3"/>
    <w:rsid w:val="28A63332"/>
    <w:rsid w:val="29C45F2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838492F"/>
    <w:rsid w:val="3887374F"/>
    <w:rsid w:val="39041A07"/>
    <w:rsid w:val="39043B77"/>
    <w:rsid w:val="39670895"/>
    <w:rsid w:val="3A657F9A"/>
    <w:rsid w:val="3A9113D4"/>
    <w:rsid w:val="3AC54F32"/>
    <w:rsid w:val="3B144A0A"/>
    <w:rsid w:val="3BC92948"/>
    <w:rsid w:val="3BE370D4"/>
    <w:rsid w:val="3C29381E"/>
    <w:rsid w:val="3C711E1D"/>
    <w:rsid w:val="3C7F463D"/>
    <w:rsid w:val="3CAE3960"/>
    <w:rsid w:val="3D365BF6"/>
    <w:rsid w:val="3D860861"/>
    <w:rsid w:val="3DF23324"/>
    <w:rsid w:val="3EA14040"/>
    <w:rsid w:val="3EE8108D"/>
    <w:rsid w:val="40B80EFF"/>
    <w:rsid w:val="41A35364"/>
    <w:rsid w:val="41C31686"/>
    <w:rsid w:val="42982B4E"/>
    <w:rsid w:val="436B1E42"/>
    <w:rsid w:val="456D114B"/>
    <w:rsid w:val="45EB670F"/>
    <w:rsid w:val="46AB7C0D"/>
    <w:rsid w:val="46D44808"/>
    <w:rsid w:val="47CF49E6"/>
    <w:rsid w:val="48674ED2"/>
    <w:rsid w:val="487708E6"/>
    <w:rsid w:val="49645F71"/>
    <w:rsid w:val="499F5C68"/>
    <w:rsid w:val="4AF16062"/>
    <w:rsid w:val="4B646DDD"/>
    <w:rsid w:val="4B7F44F8"/>
    <w:rsid w:val="4BAC24C5"/>
    <w:rsid w:val="4BFA0656"/>
    <w:rsid w:val="4D730507"/>
    <w:rsid w:val="4D741DD3"/>
    <w:rsid w:val="4DC93207"/>
    <w:rsid w:val="4E8D5761"/>
    <w:rsid w:val="4EF54A85"/>
    <w:rsid w:val="501B3C66"/>
    <w:rsid w:val="504B40C5"/>
    <w:rsid w:val="50987DC2"/>
    <w:rsid w:val="50A4703E"/>
    <w:rsid w:val="5136104F"/>
    <w:rsid w:val="52071113"/>
    <w:rsid w:val="525A440D"/>
    <w:rsid w:val="54741940"/>
    <w:rsid w:val="54810E66"/>
    <w:rsid w:val="54C2556E"/>
    <w:rsid w:val="55480EEF"/>
    <w:rsid w:val="56F2325B"/>
    <w:rsid w:val="57AE5C26"/>
    <w:rsid w:val="57DD75A9"/>
    <w:rsid w:val="58256ABD"/>
    <w:rsid w:val="59472AC7"/>
    <w:rsid w:val="5AB343F7"/>
    <w:rsid w:val="5ABF50F2"/>
    <w:rsid w:val="5AF76904"/>
    <w:rsid w:val="5B052E7A"/>
    <w:rsid w:val="5B3D7F7E"/>
    <w:rsid w:val="5B7C7777"/>
    <w:rsid w:val="5BEC6771"/>
    <w:rsid w:val="5C3F705B"/>
    <w:rsid w:val="5CA506B9"/>
    <w:rsid w:val="5D5A7C63"/>
    <w:rsid w:val="5E256F6F"/>
    <w:rsid w:val="5F6235A9"/>
    <w:rsid w:val="614125C2"/>
    <w:rsid w:val="624C5C52"/>
    <w:rsid w:val="63DF08E4"/>
    <w:rsid w:val="64C04AFD"/>
    <w:rsid w:val="661A7B69"/>
    <w:rsid w:val="664909C1"/>
    <w:rsid w:val="66C63EB5"/>
    <w:rsid w:val="679461D3"/>
    <w:rsid w:val="67B75C87"/>
    <w:rsid w:val="6858287E"/>
    <w:rsid w:val="69157114"/>
    <w:rsid w:val="691A443E"/>
    <w:rsid w:val="6A80735F"/>
    <w:rsid w:val="6ACC5E47"/>
    <w:rsid w:val="6AD43ED1"/>
    <w:rsid w:val="6B11024D"/>
    <w:rsid w:val="6B7D5B36"/>
    <w:rsid w:val="6CF120A8"/>
    <w:rsid w:val="714213DD"/>
    <w:rsid w:val="717F272E"/>
    <w:rsid w:val="728027C6"/>
    <w:rsid w:val="73FE7ACC"/>
    <w:rsid w:val="74556746"/>
    <w:rsid w:val="76C17E06"/>
    <w:rsid w:val="76CA67BD"/>
    <w:rsid w:val="774E6400"/>
    <w:rsid w:val="775B0046"/>
    <w:rsid w:val="79700BEF"/>
    <w:rsid w:val="7A090695"/>
    <w:rsid w:val="7AE175F4"/>
    <w:rsid w:val="7B417685"/>
    <w:rsid w:val="7B5220F0"/>
    <w:rsid w:val="7BA169C0"/>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5"/>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font11"/>
    <w:qFormat/>
    <w:uiPriority w:val="0"/>
    <w:rPr>
      <w:rFonts w:hint="default" w:ascii="Arial" w:hAnsi="Arial" w:cs="Arial"/>
      <w:color w:val="000000"/>
      <w:sz w:val="24"/>
      <w:szCs w:val="24"/>
      <w:u w:val="none"/>
    </w:rPr>
  </w:style>
  <w:style w:type="character" w:customStyle="1" w:styleId="14">
    <w:name w:val="页脚 字符"/>
    <w:link w:val="6"/>
    <w:qFormat/>
    <w:uiPriority w:val="0"/>
    <w:rPr>
      <w:rFonts w:eastAsia="仿宋_GB2312"/>
      <w:kern w:val="2"/>
      <w:sz w:val="18"/>
    </w:rPr>
  </w:style>
  <w:style w:type="character" w:customStyle="1" w:styleId="15">
    <w:name w:val="批注框文本 字符"/>
    <w:link w:val="5"/>
    <w:qFormat/>
    <w:uiPriority w:val="0"/>
    <w:rPr>
      <w:rFonts w:eastAsia="仿宋_GB2312"/>
      <w:kern w:val="2"/>
      <w:sz w:val="18"/>
      <w:szCs w:val="18"/>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41</Pages>
  <Words>8835</Words>
  <Characters>9724</Characters>
  <Lines>71</Lines>
  <Paragraphs>20</Paragraphs>
  <TotalTime>28</TotalTime>
  <ScaleCrop>false</ScaleCrop>
  <LinksUpToDate>false</LinksUpToDate>
  <CharactersWithSpaces>10400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川</cp:lastModifiedBy>
  <cp:lastPrinted>2022-06-09T03:03:00Z</cp:lastPrinted>
  <dcterms:modified xsi:type="dcterms:W3CDTF">2021-12-25T08:55:33Z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6A7926DE975B485AA4275682F6D22224</vt:lpwstr>
  </property>
</Properties>
</file>