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Pr="00390604" w:rsidRDefault="00390604" w:rsidP="00390604">
      <w:pPr>
        <w:jc w:val="center"/>
        <w:rPr>
          <w:sz w:val="44"/>
        </w:rPr>
      </w:pPr>
      <w:r w:rsidRPr="00390604">
        <w:rPr>
          <w:rFonts w:hint="eastAsia"/>
          <w:sz w:val="44"/>
        </w:rPr>
        <w:t>2018</w:t>
      </w:r>
      <w:r w:rsidRPr="00390604">
        <w:rPr>
          <w:rFonts w:hint="eastAsia"/>
          <w:sz w:val="44"/>
        </w:rPr>
        <w:t>年部门预算</w:t>
      </w:r>
    </w:p>
    <w:p w:rsidR="00390604" w:rsidRPr="00390604" w:rsidRDefault="00390604" w:rsidP="00390604">
      <w:pPr>
        <w:jc w:val="center"/>
        <w:rPr>
          <w:sz w:val="44"/>
        </w:rPr>
      </w:pPr>
    </w:p>
    <w:p w:rsidR="00390604" w:rsidRPr="00390604" w:rsidRDefault="00390604" w:rsidP="00390604">
      <w:pPr>
        <w:jc w:val="center"/>
        <w:rPr>
          <w:sz w:val="44"/>
        </w:rPr>
      </w:pPr>
      <w:r w:rsidRPr="00390604">
        <w:rPr>
          <w:rFonts w:hint="eastAsia"/>
          <w:sz w:val="44"/>
        </w:rPr>
        <w:t>通榆县供销合作社联合社</w:t>
      </w:r>
    </w:p>
    <w:p w:rsidR="00390604" w:rsidRDefault="00390604" w:rsidP="00390604">
      <w:r>
        <w:tab/>
      </w:r>
      <w:r>
        <w:tab/>
      </w:r>
      <w:r>
        <w:tab/>
      </w:r>
      <w:r>
        <w:tab/>
      </w:r>
      <w:r>
        <w:tab/>
      </w:r>
      <w:r>
        <w:tab/>
      </w:r>
    </w:p>
    <w:p w:rsidR="00390604" w:rsidRDefault="00390604" w:rsidP="00390604"/>
    <w:p w:rsidR="00390604" w:rsidRDefault="00390604" w:rsidP="00390604"/>
    <w:p w:rsidR="00390604" w:rsidRDefault="00390604" w:rsidP="00390604"/>
    <w:p w:rsidR="00390604" w:rsidRDefault="00390604" w:rsidP="00390604"/>
    <w:p w:rsidR="00390604" w:rsidRDefault="00390604" w:rsidP="00390604">
      <w:r>
        <w:tab/>
      </w:r>
      <w:r>
        <w:tab/>
      </w:r>
      <w:r>
        <w:tab/>
      </w:r>
      <w:r>
        <w:tab/>
      </w:r>
      <w:r>
        <w:tab/>
      </w:r>
      <w:r>
        <w:tab/>
      </w:r>
    </w:p>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Pr="00390604" w:rsidRDefault="00390604" w:rsidP="00390604">
      <w:pPr>
        <w:jc w:val="center"/>
        <w:rPr>
          <w:sz w:val="32"/>
        </w:rPr>
      </w:pPr>
    </w:p>
    <w:p w:rsidR="00390604" w:rsidRPr="00390604" w:rsidRDefault="00390604" w:rsidP="00390604">
      <w:pPr>
        <w:jc w:val="center"/>
        <w:rPr>
          <w:sz w:val="32"/>
        </w:rPr>
      </w:pPr>
      <w:r w:rsidRPr="00390604">
        <w:rPr>
          <w:rFonts w:hint="eastAsia"/>
          <w:sz w:val="32"/>
        </w:rPr>
        <w:t>2017</w:t>
      </w:r>
      <w:r w:rsidRPr="00390604">
        <w:rPr>
          <w:rFonts w:hint="eastAsia"/>
          <w:sz w:val="32"/>
        </w:rPr>
        <w:t>年</w:t>
      </w:r>
      <w:r w:rsidRPr="00390604">
        <w:rPr>
          <w:rFonts w:hint="eastAsia"/>
          <w:sz w:val="32"/>
        </w:rPr>
        <w:t xml:space="preserve">  12 </w:t>
      </w:r>
      <w:r w:rsidRPr="00390604">
        <w:rPr>
          <w:rFonts w:hint="eastAsia"/>
          <w:sz w:val="32"/>
        </w:rPr>
        <w:t>月</w:t>
      </w:r>
      <w:r w:rsidRPr="00390604">
        <w:rPr>
          <w:rFonts w:hint="eastAsia"/>
          <w:sz w:val="32"/>
        </w:rPr>
        <w:t xml:space="preserve"> 5</w:t>
      </w:r>
      <w:r w:rsidRPr="00390604">
        <w:rPr>
          <w:rFonts w:hint="eastAsia"/>
          <w:sz w:val="32"/>
        </w:rPr>
        <w:t>日</w:t>
      </w:r>
    </w:p>
    <w:p w:rsidR="00390604" w:rsidRPr="00390604" w:rsidRDefault="00390604" w:rsidP="00390604">
      <w:pPr>
        <w:jc w:val="center"/>
        <w:rPr>
          <w:sz w:val="32"/>
        </w:rPr>
      </w:pPr>
      <w:r w:rsidRPr="00390604">
        <w:rPr>
          <w:rFonts w:hint="eastAsia"/>
          <w:sz w:val="32"/>
        </w:rPr>
        <w:t>（公章）</w:t>
      </w:r>
    </w:p>
    <w:p w:rsidR="00390604" w:rsidRDefault="00390604" w:rsidP="00390604"/>
    <w:p w:rsidR="00390604" w:rsidRDefault="00390604" w:rsidP="00390604"/>
    <w:p w:rsidR="00390604" w:rsidRDefault="00390604" w:rsidP="00390604"/>
    <w:p w:rsidR="00390604" w:rsidRDefault="00390604" w:rsidP="00390604"/>
    <w:p w:rsidR="00390604" w:rsidRDefault="00390604" w:rsidP="00390604"/>
    <w:p w:rsidR="00390604" w:rsidRPr="00390604" w:rsidRDefault="00390604" w:rsidP="00390604">
      <w:pPr>
        <w:jc w:val="center"/>
        <w:rPr>
          <w:sz w:val="44"/>
        </w:rPr>
      </w:pPr>
      <w:r w:rsidRPr="00390604">
        <w:rPr>
          <w:rFonts w:hint="eastAsia"/>
          <w:sz w:val="44"/>
        </w:rPr>
        <w:t>目</w:t>
      </w:r>
      <w:r w:rsidRPr="00390604">
        <w:rPr>
          <w:rFonts w:hint="eastAsia"/>
          <w:sz w:val="44"/>
        </w:rPr>
        <w:t xml:space="preserve">  </w:t>
      </w:r>
      <w:r w:rsidRPr="00390604">
        <w:rPr>
          <w:rFonts w:hint="eastAsia"/>
          <w:sz w:val="44"/>
        </w:rPr>
        <w:t>录</w:t>
      </w:r>
    </w:p>
    <w:p w:rsidR="00390604" w:rsidRPr="00390604" w:rsidRDefault="00390604" w:rsidP="00390604">
      <w:pPr>
        <w:rPr>
          <w:rFonts w:ascii="仿宋" w:eastAsia="仿宋" w:hAnsi="仿宋"/>
          <w:sz w:val="32"/>
        </w:rPr>
      </w:pPr>
    </w:p>
    <w:p w:rsidR="00390604" w:rsidRPr="00390604" w:rsidRDefault="00390604" w:rsidP="00390604">
      <w:pPr>
        <w:rPr>
          <w:rFonts w:ascii="仿宋" w:eastAsia="仿宋" w:hAnsi="仿宋"/>
          <w:sz w:val="32"/>
        </w:rPr>
      </w:pPr>
      <w:r w:rsidRPr="00390604">
        <w:rPr>
          <w:rFonts w:ascii="仿宋" w:eastAsia="仿宋" w:hAnsi="仿宋" w:hint="eastAsia"/>
          <w:sz w:val="32"/>
        </w:rPr>
        <w:t>第一部分  部门概况</w:t>
      </w:r>
      <w:r w:rsidRPr="00390604">
        <w:rPr>
          <w:rFonts w:ascii="仿宋" w:eastAsia="仿宋" w:hAnsi="仿宋" w:hint="eastAsia"/>
          <w:sz w:val="32"/>
        </w:rPr>
        <w:tab/>
      </w:r>
      <w:r w:rsidRPr="00390604">
        <w:rPr>
          <w:rFonts w:ascii="仿宋" w:eastAsia="仿宋" w:hAnsi="仿宋" w:hint="eastAsia"/>
          <w:sz w:val="32"/>
        </w:rPr>
        <w:tab/>
      </w:r>
      <w:r w:rsidRPr="00390604">
        <w:rPr>
          <w:rFonts w:ascii="仿宋" w:eastAsia="仿宋" w:hAnsi="仿宋" w:hint="eastAsia"/>
          <w:sz w:val="32"/>
        </w:rPr>
        <w:tab/>
      </w:r>
      <w:r w:rsidRPr="00390604">
        <w:rPr>
          <w:rFonts w:ascii="仿宋" w:eastAsia="仿宋" w:hAnsi="仿宋" w:hint="eastAsia"/>
          <w:sz w:val="32"/>
        </w:rPr>
        <w:tab/>
      </w:r>
      <w:r w:rsidRPr="00390604">
        <w:rPr>
          <w:rFonts w:ascii="仿宋" w:eastAsia="仿宋" w:hAnsi="仿宋" w:hint="eastAsia"/>
          <w:sz w:val="32"/>
        </w:rPr>
        <w:tab/>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一、主要职能</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二、机构设置</w:t>
      </w:r>
    </w:p>
    <w:p w:rsidR="00390604" w:rsidRPr="00390604" w:rsidRDefault="00390604" w:rsidP="00390604">
      <w:pPr>
        <w:rPr>
          <w:rFonts w:ascii="仿宋" w:eastAsia="仿宋" w:hAnsi="仿宋"/>
          <w:sz w:val="32"/>
        </w:rPr>
      </w:pPr>
      <w:r w:rsidRPr="00390604">
        <w:rPr>
          <w:rFonts w:ascii="仿宋" w:eastAsia="仿宋" w:hAnsi="仿宋" w:hint="eastAsia"/>
          <w:sz w:val="32"/>
        </w:rPr>
        <w:t>第二部分  部门预算表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一、收支预算总表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二、收入预算总表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三、支出预算总表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四、财政拨款收支总表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五、财政拨款支出预算表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六、财政拨款基本支出预算表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七、“三公”经费预算财政拨款情况统计表</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八、政府性基金预算收入支出总表</w:t>
      </w:r>
    </w:p>
    <w:p w:rsidR="00390604" w:rsidRPr="00390604" w:rsidRDefault="00390604" w:rsidP="00390604">
      <w:pPr>
        <w:rPr>
          <w:rFonts w:ascii="仿宋" w:eastAsia="仿宋" w:hAnsi="仿宋"/>
          <w:sz w:val="32"/>
        </w:rPr>
      </w:pPr>
      <w:r w:rsidRPr="00390604">
        <w:rPr>
          <w:rFonts w:ascii="仿宋" w:eastAsia="仿宋" w:hAnsi="仿宋" w:hint="eastAsia"/>
          <w:sz w:val="32"/>
        </w:rPr>
        <w:t>第三部分  部门预算说明</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一、收入支出预算总体情况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二、收入预算情况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三、支出预算情况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四、财政拨款收支预算情况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五、一般公共预算拨款支出情况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六、一般公共预算基本支出情况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七、一般公共预算“三公”经费拨款情况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lastRenderedPageBreak/>
        <w:t>八、政府性基金预算支出情况</w:t>
      </w:r>
    </w:p>
    <w:p w:rsidR="00390604" w:rsidRPr="00390604" w:rsidRDefault="00390604" w:rsidP="00390604">
      <w:pPr>
        <w:ind w:firstLineChars="200" w:firstLine="640"/>
        <w:rPr>
          <w:rFonts w:ascii="仿宋" w:eastAsia="仿宋" w:hAnsi="仿宋"/>
          <w:sz w:val="32"/>
        </w:rPr>
      </w:pPr>
      <w:r w:rsidRPr="00390604">
        <w:rPr>
          <w:rFonts w:ascii="仿宋" w:eastAsia="仿宋" w:hAnsi="仿宋" w:hint="eastAsia"/>
          <w:sz w:val="32"/>
        </w:rPr>
        <w:t>九、其他重要事项的说明情况</w:t>
      </w:r>
    </w:p>
    <w:p w:rsidR="00390604" w:rsidRPr="00390604" w:rsidRDefault="00390604" w:rsidP="00390604">
      <w:pPr>
        <w:ind w:firstLineChars="200" w:firstLine="720"/>
        <w:rPr>
          <w:rFonts w:ascii="仿宋" w:eastAsia="仿宋" w:hAnsi="仿宋"/>
          <w:sz w:val="36"/>
          <w:szCs w:val="36"/>
        </w:rPr>
      </w:pPr>
      <w:r w:rsidRPr="00390604">
        <w:rPr>
          <w:rFonts w:ascii="仿宋" w:eastAsia="仿宋" w:hAnsi="仿宋" w:hint="eastAsia"/>
          <w:sz w:val="36"/>
          <w:szCs w:val="36"/>
        </w:rPr>
        <w:t>第四部分  名词解释</w:t>
      </w:r>
    </w:p>
    <w:p w:rsidR="00390604" w:rsidRPr="00390604" w:rsidRDefault="00390604" w:rsidP="00390604">
      <w:pPr>
        <w:jc w:val="center"/>
        <w:rPr>
          <w:rFonts w:ascii="黑体" w:eastAsia="黑体" w:hAnsi="黑体"/>
          <w:sz w:val="36"/>
          <w:szCs w:val="36"/>
        </w:rPr>
      </w:pPr>
      <w:r w:rsidRPr="00390604">
        <w:rPr>
          <w:rFonts w:ascii="黑体" w:eastAsia="黑体" w:hAnsi="黑体" w:hint="eastAsia"/>
          <w:sz w:val="36"/>
          <w:szCs w:val="36"/>
        </w:rPr>
        <w:t>第一部分 部门概况</w:t>
      </w:r>
    </w:p>
    <w:p w:rsidR="00390604" w:rsidRPr="00390604" w:rsidRDefault="00390604" w:rsidP="00390604">
      <w:pPr>
        <w:ind w:firstLineChars="200" w:firstLine="640"/>
        <w:rPr>
          <w:rFonts w:ascii="黑体" w:eastAsia="黑体" w:hAnsi="黑体"/>
          <w:sz w:val="32"/>
          <w:szCs w:val="32"/>
        </w:rPr>
      </w:pPr>
      <w:r w:rsidRPr="00390604">
        <w:rPr>
          <w:rFonts w:ascii="黑体" w:eastAsia="黑体" w:hAnsi="黑体" w:hint="eastAsia"/>
          <w:sz w:val="32"/>
          <w:szCs w:val="32"/>
        </w:rPr>
        <w:t>一、主要职责</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为农业、农村、农民服务；按照全国总社社章要求行使本级社对社有资产人员的管理；积极参与和推动农业产业化经营，搞好订单农业；搞好农业生产资料供应，确保农业生产的需要；贯彻社员代表大会的决议；组织实施县委县政府下达的各项任务；代表本级社与有关部门签订合同或协议； 负责制定本系统的各项管理制度和规章制度，管理全系统干部职工的教育、培训、考核、调配、奖惩、劳保统筹及工资；决定本系统各类财产的租赁、购置、转让或抵押。</w:t>
      </w:r>
    </w:p>
    <w:p w:rsidR="00390604" w:rsidRPr="00390604" w:rsidRDefault="00390604" w:rsidP="00390604">
      <w:pPr>
        <w:ind w:firstLineChars="200" w:firstLine="640"/>
        <w:rPr>
          <w:rFonts w:ascii="黑体" w:eastAsia="黑体" w:hAnsi="黑体"/>
          <w:sz w:val="32"/>
          <w:szCs w:val="32"/>
        </w:rPr>
      </w:pPr>
      <w:r w:rsidRPr="00390604">
        <w:rPr>
          <w:rFonts w:ascii="黑体" w:eastAsia="黑体" w:hAnsi="黑体" w:hint="eastAsia"/>
          <w:sz w:val="32"/>
          <w:szCs w:val="32"/>
        </w:rPr>
        <w:t>二、机构人员情况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1、机构情况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通榆县供销合作社联合社是政府组成部门，内设6个科 室。分别为党委办公室、行政科、人事科、财务审计科、综合科、资产运营科。</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党委办公室：具体负责系统党建、宣传、信息、纪检检查、精神文明建设等工作。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行政科：具体负责县社机关财务、后勤管理及文秘工作，为县社机关正常工作提供保障。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lastRenderedPageBreak/>
        <w:t>人事科：具体负责供销系统职工增加工资、劳保统筹、下岗职工管理、机关目标责任制、档案管理、老干部工资及劳资统计等项工作。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财务审计科：具体负责供销系统财务、审计、商流统计工作。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综合科：具体负责供销系统基层网点建设、新网工程建设、专业社建设、产业化经营、系统安全、社会治安综合治理等工作。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资产</w:t>
      </w:r>
      <w:proofErr w:type="gramStart"/>
      <w:r w:rsidRPr="00390604">
        <w:rPr>
          <w:rFonts w:ascii="华文仿宋" w:eastAsia="华文仿宋" w:hAnsi="华文仿宋" w:hint="eastAsia"/>
          <w:sz w:val="32"/>
          <w:szCs w:val="32"/>
        </w:rPr>
        <w:t>运营科</w:t>
      </w:r>
      <w:proofErr w:type="gramEnd"/>
      <w:r w:rsidRPr="00390604">
        <w:rPr>
          <w:rFonts w:ascii="华文仿宋" w:eastAsia="华文仿宋" w:hAnsi="华文仿宋" w:hint="eastAsia"/>
          <w:sz w:val="32"/>
          <w:szCs w:val="32"/>
        </w:rPr>
        <w:t>:具体负责供销大楼、购销商城综合楼、县社楼的二次供水及卫生管理、所属资产运营管理等工作。</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2、人员编制情况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本部门行政编制25人，参照公务员管理编制22人，</w:t>
      </w:r>
      <w:proofErr w:type="gramStart"/>
      <w:r w:rsidRPr="00390604">
        <w:rPr>
          <w:rFonts w:ascii="华文仿宋" w:eastAsia="华文仿宋" w:hAnsi="华文仿宋" w:hint="eastAsia"/>
          <w:sz w:val="32"/>
          <w:szCs w:val="32"/>
        </w:rPr>
        <w:t>工勤编</w:t>
      </w:r>
      <w:proofErr w:type="gramEnd"/>
      <w:r w:rsidRPr="00390604">
        <w:rPr>
          <w:rFonts w:ascii="华文仿宋" w:eastAsia="华文仿宋" w:hAnsi="华文仿宋" w:hint="eastAsia"/>
          <w:sz w:val="32"/>
          <w:szCs w:val="32"/>
        </w:rPr>
        <w:t>3人，本年度行政在职19人，其中工勤2人。</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3、实有人员情况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行政在职19人；退休31人。</w:t>
      </w:r>
    </w:p>
    <w:p w:rsidR="00390604" w:rsidRPr="00390604" w:rsidRDefault="00390604" w:rsidP="00390604">
      <w:pPr>
        <w:jc w:val="center"/>
        <w:rPr>
          <w:rFonts w:ascii="黑体" w:eastAsia="黑体" w:hAnsi="黑体"/>
          <w:sz w:val="36"/>
          <w:szCs w:val="36"/>
        </w:rPr>
      </w:pPr>
      <w:r w:rsidRPr="00390604">
        <w:rPr>
          <w:rFonts w:ascii="黑体" w:eastAsia="黑体" w:hAnsi="黑体" w:hint="eastAsia"/>
          <w:sz w:val="36"/>
          <w:szCs w:val="36"/>
        </w:rPr>
        <w:t>第二部分  部门预算表（见附表）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一、收支预算总表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二、收入预算总表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三、支出预算总表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四、财政拨款收支总表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五、财政拨款支出预算表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六、财政拨款基本支出预算表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lastRenderedPageBreak/>
        <w:t>七、“三公”经费预算财政拨款情况统计表</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八、政府性基金预算收入支出总表</w:t>
      </w:r>
    </w:p>
    <w:p w:rsidR="00390604" w:rsidRPr="00390604" w:rsidRDefault="00390604" w:rsidP="00390604">
      <w:pPr>
        <w:jc w:val="center"/>
        <w:rPr>
          <w:rFonts w:ascii="黑体" w:eastAsia="黑体" w:hAnsi="黑体"/>
          <w:sz w:val="32"/>
          <w:szCs w:val="32"/>
        </w:rPr>
      </w:pPr>
      <w:r w:rsidRPr="00390604">
        <w:rPr>
          <w:rFonts w:ascii="黑体" w:eastAsia="黑体" w:hAnsi="黑体" w:hint="eastAsia"/>
          <w:sz w:val="32"/>
          <w:szCs w:val="32"/>
        </w:rPr>
        <w:t>第三部分  部门预算公开说明</w:t>
      </w:r>
    </w:p>
    <w:p w:rsidR="00390604" w:rsidRPr="00390604" w:rsidRDefault="00390604" w:rsidP="00390604">
      <w:pPr>
        <w:rPr>
          <w:rFonts w:ascii="华文仿宋" w:eastAsia="华文仿宋" w:hAnsi="华文仿宋"/>
          <w:sz w:val="32"/>
          <w:szCs w:val="32"/>
        </w:rPr>
      </w:pPr>
      <w:r>
        <w:rPr>
          <w:rFonts w:ascii="华文仿宋" w:eastAsia="华文仿宋" w:hAnsi="华文仿宋" w:hint="eastAsia"/>
          <w:sz w:val="32"/>
          <w:szCs w:val="32"/>
        </w:rPr>
        <w:t xml:space="preserve">    </w:t>
      </w:r>
      <w:r w:rsidRPr="00390604">
        <w:rPr>
          <w:rFonts w:ascii="华文仿宋" w:eastAsia="华文仿宋" w:hAnsi="华文仿宋" w:hint="eastAsia"/>
          <w:sz w:val="32"/>
          <w:szCs w:val="32"/>
        </w:rPr>
        <w:t>一、收入支出预算总体情况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按照综合预算的原则，所有收入和支出全部纳入部门预算管理。收入包括：一般公共预算拨款收入、其他收入；支出包括：一般公共服务支出、社会保障支出等。2018 年收支总预算339.23万元。收入其中：财政拨款255.66万元，其他收入83.57万元。支出其中：商业服务业等事务支出339.36万元。</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二、收入预算情况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2018年收入预算 339.23万元，其中：一般公共预算拨</w:t>
      </w:r>
    </w:p>
    <w:p w:rsid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款收入 255.66万元，占75.36%；其他收入83.57万元，占24.64%。</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三、支出预算情况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2018年支出预算 339.23万元，其中：基本支出 339.23万元，占 100%；基本支出中，人员经费255.66万元，占75.36%；公用经费 83.57 万元，占24.64%。</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四、财政拨款收支预算情况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2018年财政拨款收支总预算 339.23万元，其中：一般公共预算拨款339.23万元，商业服务业等事务支出339.23万元。</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五、</w:t>
      </w:r>
      <w:r w:rsidRPr="00390604">
        <w:rPr>
          <w:rFonts w:ascii="华文仿宋" w:eastAsia="华文仿宋" w:hAnsi="华文仿宋" w:hint="eastAsia"/>
          <w:sz w:val="32"/>
          <w:szCs w:val="32"/>
        </w:rPr>
        <w:tab/>
        <w:t>一般公共预算拨款支出情况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lastRenderedPageBreak/>
        <w:t>2018年一般公共预算支出339.23万元，其中：基本支出339.23万元，占100 %。基本支出中，人员经费255.66万元，占75.36%；公用经费83.57万元，占24.64%。主要用于履行单位需要发生的费用支出。</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六、一般公共预算基本支出情况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2018年一般公共预算基本支出339.23万元，其中：人员经费255.66万元，主要包括：基本工资、津贴补贴、奖金、社会保障缴费、其他工资福利支出、退休费、住房公积金、采暖补贴、其他对个人和家庭的补助支出。公用经费83.57万元，主要包括：办公费、水费、电费、邮电费、取暖费、差旅费、办公设备购置等。</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七、一般公共预算“三公”经费拨款情况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2018 年“三公”经费预算数为无， 比2017年预算数减少9.83万元。其中：1.因公出国（境）费无，比 2017年预算数增加无，主要原因是没有出国任务。2.公务接待费无，比 2017年预算数增加无，主要原因是没有招待任务。3.公务用车购置及运行费无，比 2017 年预算数减少9.83万元。其中，公务用车运行维护费无，比 2017年预算数减少9.83万元；公务用车购置费无，比 2017年预算数增加无，主要原因是 2018年没有购置车。</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八、政府性基金预算支出情况</w:t>
      </w:r>
    </w:p>
    <w:p w:rsidR="00390604" w:rsidRPr="00390604" w:rsidRDefault="00390604" w:rsidP="00390604">
      <w:pPr>
        <w:ind w:firstLineChars="100" w:firstLine="320"/>
        <w:rPr>
          <w:rFonts w:ascii="华文仿宋" w:eastAsia="华文仿宋" w:hAnsi="华文仿宋"/>
          <w:sz w:val="32"/>
          <w:szCs w:val="32"/>
        </w:rPr>
      </w:pPr>
      <w:r w:rsidRPr="00390604">
        <w:rPr>
          <w:rFonts w:ascii="华文仿宋" w:eastAsia="华文仿宋" w:hAnsi="华文仿宋" w:hint="eastAsia"/>
          <w:sz w:val="32"/>
          <w:szCs w:val="32"/>
        </w:rPr>
        <w:t>（本部门无政府性基金预算拨款）</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lastRenderedPageBreak/>
        <w:t>九、其他重要事项的说明情况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（一）政府采购情况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2018年政府采购预算总额3.78万元，其中：政府采购货物预算无、政府采购工程预算无、政府采购服务预算3.78万元。</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（二）国有资产占有使用情况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截至 2017年 12月 31 日，部门本级无国有资产。</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 xml:space="preserve">2018 </w:t>
      </w:r>
      <w:proofErr w:type="gramStart"/>
      <w:r w:rsidRPr="00390604">
        <w:rPr>
          <w:rFonts w:ascii="华文仿宋" w:eastAsia="华文仿宋" w:hAnsi="华文仿宋" w:hint="eastAsia"/>
          <w:sz w:val="32"/>
          <w:szCs w:val="32"/>
        </w:rPr>
        <w:t>年部门</w:t>
      </w:r>
      <w:proofErr w:type="gramEnd"/>
      <w:r w:rsidRPr="00390604">
        <w:rPr>
          <w:rFonts w:ascii="华文仿宋" w:eastAsia="华文仿宋" w:hAnsi="华文仿宋" w:hint="eastAsia"/>
          <w:sz w:val="32"/>
          <w:szCs w:val="32"/>
        </w:rPr>
        <w:t>预算安排购置车辆及单位价值 200 万元以上大型设备情况（无此类情况）。</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预算绩效情况说明</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2018年本部门没有预算绩效项目。</w:t>
      </w:r>
    </w:p>
    <w:p w:rsidR="00390604" w:rsidRPr="00390604" w:rsidRDefault="00390604" w:rsidP="00390604">
      <w:pPr>
        <w:ind w:firstLineChars="200" w:firstLine="640"/>
        <w:rPr>
          <w:rFonts w:ascii="华文仿宋" w:eastAsia="华文仿宋" w:hAnsi="华文仿宋"/>
          <w:sz w:val="32"/>
          <w:szCs w:val="32"/>
        </w:rPr>
      </w:pPr>
      <w:r w:rsidRPr="00390604">
        <w:rPr>
          <w:rFonts w:ascii="华文仿宋" w:eastAsia="华文仿宋" w:hAnsi="华文仿宋" w:hint="eastAsia"/>
          <w:sz w:val="32"/>
          <w:szCs w:val="32"/>
        </w:rPr>
        <w:t>第四部分  名词解释</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 xml:space="preserve">（一）一般公共预算拨款收入：指本级财政通过当年一般公共预算拨付的资金。 </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（二）事业收入：指事业单位开展专业业务活动及辅助活动所取得的收入。</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（三）其他收入：指除上述“一般公共预算拨款收入”、“事业收入”、“事业单位经营收入”等以外的收入。</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四）用事业基金弥补收支差额：指事业单位在预计当年的“一般公共预算拨款收入”、“事业收入”、“事业单位经营收入”、“其他收入”不足以安排当年支出的情况下，使用以前年度积累的事业基金（事业单位当年收支相抵后按国家规定</w:t>
      </w:r>
      <w:r w:rsidRPr="00390604">
        <w:rPr>
          <w:rFonts w:ascii="华文仿宋" w:eastAsia="华文仿宋" w:hAnsi="华文仿宋" w:hint="eastAsia"/>
          <w:sz w:val="32"/>
          <w:szCs w:val="32"/>
        </w:rPr>
        <w:lastRenderedPageBreak/>
        <w:t>提取、用于弥补以后年度收支差额的基金）弥补本年度收支缺口的资金。</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（五）上年结转：指以前年度尚未完成、结转到本年仍按原规定用途继续使用的资金。</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（六）结转下年：指以前年度预算安排、因客观条件发生变化无法按原计划实施，需延迟到以后年度按原规定用途继续使用的资金。</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（七）基本支出：指为保障机构正常运转、完成日常工作任务而发生的人员支出和公用支出。</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（八）项目支出：指在基本支出之外为完成特定行政任务和事业发展目标所发生的支出。</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（九）上缴上级支出：指附属单位上缴上级的支出。</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（十）对附属单位补助支出：指对附属单位补助发生的支出。</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t>（十一）“三公”经费：纳入财政预决算管理的“三公”经费，是指部门用财政拨款安排的因公出国（境）费、公务用车购置及运行费和公务接待费。其中，因公出国（境）</w:t>
      </w:r>
      <w:proofErr w:type="gramStart"/>
      <w:r w:rsidRPr="00390604">
        <w:rPr>
          <w:rFonts w:ascii="华文仿宋" w:eastAsia="华文仿宋" w:hAnsi="华文仿宋" w:hint="eastAsia"/>
          <w:sz w:val="32"/>
          <w:szCs w:val="32"/>
        </w:rPr>
        <w:t>费反映</w:t>
      </w:r>
      <w:proofErr w:type="gramEnd"/>
      <w:r w:rsidRPr="00390604">
        <w:rPr>
          <w:rFonts w:ascii="华文仿宋" w:eastAsia="华文仿宋" w:hAnsi="华文仿宋" w:hint="eastAsia"/>
          <w:sz w:val="32"/>
          <w:szCs w:val="32"/>
        </w:rPr>
        <w:t>单位公务出国（境）费的国际旅游、国外城市间交通费、住宿费、伙食费、培训费、公杂费等支出；公务用车购置及运行</w:t>
      </w:r>
      <w:proofErr w:type="gramStart"/>
      <w:r w:rsidRPr="00390604">
        <w:rPr>
          <w:rFonts w:ascii="华文仿宋" w:eastAsia="华文仿宋" w:hAnsi="华文仿宋" w:hint="eastAsia"/>
          <w:sz w:val="32"/>
          <w:szCs w:val="32"/>
        </w:rPr>
        <w:t>费反映</w:t>
      </w:r>
      <w:proofErr w:type="gramEnd"/>
      <w:r w:rsidRPr="00390604">
        <w:rPr>
          <w:rFonts w:ascii="华文仿宋" w:eastAsia="华文仿宋" w:hAnsi="华文仿宋" w:hint="eastAsia"/>
          <w:sz w:val="32"/>
          <w:szCs w:val="32"/>
        </w:rPr>
        <w:t>单位公务用车车辆购置支出（</w:t>
      </w:r>
      <w:proofErr w:type="gramStart"/>
      <w:r w:rsidRPr="00390604">
        <w:rPr>
          <w:rFonts w:ascii="华文仿宋" w:eastAsia="华文仿宋" w:hAnsi="华文仿宋" w:hint="eastAsia"/>
          <w:sz w:val="32"/>
          <w:szCs w:val="32"/>
        </w:rPr>
        <w:t>含车辆</w:t>
      </w:r>
      <w:proofErr w:type="gramEnd"/>
      <w:r w:rsidRPr="00390604">
        <w:rPr>
          <w:rFonts w:ascii="华文仿宋" w:eastAsia="华文仿宋" w:hAnsi="华文仿宋" w:hint="eastAsia"/>
          <w:sz w:val="32"/>
          <w:szCs w:val="32"/>
        </w:rPr>
        <w:t>购置税）及租用费、燃料费、维修费、过路过桥费、保险费、安全奖励费用等支出；公务接待</w:t>
      </w:r>
      <w:proofErr w:type="gramStart"/>
      <w:r w:rsidRPr="00390604">
        <w:rPr>
          <w:rFonts w:ascii="华文仿宋" w:eastAsia="华文仿宋" w:hAnsi="华文仿宋" w:hint="eastAsia"/>
          <w:sz w:val="32"/>
          <w:szCs w:val="32"/>
        </w:rPr>
        <w:t>费反映</w:t>
      </w:r>
      <w:proofErr w:type="gramEnd"/>
      <w:r w:rsidRPr="00390604">
        <w:rPr>
          <w:rFonts w:ascii="华文仿宋" w:eastAsia="华文仿宋" w:hAnsi="华文仿宋" w:hint="eastAsia"/>
          <w:sz w:val="32"/>
          <w:szCs w:val="32"/>
        </w:rPr>
        <w:t>单位按规定开支的各类公务接待（含外宾接待）支出。</w:t>
      </w:r>
    </w:p>
    <w:p w:rsidR="00390604" w:rsidRPr="00390604" w:rsidRDefault="00390604" w:rsidP="00390604">
      <w:pPr>
        <w:rPr>
          <w:rFonts w:ascii="华文仿宋" w:eastAsia="华文仿宋" w:hAnsi="华文仿宋"/>
          <w:sz w:val="32"/>
          <w:szCs w:val="32"/>
        </w:rPr>
      </w:pPr>
      <w:r w:rsidRPr="00390604">
        <w:rPr>
          <w:rFonts w:ascii="华文仿宋" w:eastAsia="华文仿宋" w:hAnsi="华文仿宋" w:hint="eastAsia"/>
          <w:sz w:val="32"/>
          <w:szCs w:val="32"/>
        </w:rPr>
        <w:lastRenderedPageBreak/>
        <w:t>（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p w:rsidR="00390604" w:rsidRPr="00390604" w:rsidRDefault="00390604" w:rsidP="00390604">
      <w:pPr>
        <w:rPr>
          <w:rFonts w:ascii="华文仿宋" w:eastAsia="华文仿宋" w:hAnsi="华文仿宋"/>
          <w:sz w:val="32"/>
          <w:szCs w:val="32"/>
        </w:rPr>
      </w:pPr>
    </w:p>
    <w:p w:rsidR="004D3157" w:rsidRPr="00390604" w:rsidRDefault="004D3157">
      <w:pPr>
        <w:rPr>
          <w:rFonts w:ascii="华文仿宋" w:eastAsia="华文仿宋" w:hAnsi="华文仿宋"/>
          <w:sz w:val="32"/>
          <w:szCs w:val="32"/>
        </w:rPr>
      </w:pPr>
    </w:p>
    <w:sectPr w:rsidR="004D3157" w:rsidRPr="0039060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CEE" w:rsidRDefault="00773CEE" w:rsidP="00CA3194">
      <w:r>
        <w:separator/>
      </w:r>
    </w:p>
  </w:endnote>
  <w:endnote w:type="continuationSeparator" w:id="0">
    <w:p w:rsidR="00773CEE" w:rsidRDefault="00773CEE" w:rsidP="00CA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2DA" w:rsidRDefault="009952D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5286269"/>
      <w:docPartObj>
        <w:docPartGallery w:val="Page Numbers (Bottom of Page)"/>
        <w:docPartUnique/>
      </w:docPartObj>
    </w:sdtPr>
    <w:sdtContent>
      <w:bookmarkStart w:id="0" w:name="_GoBack" w:displacedByCustomXml="prev"/>
      <w:bookmarkEnd w:id="0" w:displacedByCustomXml="prev"/>
      <w:p w:rsidR="009952DA" w:rsidRDefault="009952DA">
        <w:pPr>
          <w:pStyle w:val="a6"/>
          <w:jc w:val="center"/>
        </w:pPr>
        <w:r>
          <w:fldChar w:fldCharType="begin"/>
        </w:r>
        <w:r>
          <w:instrText>PAGE   \* MERGEFORMAT</w:instrText>
        </w:r>
        <w:r>
          <w:fldChar w:fldCharType="separate"/>
        </w:r>
        <w:r w:rsidRPr="009952DA">
          <w:rPr>
            <w:noProof/>
            <w:lang w:val="zh-CN"/>
          </w:rPr>
          <w:t>1</w:t>
        </w:r>
        <w:r>
          <w:fldChar w:fldCharType="end"/>
        </w:r>
      </w:p>
    </w:sdtContent>
  </w:sdt>
  <w:p w:rsidR="009952DA" w:rsidRDefault="009952DA">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2DA" w:rsidRDefault="009952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CEE" w:rsidRDefault="00773CEE" w:rsidP="00CA3194">
      <w:r>
        <w:separator/>
      </w:r>
    </w:p>
  </w:footnote>
  <w:footnote w:type="continuationSeparator" w:id="0">
    <w:p w:rsidR="00773CEE" w:rsidRDefault="00773CEE" w:rsidP="00CA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2DA" w:rsidRDefault="009952D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2DA" w:rsidRDefault="009952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2DA" w:rsidRDefault="009952D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604"/>
    <w:rsid w:val="00390604"/>
    <w:rsid w:val="003924E9"/>
    <w:rsid w:val="004010F7"/>
    <w:rsid w:val="004D3157"/>
    <w:rsid w:val="00773CEE"/>
    <w:rsid w:val="009952DA"/>
    <w:rsid w:val="00CA3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A3194"/>
    <w:pPr>
      <w:snapToGrid w:val="0"/>
      <w:jc w:val="left"/>
    </w:pPr>
    <w:rPr>
      <w:sz w:val="18"/>
      <w:szCs w:val="18"/>
    </w:rPr>
  </w:style>
  <w:style w:type="character" w:customStyle="1" w:styleId="Char">
    <w:name w:val="脚注文本 Char"/>
    <w:basedOn w:val="a0"/>
    <w:link w:val="a3"/>
    <w:uiPriority w:val="99"/>
    <w:semiHidden/>
    <w:rsid w:val="00CA3194"/>
    <w:rPr>
      <w:sz w:val="18"/>
      <w:szCs w:val="18"/>
    </w:rPr>
  </w:style>
  <w:style w:type="character" w:styleId="a4">
    <w:name w:val="footnote reference"/>
    <w:basedOn w:val="a0"/>
    <w:uiPriority w:val="99"/>
    <w:semiHidden/>
    <w:unhideWhenUsed/>
    <w:rsid w:val="00CA3194"/>
    <w:rPr>
      <w:vertAlign w:val="superscript"/>
    </w:rPr>
  </w:style>
  <w:style w:type="paragraph" w:styleId="a5">
    <w:name w:val="header"/>
    <w:basedOn w:val="a"/>
    <w:link w:val="Char0"/>
    <w:uiPriority w:val="99"/>
    <w:unhideWhenUsed/>
    <w:rsid w:val="009952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952DA"/>
    <w:rPr>
      <w:sz w:val="18"/>
      <w:szCs w:val="18"/>
    </w:rPr>
  </w:style>
  <w:style w:type="paragraph" w:styleId="a6">
    <w:name w:val="footer"/>
    <w:basedOn w:val="a"/>
    <w:link w:val="Char1"/>
    <w:uiPriority w:val="99"/>
    <w:unhideWhenUsed/>
    <w:rsid w:val="009952DA"/>
    <w:pPr>
      <w:tabs>
        <w:tab w:val="center" w:pos="4153"/>
        <w:tab w:val="right" w:pos="8306"/>
      </w:tabs>
      <w:snapToGrid w:val="0"/>
      <w:jc w:val="left"/>
    </w:pPr>
    <w:rPr>
      <w:sz w:val="18"/>
      <w:szCs w:val="18"/>
    </w:rPr>
  </w:style>
  <w:style w:type="character" w:customStyle="1" w:styleId="Char1">
    <w:name w:val="页脚 Char"/>
    <w:basedOn w:val="a0"/>
    <w:link w:val="a6"/>
    <w:uiPriority w:val="99"/>
    <w:rsid w:val="009952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A3194"/>
    <w:pPr>
      <w:snapToGrid w:val="0"/>
      <w:jc w:val="left"/>
    </w:pPr>
    <w:rPr>
      <w:sz w:val="18"/>
      <w:szCs w:val="18"/>
    </w:rPr>
  </w:style>
  <w:style w:type="character" w:customStyle="1" w:styleId="Char">
    <w:name w:val="脚注文本 Char"/>
    <w:basedOn w:val="a0"/>
    <w:link w:val="a3"/>
    <w:uiPriority w:val="99"/>
    <w:semiHidden/>
    <w:rsid w:val="00CA3194"/>
    <w:rPr>
      <w:sz w:val="18"/>
      <w:szCs w:val="18"/>
    </w:rPr>
  </w:style>
  <w:style w:type="character" w:styleId="a4">
    <w:name w:val="footnote reference"/>
    <w:basedOn w:val="a0"/>
    <w:uiPriority w:val="99"/>
    <w:semiHidden/>
    <w:unhideWhenUsed/>
    <w:rsid w:val="00CA3194"/>
    <w:rPr>
      <w:vertAlign w:val="superscript"/>
    </w:rPr>
  </w:style>
  <w:style w:type="paragraph" w:styleId="a5">
    <w:name w:val="header"/>
    <w:basedOn w:val="a"/>
    <w:link w:val="Char0"/>
    <w:uiPriority w:val="99"/>
    <w:unhideWhenUsed/>
    <w:rsid w:val="009952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952DA"/>
    <w:rPr>
      <w:sz w:val="18"/>
      <w:szCs w:val="18"/>
    </w:rPr>
  </w:style>
  <w:style w:type="paragraph" w:styleId="a6">
    <w:name w:val="footer"/>
    <w:basedOn w:val="a"/>
    <w:link w:val="Char1"/>
    <w:uiPriority w:val="99"/>
    <w:unhideWhenUsed/>
    <w:rsid w:val="009952DA"/>
    <w:pPr>
      <w:tabs>
        <w:tab w:val="center" w:pos="4153"/>
        <w:tab w:val="right" w:pos="8306"/>
      </w:tabs>
      <w:snapToGrid w:val="0"/>
      <w:jc w:val="left"/>
    </w:pPr>
    <w:rPr>
      <w:sz w:val="18"/>
      <w:szCs w:val="18"/>
    </w:rPr>
  </w:style>
  <w:style w:type="character" w:customStyle="1" w:styleId="Char1">
    <w:name w:val="页脚 Char"/>
    <w:basedOn w:val="a0"/>
    <w:link w:val="a6"/>
    <w:uiPriority w:val="99"/>
    <w:rsid w:val="009952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8B9E-D2B1-4FE1-9535-40E9D8D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2018-01-17T00:56:00Z</dcterms:created>
  <dcterms:modified xsi:type="dcterms:W3CDTF">2018-01-17T01:41:00Z</dcterms:modified>
</cp:coreProperties>
</file>