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/>
          <w:sz w:val="24"/>
          <w:highlight w:val="none"/>
          <w:lang w:val="en-US" w:eastAsia="zh-CN"/>
        </w:rPr>
        <w:t>附件1：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  <w:r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  <w:t>201</w:t>
      </w:r>
      <w:r>
        <w:rPr>
          <w:rFonts w:hint="eastAsia" w:ascii="Arial" w:hAnsi="Arial" w:eastAsia="方正小标宋简体" w:cs="Arial"/>
          <w:sz w:val="44"/>
          <w:szCs w:val="44"/>
          <w:u w:val="none" w:color="auto"/>
          <w:lang w:val="en-US" w:eastAsia="zh-CN"/>
        </w:rPr>
        <w:t>6</w:t>
      </w:r>
      <w:r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  <w:t>年度</w:t>
      </w: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cs="Arial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36"/>
          <w:szCs w:val="36"/>
          <w:u w:val="none" w:color="auto"/>
          <w:lang w:val="en-US" w:eastAsia="zh-CN"/>
        </w:rPr>
      </w:pPr>
      <w:r>
        <w:rPr>
          <w:rFonts w:hint="eastAsia" w:ascii="Arial" w:hAnsi="Arial" w:eastAsia="方正小标宋简体" w:cs="Arial"/>
          <w:sz w:val="36"/>
          <w:szCs w:val="36"/>
          <w:u w:val="none" w:color="auto"/>
          <w:lang w:val="en-US" w:eastAsia="zh-CN"/>
        </w:rPr>
        <w:t>吉林省通榆经济开发区党政办公室</w:t>
      </w:r>
      <w:r>
        <w:rPr>
          <w:rFonts w:hint="default" w:ascii="Arial" w:hAnsi="Arial" w:eastAsia="方正小标宋简体" w:cs="Arial"/>
          <w:sz w:val="36"/>
          <w:szCs w:val="36"/>
          <w:u w:val="none" w:color="auto"/>
          <w:lang w:val="en-US" w:eastAsia="zh-CN"/>
        </w:rPr>
        <w:t>部门决算</w:t>
      </w: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</w:rPr>
      </w:pPr>
      <w:r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  <w:t>201</w:t>
      </w:r>
      <w:r>
        <w:rPr>
          <w:rFonts w:hint="eastAsia" w:ascii="Arial" w:hAnsi="Arial" w:eastAsia="方正小标宋简体" w:cs="Arial"/>
          <w:sz w:val="44"/>
          <w:szCs w:val="44"/>
          <w:u w:val="none" w:color="auto"/>
          <w:lang w:val="en-US" w:eastAsia="zh-CN"/>
        </w:rPr>
        <w:t>7</w:t>
      </w:r>
      <w:r>
        <w:rPr>
          <w:rFonts w:hint="default" w:ascii="Arial" w:hAnsi="Arial" w:eastAsia="方正小标宋简体" w:cs="Arial"/>
          <w:sz w:val="44"/>
          <w:szCs w:val="44"/>
          <w:u w:val="none" w:color="auto"/>
        </w:rPr>
        <w:t xml:space="preserve">年 </w:t>
      </w:r>
      <w:r>
        <w:rPr>
          <w:rFonts w:hint="eastAsia" w:ascii="Arial" w:hAnsi="Arial" w:eastAsia="方正小标宋简体" w:cs="Arial"/>
          <w:sz w:val="44"/>
          <w:szCs w:val="44"/>
          <w:u w:val="none" w:color="auto"/>
          <w:lang w:val="en-US" w:eastAsia="zh-CN"/>
        </w:rPr>
        <w:t xml:space="preserve">9 </w:t>
      </w:r>
      <w:r>
        <w:rPr>
          <w:rFonts w:hint="default" w:ascii="Arial" w:hAnsi="Arial" w:eastAsia="方正小标宋简体" w:cs="Arial"/>
          <w:sz w:val="44"/>
          <w:szCs w:val="44"/>
          <w:u w:val="none" w:color="auto"/>
        </w:rPr>
        <w:t>月</w:t>
      </w:r>
      <w:r>
        <w:rPr>
          <w:rFonts w:hint="eastAsia" w:ascii="Arial" w:hAnsi="Arial" w:eastAsia="方正小标宋简体" w:cs="Arial"/>
          <w:sz w:val="44"/>
          <w:szCs w:val="44"/>
          <w:u w:val="none" w:color="auto"/>
          <w:lang w:val="en-US" w:eastAsia="zh-CN"/>
        </w:rPr>
        <w:t>5</w:t>
      </w:r>
      <w:bookmarkStart w:id="0" w:name="_GoBack"/>
      <w:bookmarkEnd w:id="0"/>
      <w:r>
        <w:rPr>
          <w:rFonts w:hint="default" w:ascii="Arial" w:hAnsi="Arial" w:eastAsia="方正小标宋简体" w:cs="Arial"/>
          <w:sz w:val="44"/>
          <w:szCs w:val="44"/>
          <w:u w:val="none" w:color="auto"/>
        </w:rPr>
        <w:t>日</w:t>
      </w: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default" w:ascii="Arial" w:hAnsi="Arial" w:eastAsia="方正小标宋简体" w:cs="Arial"/>
          <w:sz w:val="44"/>
          <w:szCs w:val="44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仿宋" w:hAnsi="仿宋" w:eastAsia="仿宋"/>
          <w:sz w:val="32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目   录</w:t>
      </w:r>
    </w:p>
    <w:p>
      <w:pPr>
        <w:rPr>
          <w:rFonts w:hint="eastAsia" w:ascii="方正小标宋简体" w:hAnsi="方正小标宋简体" w:eastAsia="方正小标宋简体"/>
          <w:sz w:val="44"/>
          <w:lang w:val="en-US" w:eastAsia="zh-CN"/>
        </w:rPr>
      </w:pPr>
    </w:p>
    <w:p>
      <w:pPr>
        <w:rPr>
          <w:rFonts w:hint="eastAsia" w:ascii="黑体" w:hAnsi="黑体" w:eastAsia="黑体"/>
          <w:sz w:val="32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>第一部分  部门概况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一、主要职能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二、机构设置及部门决算单位构成</w:t>
      </w:r>
    </w:p>
    <w:p>
      <w:pPr>
        <w:rPr>
          <w:rFonts w:hint="eastAsia" w:ascii="黑体" w:hAnsi="黑体" w:eastAsia="黑体"/>
          <w:sz w:val="32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>第二部分 2016年度部门决算表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一、收入支出决算总表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二、收入决算表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三、支出决算表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四、财政拨款收入支出决算总表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五、一般公共预算财政拨款支出决算表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六、一般公共预算财政拨款基本支出决算表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七、一般公共预算财政拨款“三公”经费支出决算表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八、政府性基金预算财政拨款收入支出决算表</w:t>
      </w:r>
    </w:p>
    <w:p>
      <w:pPr>
        <w:rPr>
          <w:rFonts w:hint="eastAsia" w:ascii="黑体" w:hAnsi="黑体" w:eastAsia="黑体"/>
          <w:sz w:val="32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>第三部分  2016年度部门决算情况说明</w:t>
      </w:r>
    </w:p>
    <w:p>
      <w:pPr>
        <w:rPr>
          <w:rFonts w:hint="eastAsia" w:ascii="黑体" w:hAnsi="黑体" w:eastAsia="黑体"/>
          <w:sz w:val="32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>第四部分  名词解释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</w:p>
    <w:p>
      <w:pPr>
        <w:rPr>
          <w:rFonts w:hint="eastAsia" w:ascii="仿宋" w:hAnsi="仿宋" w:eastAsia="仿宋"/>
          <w:sz w:val="32"/>
          <w:lang w:val="en-US" w:eastAsia="zh-CN"/>
        </w:rPr>
      </w:pPr>
    </w:p>
    <w:p>
      <w:pPr>
        <w:rPr>
          <w:rFonts w:hint="eastAsia" w:ascii="仿宋" w:hAnsi="仿宋" w:eastAsia="仿宋"/>
          <w:sz w:val="32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黑体" w:hAnsi="黑体" w:eastAsia="黑体"/>
          <w:sz w:val="32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仿宋" w:hAnsi="仿宋" w:eastAsia="仿宋"/>
          <w:sz w:val="32"/>
          <w:lang w:val="en-US" w:eastAsia="zh-CN"/>
        </w:rPr>
      </w:pPr>
    </w:p>
    <w:p>
      <w:pPr>
        <w:ind w:right="0" w:rightChars="0" w:firstLine="880" w:firstLineChars="200"/>
        <w:jc w:val="both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第一部分  部门概况</w:t>
      </w:r>
    </w:p>
    <w:p>
      <w:pPr>
        <w:ind w:left="0" w:leftChars="0" w:right="0" w:rightChars="0" w:firstLine="0" w:firstLineChars="0"/>
        <w:jc w:val="center"/>
        <w:rPr>
          <w:rFonts w:hint="eastAsia" w:ascii="黑体" w:hAnsi="黑体" w:eastAsia="黑体"/>
          <w:sz w:val="32"/>
          <w:lang w:val="en-US" w:eastAsia="zh-CN"/>
        </w:rPr>
      </w:pP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   一、主要职能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协助党工委、管委会领导管理开发区日常工作和事务；负责开发区工作报告、领导讲话稿、总结交流等综合性文件及有关文稿的起草、审核和制发；围绕党工委、管委会工作部署，组织开展全局性重大问题的调查研究，形成工作建议或对策方案，供领导决策参考；围绕贯彻落实上级和党工委、管委会重要会议、重要文件精神、重要指示，以及党工委、管委会领导交办的任务，搞好督促检查，抓好工作落实；负责党工委、管委会及党政办公室的文电收发、文电督办、印信使用保管、机要、保密、档案、网站等管理工作；协助党工委、管委会领导协调开发区各部门之间的有关事宜；协助党工委、管委会做好对外新闻宣传和发布工作；负责开发区各种会议事务工作的组织安排；负责开发区对上、对外的沟通、协调、联系工作；负责开发区机关经费预算和财务管理工作；负责开发区机关办公设备、办公用品的购置、调配、维修、更新和卫生、安全、车辆等行政后勤管理工作；负责开发区机关有关领导和来宾的接待服务工作；负责开发区机关思想、组织、作风建设和工青妇等工作；负责开发区干部人事管理工作，对机关干部进行日常监督、考核、奖惩和辞退、辞职，对中层干部进行培养、选拔、任用、调配和管理；负责开发区党政机关、事业单位人力资源和社会保障工作，负责开发区专业技术人员职称评聘、工资审批和人事争议仲裁等工作；综合管理开发区的人才流动和劳动工作，培育和发展人力资源市场；负责企业职工培训、实用人才输送工作，督促并指导企业加强用工管理；负责对外来劳动力和农村劳动力的管理；实施劳动监察，处理各类劳动争议；建立工资福利和社会保险服务体系；负责派驻机构和派驻人员的协调管理工作；负责上级领导交办的其他任务。</w:t>
      </w:r>
    </w:p>
    <w:p>
      <w:pPr>
        <w:numPr>
          <w:ilvl w:val="0"/>
          <w:numId w:val="0"/>
        </w:numPr>
        <w:ind w:firstLine="320" w:firstLineChars="100"/>
        <w:rPr>
          <w:rFonts w:hint="eastAsia" w:ascii="黑体" w:hAnsi="黑体" w:eastAsia="黑体"/>
          <w:sz w:val="32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>二  机构设置及部门决算单位构成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根据上述职责，吉林省通榆经济开发区党政办公室内设综合办公室、人秘科、财务科。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纳入吉林省通榆经济开发区党政办公室2016年度部门决算编制范围的单位包括：吉林省通榆经济开发区党政办公室本级。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2016年实有人员 29 人，其中：在职人员 27 人，离退休人员 2 人。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</w:p>
    <w:p>
      <w:pPr>
        <w:numPr>
          <w:ilvl w:val="0"/>
          <w:numId w:val="1"/>
        </w:num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分 2016年度部门决算表</w:t>
      </w:r>
    </w:p>
    <w:p>
      <w:pPr>
        <w:numPr>
          <w:ilvl w:val="0"/>
          <w:numId w:val="0"/>
        </w:numPr>
        <w:ind w:leftChars="0" w:right="0" w:rightChars="0"/>
        <w:jc w:val="both"/>
        <w:rPr>
          <w:rFonts w:hint="eastAsia" w:ascii="方正小标宋简体" w:hAnsi="方正小标宋简体" w:eastAsia="方正小标宋简体"/>
          <w:sz w:val="44"/>
          <w:lang w:val="en-US" w:eastAsia="zh-CN"/>
        </w:rPr>
      </w:pPr>
    </w:p>
    <w:p>
      <w:pPr>
        <w:ind w:right="0" w:rightChars="0" w:firstLine="1928" w:firstLineChars="600"/>
        <w:jc w:val="left"/>
        <w:rPr>
          <w:rFonts w:hint="eastAsia" w:ascii="仿宋" w:hAnsi="仿宋" w:eastAsia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lang w:val="en-US" w:eastAsia="zh-CN"/>
        </w:rPr>
        <w:t xml:space="preserve"> 见附表excel表格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</w:p>
    <w:p>
      <w:pPr>
        <w:ind w:right="0" w:rightChars="0"/>
        <w:jc w:val="both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 xml:space="preserve"> 第三部分 2016年度部门决算情况说明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一、关于吉林省通榆经济开发区党政办公室</w:t>
      </w:r>
      <w:r>
        <w:rPr>
          <w:rFonts w:hint="eastAsia" w:ascii="黑体" w:hAnsi="黑体" w:eastAsia="黑体"/>
          <w:sz w:val="32"/>
          <w:szCs w:val="30"/>
          <w:lang w:val="en-US" w:eastAsia="zh-CN"/>
        </w:rPr>
        <w:t>2016年度收入支出决算总体情况说明</w:t>
      </w:r>
    </w:p>
    <w:p>
      <w:pPr>
        <w:ind w:firstLine="640"/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按照部门决算与部门预算相衔接的原则，决算编制内容包括预算单位的全部收支情况。收入包括：财政拨款收入、上级补助收入、事业收入、经营收入、附属单位上缴收入、其他收入、用事业基金弥补收支差额、年初结转和结余；支出包括：一般公共服务支出、教育支出、科学技术支出、文化体育与传媒支出、社会保障和就业支出、农林水支出、住房保障支出、结余分配、年末结转和结余。2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016年收入总计：3296.73万元，支出总计：3269.35万元，与2015年相比，收入、支出总计各减少723.55万元和749.81万元，分别降低78.05%和77.07%。</w:t>
      </w:r>
    </w:p>
    <w:p>
      <w:pPr>
        <w:rPr>
          <w:rFonts w:hint="eastAsia" w:ascii="仿宋" w:hAnsi="仿宋" w:eastAsia="仿宋"/>
          <w:kern w:val="2"/>
          <w:sz w:val="32"/>
          <w:lang w:val="en-US" w:eastAsia="zh-CN"/>
        </w:rPr>
      </w:pPr>
      <w:r>
        <w:rPr>
          <w:rFonts w:hint="eastAsia" w:ascii="仿宋" w:hAnsi="仿宋" w:eastAsia="仿宋"/>
          <w:kern w:val="2"/>
          <w:sz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lang w:val="en-US" w:eastAsia="zh-CN"/>
        </w:rPr>
        <w:t>二、关于吉林省通榆经济开发区党政办公室</w:t>
      </w:r>
      <w:r>
        <w:rPr>
          <w:rFonts w:hint="eastAsia" w:ascii="黑体" w:hAnsi="黑体" w:eastAsia="黑体"/>
          <w:sz w:val="32"/>
          <w:szCs w:val="30"/>
          <w:lang w:val="en-US" w:eastAsia="zh-CN"/>
        </w:rPr>
        <w:t>2016年度收入决算总体情况说明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本年收入合计：3296.73万元，其中：财政拨款收入 459.73万元，占 13.95%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。</w:t>
      </w:r>
    </w:p>
    <w:p>
      <w:pPr>
        <w:rPr>
          <w:rFonts w:hint="eastAsia" w:ascii="仿宋" w:hAnsi="仿宋" w:eastAsia="仿宋"/>
          <w:kern w:val="2"/>
          <w:sz w:val="32"/>
          <w:lang w:val="en-US" w:eastAsia="zh-CN"/>
        </w:rPr>
      </w:pPr>
      <w:r>
        <w:rPr>
          <w:rFonts w:hint="eastAsia" w:ascii="仿宋" w:hAnsi="仿宋" w:eastAsia="仿宋"/>
          <w:kern w:val="2"/>
          <w:sz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lang w:val="en-US" w:eastAsia="zh-CN"/>
        </w:rPr>
        <w:t>三、关于吉林省通榆经济开发区党政办公室</w:t>
      </w:r>
      <w:r>
        <w:rPr>
          <w:rFonts w:hint="eastAsia" w:ascii="黑体" w:hAnsi="黑体" w:eastAsia="黑体"/>
          <w:sz w:val="32"/>
          <w:szCs w:val="30"/>
          <w:lang w:val="en-US" w:eastAsia="zh-CN"/>
        </w:rPr>
        <w:t>2016年度支出决算总体情况说明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本年支出合计：3269.35万元，其中：基本支出 432.35 万元，占13.22 %。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人员经费211.30万元，占 6.46%；公用经费221.05万元，占 6.76%。项目支出2837.00万元，占 73.56%。</w:t>
      </w:r>
    </w:p>
    <w:p>
      <w:pPr>
        <w:rPr>
          <w:rFonts w:hint="eastAsia" w:ascii="仿宋" w:hAnsi="仿宋" w:eastAsia="仿宋"/>
          <w:kern w:val="2"/>
          <w:sz w:val="32"/>
          <w:lang w:val="en-US" w:eastAsia="zh-CN"/>
        </w:rPr>
      </w:pPr>
      <w:r>
        <w:rPr>
          <w:rFonts w:hint="eastAsia" w:ascii="仿宋" w:hAnsi="仿宋" w:eastAsia="仿宋"/>
          <w:kern w:val="2"/>
          <w:sz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lang w:val="en-US" w:eastAsia="zh-CN"/>
        </w:rPr>
        <w:t>四、关于吉林省通榆经济开发区党政办公室</w:t>
      </w:r>
      <w:r>
        <w:rPr>
          <w:rFonts w:hint="eastAsia" w:ascii="黑体" w:hAnsi="黑体" w:eastAsia="黑体"/>
          <w:sz w:val="32"/>
          <w:szCs w:val="30"/>
          <w:lang w:val="en-US" w:eastAsia="zh-CN"/>
        </w:rPr>
        <w:t>2016年度财政拨款收入支出决算总体情况说明</w:t>
      </w:r>
    </w:p>
    <w:p>
      <w:pPr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吉林省通榆经济开发区党政办公室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2016年财政拨款收入和支出总计各3296.73万元和3269.35万元，比2015年各减少723.55万元和749.81万元，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降低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78.05%和77.07%。主要原因：因部门收入减少所致。</w:t>
      </w:r>
    </w:p>
    <w:p>
      <w:pPr>
        <w:rPr>
          <w:rFonts w:hint="eastAsia" w:ascii="仿宋" w:hAnsi="仿宋" w:eastAsia="仿宋"/>
          <w:kern w:val="2"/>
          <w:sz w:val="32"/>
          <w:lang w:val="en-US" w:eastAsia="zh-CN"/>
        </w:rPr>
      </w:pPr>
      <w:r>
        <w:rPr>
          <w:rFonts w:hint="eastAsia" w:ascii="仿宋" w:hAnsi="仿宋" w:eastAsia="仿宋"/>
          <w:kern w:val="2"/>
          <w:sz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lang w:val="en-US" w:eastAsia="zh-CN"/>
        </w:rPr>
        <w:t>五、关于吉林省通榆经济开发区党政办公室</w:t>
      </w:r>
      <w:r>
        <w:rPr>
          <w:rFonts w:hint="eastAsia" w:ascii="黑体" w:hAnsi="黑体" w:eastAsia="黑体"/>
          <w:sz w:val="32"/>
          <w:szCs w:val="30"/>
          <w:lang w:val="en-US" w:eastAsia="zh-CN"/>
        </w:rPr>
        <w:t>2016年度一般公共预算财政拨款支出决算情况说明</w:t>
      </w:r>
    </w:p>
    <w:p>
      <w:pPr>
        <w:rPr>
          <w:rFonts w:hint="eastAsia" w:ascii="楷体" w:hAnsi="楷体" w:eastAsia="楷体"/>
          <w:b/>
          <w:bCs/>
          <w:sz w:val="32"/>
          <w:lang w:val="en-US" w:eastAsia="zh-CN"/>
        </w:rPr>
      </w:pPr>
      <w:r>
        <w:rPr>
          <w:rFonts w:hint="eastAsia" w:ascii="楷体" w:hAnsi="楷体" w:eastAsia="楷体"/>
          <w:sz w:val="32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bCs/>
          <w:sz w:val="32"/>
          <w:lang w:val="en-US" w:eastAsia="zh-CN"/>
        </w:rPr>
        <w:t>（一）财政拨款支出决算总体情况</w:t>
      </w:r>
    </w:p>
    <w:p>
      <w:pPr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吉林省通榆经济开发区党政办公室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2016年财政拨款支出 432.35 万元，占本年支出合计的 13.22 %。与2015年相比，财政拨款支出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增加 224.19万元，增长108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%。主要原因：部门人员、公用经费增加所致。</w:t>
      </w:r>
    </w:p>
    <w:p>
      <w:pPr>
        <w:rPr>
          <w:rFonts w:hint="eastAsia" w:ascii="楷体" w:hAnsi="楷体" w:eastAsia="楷体"/>
          <w:b/>
          <w:bCs/>
          <w:sz w:val="32"/>
          <w:lang w:val="en-US" w:eastAsia="zh-CN"/>
        </w:rPr>
      </w:pPr>
      <w:r>
        <w:rPr>
          <w:rFonts w:hint="eastAsia" w:ascii="楷体" w:hAnsi="楷体" w:eastAsia="楷体"/>
          <w:sz w:val="32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bCs/>
          <w:sz w:val="32"/>
          <w:lang w:val="en-US" w:eastAsia="zh-CN"/>
        </w:rPr>
        <w:t>（二）财政拨款支出决算结构情况</w:t>
      </w:r>
    </w:p>
    <w:p>
      <w:pPr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吉林省通榆经济开发区党政办公室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2016年财政拨款支出 3269.35万元，主要用于以下方面：一般公共服务</w:t>
      </w:r>
      <w:r>
        <w:rPr>
          <w:rFonts w:hint="eastAsia" w:ascii="仿宋" w:hAnsi="仿宋" w:eastAsia="仿宋"/>
          <w:sz w:val="32"/>
          <w:szCs w:val="30"/>
          <w:lang w:eastAsia="zh-CN"/>
        </w:rPr>
        <w:t>支出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432.35万元，占 13.22%；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城乡社区</w:t>
      </w:r>
      <w:r>
        <w:rPr>
          <w:rFonts w:hint="eastAsia" w:ascii="仿宋" w:hAnsi="仿宋" w:eastAsia="仿宋"/>
          <w:sz w:val="32"/>
          <w:szCs w:val="30"/>
          <w:lang w:eastAsia="zh-CN"/>
        </w:rPr>
        <w:t>支出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2837.00万元，占 86.78%。</w:t>
      </w:r>
    </w:p>
    <w:p>
      <w:pPr>
        <w:rPr>
          <w:rFonts w:hint="eastAsia" w:ascii="楷体" w:hAnsi="楷体" w:eastAsia="楷体"/>
          <w:b/>
          <w:bCs/>
          <w:sz w:val="32"/>
          <w:lang w:val="en-US" w:eastAsia="zh-CN"/>
        </w:rPr>
      </w:pPr>
      <w:r>
        <w:rPr>
          <w:rFonts w:hint="eastAsia" w:ascii="楷体" w:hAnsi="楷体" w:eastAsia="楷体"/>
          <w:sz w:val="32"/>
          <w:lang w:val="en-US" w:eastAsia="zh-CN"/>
        </w:rPr>
        <w:t xml:space="preserve">   </w:t>
      </w:r>
      <w:r>
        <w:rPr>
          <w:rFonts w:hint="eastAsia" w:ascii="楷体" w:hAnsi="楷体" w:eastAsia="楷体"/>
          <w:b/>
          <w:bCs/>
          <w:sz w:val="32"/>
          <w:lang w:val="en-US" w:eastAsia="zh-CN"/>
        </w:rPr>
        <w:t xml:space="preserve"> （三）财政拨款支出决算具体情况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吉林省通榆经济开发区党政办公室2016年财政拨款支出年初预算为3269.35 万元，支出决算为3269.35万元，完成年初预算的100%。其中：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1.一般公共服务支出</w:t>
      </w:r>
      <w:r>
        <w:rPr>
          <w:rFonts w:hint="eastAsia" w:ascii="仿宋" w:hAnsi="仿宋" w:eastAsia="仿宋"/>
          <w:sz w:val="32"/>
          <w:szCs w:val="30"/>
          <w:lang w:eastAsia="zh-CN"/>
        </w:rPr>
        <w:t>年初预算为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432.35 </w:t>
      </w:r>
      <w:r>
        <w:rPr>
          <w:rFonts w:hint="eastAsia" w:ascii="仿宋" w:hAnsi="仿宋" w:eastAsia="仿宋"/>
          <w:sz w:val="32"/>
          <w:szCs w:val="30"/>
          <w:lang w:eastAsia="zh-CN"/>
        </w:rPr>
        <w:t>万元，支出决算为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432.35 万元，完成年初预算的 100 %。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2.城乡社区支出</w:t>
      </w:r>
      <w:r>
        <w:rPr>
          <w:rFonts w:hint="eastAsia" w:ascii="仿宋" w:hAnsi="仿宋" w:eastAsia="仿宋"/>
          <w:sz w:val="32"/>
          <w:szCs w:val="30"/>
          <w:lang w:eastAsia="zh-CN"/>
        </w:rPr>
        <w:t>年初预算为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2837.00 </w:t>
      </w:r>
      <w:r>
        <w:rPr>
          <w:rFonts w:hint="eastAsia" w:ascii="仿宋" w:hAnsi="仿宋" w:eastAsia="仿宋"/>
          <w:sz w:val="32"/>
          <w:szCs w:val="30"/>
          <w:lang w:eastAsia="zh-CN"/>
        </w:rPr>
        <w:t>万元，支出决算为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2837.00 万元，完成年初预算的 100 %。</w:t>
      </w:r>
    </w:p>
    <w:p>
      <w:pPr>
        <w:rPr>
          <w:rFonts w:hint="eastAsia" w:ascii="仿宋" w:hAnsi="仿宋" w:eastAsia="仿宋"/>
          <w:kern w:val="2"/>
          <w:sz w:val="32"/>
          <w:lang w:val="en-US" w:eastAsia="zh-CN"/>
        </w:rPr>
      </w:pPr>
      <w:r>
        <w:rPr>
          <w:rFonts w:hint="eastAsia" w:ascii="仿宋" w:hAnsi="仿宋" w:eastAsia="仿宋"/>
          <w:kern w:val="2"/>
          <w:sz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lang w:val="en-US" w:eastAsia="zh-CN"/>
        </w:rPr>
        <w:t>六、关于吉林省通榆经济开发区党政办公室</w:t>
      </w:r>
      <w:r>
        <w:rPr>
          <w:rFonts w:hint="eastAsia" w:ascii="黑体" w:hAnsi="黑体" w:eastAsia="黑体"/>
          <w:sz w:val="32"/>
          <w:szCs w:val="30"/>
          <w:lang w:val="en-US" w:eastAsia="zh-CN"/>
        </w:rPr>
        <w:t>2016年度一般公共预算财政拨款基本支出决算情况说明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吉林省通榆经济开发区党政办公室2016年财政拨款基本支出 432.35 万元，其中：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人员经费 211.30 万元。主要包括：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基本工资：97.49万元、津贴补贴：67.25万元、奖金：8.52万元、其他工资福利支出：24.80万元、退休费：5.43万元、住房公积金7.81万元。</w:t>
      </w:r>
    </w:p>
    <w:p>
      <w:pPr>
        <w:rPr>
          <w:rFonts w:hint="eastAsia" w:ascii="仿宋" w:hAnsi="仿宋" w:eastAsia="仿宋"/>
          <w:sz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lang w:val="en-US" w:eastAsia="zh-CN"/>
        </w:rPr>
        <w:t>公用经费 221.05 万元。主要包括：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办公费：25.63万元、水费：1.95万元、电费：9.36万元、取暖费：16.75万元、差旅费：10.67万元、维修（护）费：51.87万元、公务接待费：0.91万元、专用燃料费：20.57万元、工会经费：1.77万元、公务用车运行维护费：4.52万元、其他商品和服务支出：59.29万元、办公设备购置：17.76万元。</w:t>
      </w:r>
    </w:p>
    <w:p>
      <w:pPr>
        <w:rPr>
          <w:rFonts w:hint="eastAsia" w:ascii="仿宋" w:hAnsi="仿宋" w:eastAsia="仿宋"/>
          <w:kern w:val="2"/>
          <w:sz w:val="32"/>
          <w:lang w:val="en-US" w:eastAsia="zh-CN"/>
        </w:rPr>
      </w:pPr>
      <w:r>
        <w:rPr>
          <w:rFonts w:hint="eastAsia" w:ascii="仿宋" w:hAnsi="仿宋" w:eastAsia="仿宋"/>
          <w:kern w:val="2"/>
          <w:sz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lang w:val="en-US" w:eastAsia="zh-CN"/>
        </w:rPr>
        <w:t>七、关于吉林省通榆经济开发区党政办公室</w:t>
      </w:r>
      <w:r>
        <w:rPr>
          <w:rFonts w:hint="eastAsia" w:ascii="黑体" w:hAnsi="黑体" w:eastAsia="黑体"/>
          <w:sz w:val="32"/>
          <w:szCs w:val="30"/>
          <w:lang w:val="en-US" w:eastAsia="zh-CN"/>
        </w:rPr>
        <w:t>2016年度一般公共预算财政拨款“三公”经费支出决算情况说明</w:t>
      </w:r>
    </w:p>
    <w:p>
      <w:pPr>
        <w:ind w:firstLine="640" w:firstLineChars="200"/>
        <w:rPr>
          <w:rFonts w:hint="eastAsia" w:ascii="楷体" w:hAnsi="楷体" w:eastAsia="楷体"/>
          <w:sz w:val="32"/>
          <w:lang w:val="en-US" w:eastAsia="zh-CN"/>
        </w:rPr>
      </w:pPr>
      <w:r>
        <w:rPr>
          <w:rFonts w:hint="eastAsia" w:ascii="楷体" w:hAnsi="楷体" w:eastAsia="楷体"/>
          <w:sz w:val="32"/>
          <w:lang w:val="en-US" w:eastAsia="zh-CN"/>
        </w:rPr>
        <w:t>（一）“三公”经费财政拨款支出决算总体情况说明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吉林省通榆经济开发区党政办公室2016年“三公”经费财政拨款支出预算为 5.43 万元，支出决算为 5.43 万元，完成预算的 100 %。其中：公务用车购置及运行费支出决算为4.52 万元，完成预算的 83.24 %；公务接待费支出决算为0.91万元，完成预算的 16.76 %。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2016年“三公”经费财政拨款支出决算数比2015年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减少23.44万元，降低 81.19 %。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其中：公务用车购置及运行费支出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减少23.56万元，降低83.90%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；公务接待费支出增加0.12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万元，增长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15.19%。</w:t>
      </w:r>
    </w:p>
    <w:p>
      <w:pPr>
        <w:ind w:firstLine="640" w:firstLineChars="200"/>
        <w:rPr>
          <w:rFonts w:hint="eastAsia" w:ascii="楷体" w:hAnsi="楷体" w:eastAsia="楷体"/>
          <w:sz w:val="32"/>
          <w:lang w:val="en-US" w:eastAsia="zh-CN"/>
        </w:rPr>
      </w:pPr>
      <w:r>
        <w:rPr>
          <w:rFonts w:hint="eastAsia" w:ascii="楷体" w:hAnsi="楷体" w:eastAsia="楷体"/>
          <w:sz w:val="32"/>
          <w:lang w:val="en-US" w:eastAsia="zh-CN"/>
        </w:rPr>
        <w:t>（二）“三公”经费财政拨款支出决算具体情况说明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2016年“三公”经费财政拨款支出决算中，公务用车购置及运行费支出决算为4.52万元，占83.24 %；公务接待费支出决算为0.91万元，占16.76 %。具体情况如下：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1.公务用车购置及运行费支出 4.52 万元。其中：公务用车运行支出为 4.52 万元，主要用于辆维修。2016年，开支财政拨款的公务用车保有量为5辆。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3.公务接待费支出 0.91 万元，主要用于招商引资客户接待。全年国内公务接待 20 批次， 230 人次，比上年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增加12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批次，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增加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200 人次。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/>
          <w:sz w:val="32"/>
          <w:szCs w:val="30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>八、关于吉林省通榆经济开发区党政办公室</w:t>
      </w:r>
      <w:r>
        <w:rPr>
          <w:rFonts w:hint="eastAsia" w:ascii="黑体" w:hAnsi="黑体" w:eastAsia="黑体"/>
          <w:sz w:val="32"/>
          <w:szCs w:val="30"/>
          <w:lang w:val="en-US" w:eastAsia="zh-CN"/>
        </w:rPr>
        <w:t>2016年度政府性基金预算财政拨款收入支出情况说明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黑体" w:hAnsi="黑体" w:eastAsia="黑体"/>
          <w:sz w:val="32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0"/>
          <w:lang w:val="en-US" w:eastAsia="zh-CN"/>
        </w:rPr>
        <w:t>吉林省通榆经济开发区党政办公室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2016年政府性基金本年收入 2837.00万元 ；本年支出 2837.00万元，其中：项目支出2837.00 万元，占 100%。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支出具体情况如下：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lang w:val="en-US" w:eastAsia="zh-CN"/>
        </w:rPr>
        <w:t>1.国有土地使用权出让收入及对应专项债务收入安排的支出</w:t>
      </w:r>
      <w:r>
        <w:rPr>
          <w:rFonts w:hint="eastAsia" w:ascii="仿宋" w:hAnsi="仿宋" w:eastAsia="仿宋"/>
          <w:sz w:val="32"/>
          <w:szCs w:val="30"/>
          <w:lang w:eastAsia="zh-CN"/>
        </w:rPr>
        <w:t>年初预算为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2580.00</w:t>
      </w:r>
      <w:r>
        <w:rPr>
          <w:rFonts w:hint="eastAsia" w:ascii="仿宋" w:hAnsi="仿宋" w:eastAsia="仿宋"/>
          <w:sz w:val="32"/>
          <w:szCs w:val="30"/>
          <w:lang w:eastAsia="zh-CN"/>
        </w:rPr>
        <w:t>万元，支出决算为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2580.00 万元，完成年初预算的100 %。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2.国有土地收益基金及对应专项债务收入安排的支出</w:t>
      </w:r>
      <w:r>
        <w:rPr>
          <w:rFonts w:hint="eastAsia" w:ascii="仿宋" w:hAnsi="仿宋" w:eastAsia="仿宋"/>
          <w:sz w:val="32"/>
          <w:szCs w:val="30"/>
          <w:lang w:eastAsia="zh-CN"/>
        </w:rPr>
        <w:t>年初预算为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178.00 </w:t>
      </w:r>
      <w:r>
        <w:rPr>
          <w:rFonts w:hint="eastAsia" w:ascii="仿宋" w:hAnsi="仿宋" w:eastAsia="仿宋"/>
          <w:sz w:val="32"/>
          <w:szCs w:val="30"/>
          <w:lang w:eastAsia="zh-CN"/>
        </w:rPr>
        <w:t>万元，支出决算为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 xml:space="preserve"> 178.00 万元，完成年初预算的 100 %。</w:t>
      </w:r>
    </w:p>
    <w:p>
      <w:pPr>
        <w:ind w:firstLine="640" w:firstLineChars="200"/>
        <w:rPr>
          <w:rFonts w:hint="eastAsia" w:ascii="仿宋" w:hAnsi="仿宋" w:eastAsia="仿宋"/>
          <w:sz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3.农业土地开发资金及对应专项债务收入安排的支出</w:t>
      </w:r>
      <w:r>
        <w:rPr>
          <w:rFonts w:hint="eastAsia" w:ascii="仿宋" w:hAnsi="仿宋" w:eastAsia="仿宋"/>
          <w:sz w:val="32"/>
          <w:szCs w:val="30"/>
          <w:highlight w:val="none"/>
          <w:lang w:eastAsia="zh-CN"/>
        </w:rPr>
        <w:t>年初预算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为79.00万元</w:t>
      </w:r>
      <w:r>
        <w:rPr>
          <w:rFonts w:hint="eastAsia" w:ascii="仿宋" w:hAnsi="仿宋" w:eastAsia="仿宋"/>
          <w:sz w:val="32"/>
          <w:szCs w:val="30"/>
          <w:highlight w:val="none"/>
          <w:lang w:eastAsia="zh-CN"/>
        </w:rPr>
        <w:t>，支出决算为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 xml:space="preserve"> 79.00 万元。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</w:p>
    <w:p>
      <w:pPr>
        <w:ind w:firstLine="640"/>
        <w:rPr>
          <w:rFonts w:hint="eastAsia" w:ascii="仿宋" w:hAnsi="仿宋" w:eastAsia="仿宋"/>
          <w:kern w:val="2"/>
          <w:sz w:val="32"/>
          <w:lang w:val="en-US" w:eastAsia="zh-CN"/>
        </w:rPr>
      </w:pPr>
      <w:r>
        <w:rPr>
          <w:rFonts w:hint="eastAsia" w:ascii="黑体" w:hAnsi="黑体" w:eastAsia="黑体"/>
          <w:sz w:val="32"/>
          <w:lang w:val="en-US" w:eastAsia="zh-CN"/>
        </w:rPr>
        <w:t>九、其他重要事项的情况说明</w:t>
      </w:r>
    </w:p>
    <w:p>
      <w:pPr>
        <w:ind w:firstLine="640" w:firstLineChars="200"/>
        <w:rPr>
          <w:rFonts w:hint="eastAsia" w:ascii="楷体" w:hAnsi="楷体" w:eastAsia="楷体"/>
          <w:sz w:val="32"/>
          <w:lang w:val="en-US" w:eastAsia="zh-CN"/>
        </w:rPr>
      </w:pPr>
      <w:r>
        <w:rPr>
          <w:rFonts w:hint="eastAsia" w:ascii="楷体" w:hAnsi="楷体" w:eastAsia="楷体"/>
          <w:sz w:val="32"/>
          <w:lang w:val="en-US" w:eastAsia="zh-CN"/>
        </w:rPr>
        <w:t>（一）机关运行经费支出情况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highlight w:val="none"/>
          <w:lang w:val="en-US" w:eastAsia="zh-CN"/>
        </w:rPr>
        <w:t>2016年吉林省通榆经济开发区党政办公室本级、行政单位的机关运行经费财政拨款支出 221.05 万元</w:t>
      </w:r>
      <w:r>
        <w:rPr>
          <w:rFonts w:hint="eastAsia" w:ascii="仿宋" w:hAnsi="仿宋" w:eastAsia="仿宋"/>
          <w:sz w:val="32"/>
          <w:lang w:val="en-US" w:eastAsia="zh-CN"/>
        </w:rPr>
        <w:t>，比2015年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增加171.67万元，增长171.67</w:t>
      </w:r>
      <w:r>
        <w:rPr>
          <w:rFonts w:hint="eastAsia" w:ascii="仿宋" w:hAnsi="仿宋" w:eastAsia="仿宋"/>
          <w:sz w:val="32"/>
          <w:lang w:val="en-US" w:eastAsia="zh-CN"/>
        </w:rPr>
        <w:t xml:space="preserve"> 万元。主要原因是职能及办公业务增加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。</w:t>
      </w:r>
    </w:p>
    <w:p>
      <w:pPr>
        <w:rPr>
          <w:rFonts w:hint="eastAsia" w:ascii="楷体" w:hAnsi="楷体" w:eastAsia="楷体"/>
          <w:sz w:val="32"/>
          <w:lang w:val="en-US" w:eastAsia="zh-CN"/>
        </w:rPr>
      </w:pPr>
      <w:r>
        <w:rPr>
          <w:rFonts w:hint="eastAsia" w:ascii="楷体" w:hAnsi="楷体" w:eastAsia="楷体"/>
          <w:sz w:val="32"/>
          <w:lang w:val="en-US" w:eastAsia="zh-CN"/>
        </w:rPr>
        <w:t xml:space="preserve">    （二）国有资产占用情况</w:t>
      </w:r>
    </w:p>
    <w:p>
      <w:pPr>
        <w:spacing w:line="580" w:lineRule="exact"/>
        <w:ind w:firstLine="602"/>
        <w:rPr>
          <w:rFonts w:hint="eastAsia" w:ascii="仿宋" w:hAnsi="仿宋" w:eastAsia="仿宋"/>
          <w:sz w:val="32"/>
          <w:szCs w:val="30"/>
          <w:highlight w:val="none"/>
        </w:rPr>
      </w:pPr>
      <w:r>
        <w:rPr>
          <w:rFonts w:hint="eastAsia" w:ascii="仿宋" w:hAnsi="仿宋" w:eastAsia="仿宋"/>
          <w:sz w:val="32"/>
          <w:lang w:val="en-US" w:eastAsia="zh-CN"/>
        </w:rPr>
        <w:t>截至2016年12月31日，吉林省通榆经济开发区党政办公室共有车辆 5 辆，</w:t>
      </w:r>
      <w:r>
        <w:rPr>
          <w:rFonts w:hint="eastAsia" w:ascii="仿宋" w:hAnsi="仿宋" w:eastAsia="仿宋"/>
          <w:sz w:val="32"/>
          <w:szCs w:val="30"/>
          <w:highlight w:val="none"/>
        </w:rPr>
        <w:t>其中，一般公务用车</w:t>
      </w:r>
      <w:r>
        <w:rPr>
          <w:rFonts w:hint="eastAsia" w:ascii="仿宋" w:hAnsi="仿宋" w:eastAsia="仿宋"/>
          <w:sz w:val="32"/>
          <w:szCs w:val="30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0"/>
          <w:highlight w:val="none"/>
        </w:rPr>
        <w:t>辆。</w:t>
      </w:r>
    </w:p>
    <w:p>
      <w:pPr>
        <w:spacing w:line="580" w:lineRule="exact"/>
        <w:ind w:firstLine="602"/>
        <w:rPr>
          <w:rFonts w:hint="eastAsia" w:ascii="仿宋" w:hAnsi="仿宋" w:eastAsia="仿宋"/>
          <w:sz w:val="32"/>
          <w:szCs w:val="30"/>
          <w:highlight w:val="none"/>
        </w:rPr>
      </w:pPr>
    </w:p>
    <w:p>
      <w:pPr>
        <w:spacing w:line="580" w:lineRule="exact"/>
        <w:ind w:firstLine="602"/>
        <w:rPr>
          <w:rFonts w:hint="eastAsia" w:ascii="仿宋" w:hAnsi="仿宋" w:eastAsia="仿宋"/>
          <w:sz w:val="32"/>
          <w:szCs w:val="30"/>
          <w:highlight w:val="none"/>
        </w:rPr>
      </w:pPr>
    </w:p>
    <w:p>
      <w:pPr>
        <w:spacing w:line="580" w:lineRule="exact"/>
        <w:ind w:firstLine="602"/>
        <w:rPr>
          <w:rFonts w:hint="eastAsia" w:ascii="仿宋" w:hAnsi="仿宋" w:eastAsia="仿宋"/>
          <w:sz w:val="32"/>
          <w:szCs w:val="30"/>
          <w:highlight w:val="none"/>
        </w:rPr>
      </w:pPr>
    </w:p>
    <w:p>
      <w:pPr>
        <w:spacing w:line="580" w:lineRule="exact"/>
        <w:ind w:firstLine="880" w:firstLineChars="200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第四部分  名词解释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</w:p>
    <w:p>
      <w:pPr>
        <w:ind w:firstLine="643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lang w:eastAsia="zh-CN"/>
        </w:rPr>
        <w:t>一、</w:t>
      </w:r>
      <w:r>
        <w:rPr>
          <w:rFonts w:hint="eastAsia" w:ascii="仿宋" w:hAnsi="仿宋" w:eastAsia="仿宋"/>
          <w:b/>
          <w:bCs/>
          <w:sz w:val="32"/>
        </w:rPr>
        <w:t>财政拨款收入：</w:t>
      </w:r>
      <w:r>
        <w:rPr>
          <w:rFonts w:hint="eastAsia" w:ascii="仿宋" w:hAnsi="仿宋" w:eastAsia="仿宋"/>
          <w:sz w:val="32"/>
          <w:lang w:eastAsia="zh-CN"/>
        </w:rPr>
        <w:t>指省级财政当年拨付</w:t>
      </w:r>
      <w:r>
        <w:rPr>
          <w:rFonts w:hint="eastAsia" w:ascii="仿宋" w:hAnsi="仿宋" w:eastAsia="仿宋"/>
          <w:sz w:val="32"/>
        </w:rPr>
        <w:t>的</w:t>
      </w:r>
      <w:r>
        <w:rPr>
          <w:rFonts w:hint="eastAsia" w:ascii="仿宋" w:hAnsi="仿宋" w:eastAsia="仿宋"/>
          <w:sz w:val="32"/>
          <w:lang w:eastAsia="zh-CN"/>
        </w:rPr>
        <w:t>资金。</w:t>
      </w:r>
    </w:p>
    <w:p>
      <w:pPr>
        <w:kinsoku/>
        <w:autoSpaceDE/>
        <w:autoSpaceDN w:val="0"/>
        <w:spacing w:line="360" w:lineRule="auto"/>
        <w:ind w:firstLine="643" w:firstLineChars="200"/>
        <w:jc w:val="both"/>
        <w:rPr>
          <w:rFonts w:hint="default" w:ascii="仿宋" w:hAnsi="仿宋" w:eastAsia="仿宋"/>
          <w:snapToGrid/>
          <w:kern w:val="2"/>
          <w:sz w:val="32"/>
          <w:lang w:eastAsia="zh-CN"/>
        </w:rPr>
      </w:pPr>
      <w:r>
        <w:rPr>
          <w:rFonts w:hint="eastAsia" w:ascii="仿宋" w:hAnsi="仿宋" w:eastAsia="仿宋"/>
          <w:b/>
          <w:bCs/>
          <w:snapToGrid/>
          <w:kern w:val="2"/>
          <w:sz w:val="32"/>
          <w:lang w:val="en-US" w:eastAsia="zh-CN"/>
        </w:rPr>
        <w:t>二、</w:t>
      </w:r>
      <w:r>
        <w:rPr>
          <w:rFonts w:hint="default" w:ascii="仿宋" w:hAnsi="仿宋" w:eastAsia="仿宋"/>
          <w:b/>
          <w:bCs/>
          <w:snapToGrid/>
          <w:kern w:val="2"/>
          <w:sz w:val="32"/>
          <w:lang w:eastAsia="zh-CN"/>
        </w:rPr>
        <w:t>基本支出：</w:t>
      </w:r>
      <w:r>
        <w:rPr>
          <w:rFonts w:hint="eastAsia" w:ascii="仿宋" w:hAnsi="仿宋" w:eastAsia="仿宋"/>
          <w:snapToGrid/>
          <w:kern w:val="2"/>
          <w:sz w:val="32"/>
          <w:lang w:eastAsia="zh-CN"/>
        </w:rPr>
        <w:t>指</w:t>
      </w:r>
      <w:r>
        <w:rPr>
          <w:rFonts w:hint="default" w:ascii="仿宋" w:hAnsi="仿宋" w:eastAsia="仿宋"/>
          <w:snapToGrid/>
          <w:kern w:val="2"/>
          <w:sz w:val="32"/>
          <w:lang w:eastAsia="zh-CN"/>
        </w:rPr>
        <w:t>为保障机构正常运转、完成日常工作任务而发生的</w:t>
      </w:r>
      <w:r>
        <w:rPr>
          <w:rFonts w:hint="eastAsia" w:ascii="仿宋" w:hAnsi="仿宋" w:eastAsia="仿宋"/>
          <w:snapToGrid/>
          <w:kern w:val="2"/>
          <w:sz w:val="32"/>
          <w:lang w:eastAsia="zh-CN"/>
        </w:rPr>
        <w:t>人员支出和公用支出等</w:t>
      </w:r>
      <w:r>
        <w:rPr>
          <w:rFonts w:hint="default" w:ascii="仿宋" w:hAnsi="仿宋" w:eastAsia="仿宋"/>
          <w:snapToGrid/>
          <w:kern w:val="2"/>
          <w:sz w:val="32"/>
          <w:lang w:eastAsia="zh-CN"/>
        </w:rPr>
        <w:t>各项支出。</w:t>
      </w:r>
    </w:p>
    <w:p>
      <w:pPr>
        <w:kinsoku/>
        <w:autoSpaceDE/>
        <w:autoSpaceDN w:val="0"/>
        <w:spacing w:line="360" w:lineRule="auto"/>
        <w:ind w:firstLine="643" w:firstLineChars="200"/>
        <w:jc w:val="both"/>
        <w:rPr>
          <w:rFonts w:hint="eastAsia" w:ascii="仿宋" w:hAnsi="仿宋" w:eastAsia="仿宋"/>
          <w:snapToGrid/>
          <w:kern w:val="2"/>
          <w:sz w:val="32"/>
          <w:lang w:eastAsia="zh-CN"/>
        </w:rPr>
      </w:pPr>
      <w:r>
        <w:rPr>
          <w:rFonts w:hint="eastAsia" w:ascii="仿宋" w:hAnsi="仿宋" w:eastAsia="仿宋"/>
          <w:b/>
          <w:bCs/>
          <w:snapToGrid/>
          <w:kern w:val="2"/>
          <w:sz w:val="32"/>
          <w:lang w:eastAsia="zh-CN"/>
        </w:rPr>
        <w:t>三、</w:t>
      </w:r>
      <w:r>
        <w:rPr>
          <w:rFonts w:hint="default" w:ascii="仿宋" w:hAnsi="仿宋" w:eastAsia="仿宋"/>
          <w:b/>
          <w:bCs/>
          <w:snapToGrid/>
          <w:kern w:val="2"/>
          <w:sz w:val="32"/>
          <w:lang w:eastAsia="zh-CN"/>
        </w:rPr>
        <w:t>年初结转和结余</w:t>
      </w:r>
      <w:r>
        <w:rPr>
          <w:rFonts w:hint="eastAsia" w:ascii="仿宋" w:hAnsi="仿宋" w:eastAsia="仿宋"/>
          <w:b/>
          <w:bCs/>
          <w:snapToGrid/>
          <w:kern w:val="2"/>
          <w:sz w:val="32"/>
          <w:lang w:eastAsia="zh-CN"/>
        </w:rPr>
        <w:t>：</w:t>
      </w:r>
      <w:r>
        <w:rPr>
          <w:rFonts w:hint="eastAsia" w:ascii="仿宋" w:hAnsi="仿宋" w:eastAsia="仿宋"/>
          <w:snapToGrid/>
          <w:kern w:val="2"/>
          <w:sz w:val="32"/>
          <w:lang w:eastAsia="zh-CN"/>
        </w:rPr>
        <w:t>指以前年度尚未完成、结转到本年仍按原规定用途继续使用的资金，或项目已完成等产生的结余资金。</w:t>
      </w:r>
    </w:p>
    <w:p>
      <w:pPr>
        <w:kinsoku/>
        <w:autoSpaceDE/>
        <w:autoSpaceDN w:val="0"/>
        <w:spacing w:line="360" w:lineRule="auto"/>
        <w:ind w:firstLine="643" w:firstLineChars="200"/>
        <w:jc w:val="both"/>
        <w:rPr>
          <w:rFonts w:hint="eastAsia" w:ascii="仿宋" w:hAnsi="仿宋" w:eastAsia="仿宋"/>
          <w:snapToGrid/>
          <w:kern w:val="2"/>
          <w:sz w:val="32"/>
          <w:lang w:val="en-US" w:eastAsia="zh-CN"/>
        </w:rPr>
      </w:pPr>
      <w:r>
        <w:rPr>
          <w:rFonts w:hint="eastAsia" w:ascii="仿宋" w:hAnsi="仿宋" w:eastAsia="仿宋"/>
          <w:b/>
          <w:bCs/>
          <w:snapToGrid/>
          <w:kern w:val="2"/>
          <w:sz w:val="32"/>
          <w:lang w:eastAsia="zh-CN"/>
        </w:rPr>
        <w:t>四、</w:t>
      </w:r>
      <w:r>
        <w:rPr>
          <w:rFonts w:hint="default" w:ascii="仿宋" w:hAnsi="仿宋" w:eastAsia="仿宋"/>
          <w:b/>
          <w:bCs/>
          <w:snapToGrid/>
          <w:kern w:val="2"/>
          <w:sz w:val="32"/>
          <w:lang w:eastAsia="zh-CN"/>
        </w:rPr>
        <w:t>年末结转和结余：</w:t>
      </w:r>
      <w:r>
        <w:rPr>
          <w:rFonts w:hint="eastAsia" w:ascii="仿宋" w:hAnsi="仿宋" w:eastAsia="仿宋"/>
          <w:snapToGrid/>
          <w:kern w:val="2"/>
          <w:sz w:val="32"/>
          <w:lang w:eastAsia="zh-CN"/>
        </w:rPr>
        <w:t>指事业单位按有关规定结转到下年或</w:t>
      </w:r>
      <w:r>
        <w:rPr>
          <w:rFonts w:hint="eastAsia" w:ascii="仿宋" w:hAnsi="仿宋" w:eastAsia="仿宋"/>
          <w:snapToGrid/>
          <w:kern w:val="2"/>
          <w:sz w:val="32"/>
          <w:lang w:val="en-US" w:eastAsia="zh-CN"/>
        </w:rPr>
        <w:t>以后年度继续使用的资金，或项目已完成等产生的结余资金。</w:t>
      </w:r>
    </w:p>
    <w:p>
      <w:pPr>
        <w:kinsoku/>
        <w:autoSpaceDE/>
        <w:autoSpaceDN w:val="0"/>
        <w:spacing w:line="360" w:lineRule="auto"/>
        <w:ind w:firstLine="643" w:firstLineChars="200"/>
        <w:jc w:val="both"/>
        <w:rPr>
          <w:rFonts w:hint="default" w:ascii="仿宋" w:hAnsi="仿宋" w:eastAsia="仿宋"/>
          <w:snapToGrid/>
          <w:kern w:val="2"/>
          <w:sz w:val="32"/>
          <w:lang w:val="en-US" w:eastAsia="zh-CN"/>
        </w:rPr>
      </w:pPr>
      <w:r>
        <w:rPr>
          <w:rFonts w:hint="eastAsia" w:ascii="仿宋" w:hAnsi="仿宋" w:eastAsia="仿宋"/>
          <w:b/>
          <w:bCs/>
          <w:snapToGrid/>
          <w:kern w:val="2"/>
          <w:sz w:val="32"/>
          <w:lang w:val="en-US" w:eastAsia="zh-CN"/>
        </w:rPr>
        <w:t>五、“三公”经费财政拨款支出：</w:t>
      </w:r>
      <w:r>
        <w:rPr>
          <w:rFonts w:hint="eastAsia" w:ascii="仿宋" w:hAnsi="仿宋" w:eastAsia="仿宋"/>
          <w:snapToGrid/>
          <w:kern w:val="2"/>
          <w:sz w:val="32"/>
          <w:lang w:val="en-US" w:eastAsia="zh-CN"/>
        </w:rPr>
        <w:t>指通过财政拨款资金安排的因公出国（境）费、公务用车购置及运行费和公务接待费支出。其中，</w:t>
      </w:r>
      <w:r>
        <w:rPr>
          <w:rFonts w:hint="default" w:ascii="仿宋" w:hAnsi="仿宋" w:eastAsia="仿宋"/>
          <w:snapToGrid/>
          <w:kern w:val="2"/>
          <w:sz w:val="32"/>
          <w:lang w:val="en-US" w:eastAsia="zh-CN"/>
        </w:rPr>
        <w:t>因公出国（境）费</w:t>
      </w:r>
      <w:r>
        <w:rPr>
          <w:rFonts w:hint="eastAsia" w:ascii="仿宋" w:hAnsi="仿宋" w:eastAsia="仿宋"/>
          <w:snapToGrid/>
          <w:kern w:val="2"/>
          <w:sz w:val="32"/>
          <w:lang w:val="en-US" w:eastAsia="zh-CN"/>
        </w:rPr>
        <w:t>指</w:t>
      </w:r>
      <w:r>
        <w:rPr>
          <w:rFonts w:hint="default" w:ascii="仿宋" w:hAnsi="仿宋" w:eastAsia="仿宋"/>
          <w:snapToGrid/>
          <w:kern w:val="2"/>
          <w:sz w:val="32"/>
          <w:lang w:val="en-US" w:eastAsia="zh-CN"/>
        </w:rPr>
        <w:t>单位</w:t>
      </w:r>
      <w:r>
        <w:rPr>
          <w:rFonts w:hint="eastAsia" w:ascii="仿宋" w:hAnsi="仿宋" w:eastAsia="仿宋"/>
          <w:snapToGrid/>
          <w:kern w:val="2"/>
          <w:sz w:val="32"/>
          <w:lang w:val="en-US" w:eastAsia="zh-CN"/>
        </w:rPr>
        <w:t>工作人员</w:t>
      </w:r>
      <w:r>
        <w:rPr>
          <w:rFonts w:hint="default" w:ascii="仿宋" w:hAnsi="仿宋" w:eastAsia="仿宋"/>
          <w:snapToGrid/>
          <w:kern w:val="2"/>
          <w:sz w:val="32"/>
          <w:lang w:val="en-US" w:eastAsia="zh-CN"/>
        </w:rPr>
        <w:t>公务出国（境）的</w:t>
      </w:r>
      <w:r>
        <w:rPr>
          <w:rFonts w:hint="eastAsia" w:ascii="仿宋" w:hAnsi="仿宋" w:eastAsia="仿宋"/>
          <w:snapToGrid/>
          <w:kern w:val="2"/>
          <w:sz w:val="32"/>
          <w:lang w:val="en-US" w:eastAsia="zh-CN"/>
        </w:rPr>
        <w:t>往返机票费、</w:t>
      </w:r>
      <w:r>
        <w:rPr>
          <w:rFonts w:hint="default" w:ascii="仿宋" w:hAnsi="仿宋" w:eastAsia="仿宋"/>
          <w:snapToGrid/>
          <w:kern w:val="2"/>
          <w:sz w:val="32"/>
          <w:lang w:val="en-US" w:eastAsia="zh-CN"/>
        </w:rPr>
        <w:t>国际旅费、国外城市间交通费、住宿费、伙食费、培训费、公杂费等支出</w:t>
      </w:r>
      <w:r>
        <w:rPr>
          <w:rFonts w:hint="eastAsia" w:ascii="仿宋" w:hAnsi="仿宋" w:eastAsia="仿宋"/>
          <w:snapToGrid/>
          <w:kern w:val="2"/>
          <w:sz w:val="32"/>
          <w:lang w:val="en-US" w:eastAsia="zh-CN"/>
        </w:rPr>
        <w:t>；公务用车购置及运行费指单位购置公务用车支出（含车辆购置税）及公务用车使用过程中所发生的</w:t>
      </w:r>
      <w:r>
        <w:rPr>
          <w:rFonts w:hint="default" w:ascii="仿宋" w:hAnsi="仿宋" w:eastAsia="仿宋"/>
          <w:snapToGrid/>
          <w:kern w:val="2"/>
          <w:sz w:val="32"/>
          <w:lang w:val="en-US" w:eastAsia="zh-CN"/>
        </w:rPr>
        <w:t>租用费、燃料费、维修费、过桥过路费、保险费、安全奖励费等支出</w:t>
      </w:r>
      <w:r>
        <w:rPr>
          <w:rFonts w:hint="eastAsia" w:ascii="仿宋" w:hAnsi="仿宋" w:eastAsia="仿宋"/>
          <w:snapToGrid/>
          <w:kern w:val="2"/>
          <w:sz w:val="32"/>
          <w:lang w:val="en-US" w:eastAsia="zh-CN"/>
        </w:rPr>
        <w:t>；</w:t>
      </w:r>
      <w:r>
        <w:rPr>
          <w:rFonts w:hint="default" w:ascii="仿宋" w:hAnsi="仿宋" w:eastAsia="仿宋"/>
          <w:snapToGrid/>
          <w:kern w:val="2"/>
          <w:sz w:val="32"/>
          <w:lang w:val="en-US" w:eastAsia="zh-CN"/>
        </w:rPr>
        <w:t>公务接待费</w:t>
      </w:r>
      <w:r>
        <w:rPr>
          <w:rFonts w:hint="eastAsia" w:ascii="仿宋" w:hAnsi="仿宋" w:eastAsia="仿宋"/>
          <w:snapToGrid/>
          <w:kern w:val="2"/>
          <w:sz w:val="32"/>
          <w:lang w:val="en-US" w:eastAsia="zh-CN"/>
        </w:rPr>
        <w:t>指</w:t>
      </w:r>
      <w:r>
        <w:rPr>
          <w:rFonts w:hint="default" w:ascii="仿宋" w:hAnsi="仿宋" w:eastAsia="仿宋"/>
          <w:snapToGrid/>
          <w:kern w:val="2"/>
          <w:sz w:val="32"/>
          <w:lang w:val="en-US" w:eastAsia="zh-CN"/>
        </w:rPr>
        <w:t>单位按规定开支的各类公务接待（含外宾接待）</w:t>
      </w:r>
      <w:r>
        <w:rPr>
          <w:rFonts w:hint="eastAsia" w:ascii="仿宋" w:hAnsi="仿宋" w:eastAsia="仿宋"/>
          <w:snapToGrid/>
          <w:kern w:val="2"/>
          <w:sz w:val="32"/>
          <w:lang w:val="en-US" w:eastAsia="zh-CN"/>
        </w:rPr>
        <w:t>支出</w:t>
      </w:r>
      <w:r>
        <w:rPr>
          <w:rFonts w:hint="default" w:ascii="仿宋" w:hAnsi="仿宋" w:eastAsia="仿宋"/>
          <w:snapToGrid/>
          <w:kern w:val="2"/>
          <w:sz w:val="32"/>
          <w:lang w:val="en-US" w:eastAsia="zh-CN"/>
        </w:rPr>
        <w:t>。</w:t>
      </w:r>
    </w:p>
    <w:p>
      <w:pPr>
        <w:kinsoku/>
        <w:autoSpaceDE/>
        <w:autoSpaceDN w:val="0"/>
        <w:spacing w:line="360" w:lineRule="auto"/>
        <w:ind w:firstLine="643" w:firstLineChars="200"/>
        <w:jc w:val="both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b/>
          <w:bCs/>
          <w:snapToGrid/>
          <w:kern w:val="2"/>
          <w:sz w:val="32"/>
          <w:lang w:val="en-US" w:eastAsia="zh-CN"/>
        </w:rPr>
        <w:t>六、机关运行经费：</w:t>
      </w:r>
      <w:r>
        <w:rPr>
          <w:rFonts w:hint="eastAsia" w:ascii="仿宋" w:hAnsi="仿宋" w:eastAsia="仿宋"/>
          <w:snapToGrid/>
          <w:kern w:val="2"/>
          <w:sz w:val="32"/>
          <w:lang w:val="en-US" w:eastAsia="zh-CN"/>
        </w:rPr>
        <w:t>为保障行政单位（含参照公务员法管理的事业单位）运行用于购买货物和服务的各项资金，包括办公及印刷费、邮电费、</w:t>
      </w:r>
      <w:r>
        <w:rPr>
          <w:rFonts w:hint="eastAsia" w:ascii="仿宋" w:hAnsi="仿宋" w:eastAsia="仿宋"/>
          <w:sz w:val="32"/>
          <w:lang w:val="en-US" w:eastAsia="zh-CN"/>
        </w:rPr>
        <w:t>差旅费、会议费、福利费、日常维修费、专用材料及一般设备购置费、办公用房水电费、办公用房取暖费、办公用房物业管理费、公务用车运行维护费以及其他费用。</w:t>
      </w: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E7E18"/>
    <w:multiLevelType w:val="singleLevel"/>
    <w:tmpl w:val="59FE7E18"/>
    <w:lvl w:ilvl="0" w:tentative="0">
      <w:start w:val="2"/>
      <w:numFmt w:val="chineseCounting"/>
      <w:suff w:val="nothing"/>
      <w:lvlText w:val="第%1部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D5ED6"/>
    <w:rsid w:val="13BE0942"/>
    <w:rsid w:val="26A810A7"/>
    <w:rsid w:val="3C946D1F"/>
    <w:rsid w:val="3E237254"/>
    <w:rsid w:val="6733351B"/>
    <w:rsid w:val="6742746B"/>
    <w:rsid w:val="69FD6AA6"/>
    <w:rsid w:val="76FD5ED6"/>
    <w:rsid w:val="786666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2017-09-07T02:38:00Z</dcterms:created>
  <dc:creator>王世友</dc:creator>
  <cp:lastModifiedBy>Administrator</cp:lastModifiedBy>
  <cp:lastPrinted>2017-11-05T03:16:00Z</cp:lastPrinted>
  <dcterms:modified xsi:type="dcterms:W3CDTF">2017-09-13T06:22:37Z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