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right="35" w:rightChars="11"/>
        <w:rPr>
          <w:rFonts w:hint="eastAsia" w:eastAsia="方正黑体_GBK"/>
        </w:rPr>
      </w:pPr>
      <w:r>
        <w:rPr>
          <w:rFonts w:hint="eastAsia" w:ascii="方正黑体_GBK" w:hAnsi="方正黑体_GBK" w:eastAsia="方正黑体_GBK" w:cs="方正黑体_GBK"/>
          <w:sz w:val="28"/>
          <w:szCs w:val="28"/>
        </w:rPr>
        <w:t>附件：</w:t>
      </w:r>
    </w:p>
    <w:p>
      <w:pPr>
        <w:snapToGrid w:val="0"/>
        <w:spacing w:line="560" w:lineRule="exact"/>
        <w:ind w:right="35" w:rightChars="11"/>
        <w:rPr>
          <w:rFonts w:eastAsia="黑体"/>
        </w:rPr>
      </w:pPr>
    </w:p>
    <w:p>
      <w:pPr>
        <w:snapToGrid w:val="0"/>
        <w:spacing w:line="560" w:lineRule="exact"/>
        <w:jc w:val="center"/>
        <w:rPr>
          <w:rFonts w:ascii="黑体" w:hAnsi="黑体" w:eastAsia="黑体"/>
          <w:sz w:val="44"/>
          <w:szCs w:val="44"/>
        </w:rPr>
      </w:pPr>
      <w:r>
        <w:rPr>
          <w:rFonts w:ascii="黑体" w:hAnsi="黑体" w:eastAsia="黑体"/>
          <w:sz w:val="44"/>
          <w:szCs w:val="44"/>
        </w:rPr>
        <w:t>通榆县消防救援大队列管消防安全</w:t>
      </w:r>
    </w:p>
    <w:p>
      <w:pPr>
        <w:snapToGrid w:val="0"/>
        <w:spacing w:line="560" w:lineRule="exact"/>
        <w:jc w:val="center"/>
        <w:rPr>
          <w:rFonts w:ascii="黑体" w:hAnsi="黑体" w:eastAsia="黑体"/>
          <w:sz w:val="44"/>
          <w:szCs w:val="44"/>
        </w:rPr>
      </w:pPr>
      <w:r>
        <w:rPr>
          <w:rFonts w:ascii="黑体" w:hAnsi="黑体" w:eastAsia="黑体"/>
          <w:sz w:val="44"/>
          <w:szCs w:val="44"/>
        </w:rPr>
        <w:t>重点单位名单</w:t>
      </w:r>
      <w:r>
        <w:rPr>
          <w:rFonts w:hint="eastAsia" w:ascii="黑体" w:hAnsi="黑体" w:eastAsia="黑体"/>
          <w:sz w:val="44"/>
          <w:szCs w:val="44"/>
        </w:rPr>
        <w:t>(197家)</w:t>
      </w:r>
    </w:p>
    <w:p>
      <w:pPr>
        <w:spacing w:line="560" w:lineRule="exact"/>
        <w:rPr>
          <w:rFonts w:ascii="黑体" w:hAnsi="黑体" w:eastAsia="黑体"/>
        </w:rPr>
      </w:pPr>
    </w:p>
    <w:p>
      <w:pPr>
        <w:numPr>
          <w:ilvl w:val="0"/>
          <w:numId w:val="1"/>
        </w:numPr>
        <w:spacing w:line="560" w:lineRule="exact"/>
        <w:rPr>
          <w:rFonts w:hint="eastAsia" w:ascii="黑体" w:hAnsi="黑体" w:eastAsia="黑体" w:cs="黑体"/>
          <w:b/>
        </w:rPr>
      </w:pPr>
      <w:r>
        <w:rPr>
          <w:rFonts w:hint="eastAsia" w:ascii="黑体" w:hAnsi="黑体" w:eastAsia="黑体" w:cs="黑体"/>
          <w:b/>
        </w:rPr>
        <w:t>人员密集场所（95家）</w:t>
      </w:r>
    </w:p>
    <w:p>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（一）公众聚集场所（38）</w:t>
      </w:r>
    </w:p>
    <w:p>
      <w:pPr>
        <w:spacing w:line="560" w:lineRule="exact"/>
        <w:ind w:firstLine="643" w:firstLineChars="200"/>
        <w:rPr>
          <w:rFonts w:hint="eastAsia" w:ascii="仿宋" w:hAnsi="仿宋" w:eastAsia="仿宋" w:cs="仿宋"/>
          <w:b/>
          <w:bCs/>
        </w:rPr>
      </w:pPr>
      <w:r>
        <w:rPr>
          <w:rFonts w:hint="eastAsia" w:ascii="仿宋" w:hAnsi="仿宋" w:eastAsia="仿宋" w:cs="仿宋"/>
          <w:b/>
          <w:bCs/>
        </w:rPr>
        <w:t>1、客房40间以上或床位80个以上的宾馆（旅馆、饭店），建筑面积在1000平方米（含本数，下同）以上的餐饮场所(13)</w:t>
      </w:r>
    </w:p>
    <w:p>
      <w:pPr>
        <w:ind w:firstLine="640" w:firstLineChars="200"/>
        <w:rPr>
          <w:rFonts w:hint="eastAsia" w:ascii="仿宋" w:hAnsi="仿宋" w:eastAsia="仿宋" w:cs="仿宋"/>
        </w:rPr>
      </w:pPr>
      <w:r>
        <w:rPr>
          <w:rFonts w:hint="eastAsia" w:ascii="仿宋" w:hAnsi="仿宋" w:eastAsia="仿宋" w:cs="仿宋"/>
        </w:rPr>
        <w:t>通榆县美苑商务宾馆有限公司、通榆县华庭商务宾馆、通榆县向海大酒店有限公司、通榆县廷海假日酒店、通榆县薰衣草快捷宾馆、通榆县真好宾馆有限公司、通榆县双杰商务宾馆、通榆县满江红大酒店、通榆县森川阁重庆火锅、通榆县海风老来涮海鲜火锅店、通榆县新天福园大酒店、香海湿地文化服务中心、通榆县润东酒店</w:t>
      </w:r>
    </w:p>
    <w:p>
      <w:pPr>
        <w:numPr>
          <w:ilvl w:val="0"/>
          <w:numId w:val="2"/>
        </w:numPr>
        <w:spacing w:line="560" w:lineRule="exact"/>
        <w:ind w:firstLine="643" w:firstLineChars="200"/>
        <w:rPr>
          <w:rFonts w:hint="eastAsia" w:ascii="仿宋" w:hAnsi="仿宋" w:eastAsia="仿宋" w:cs="仿宋"/>
          <w:b/>
          <w:bCs/>
        </w:rPr>
      </w:pPr>
      <w:r>
        <w:rPr>
          <w:rFonts w:hint="eastAsia" w:ascii="仿宋" w:hAnsi="仿宋" w:eastAsia="仿宋" w:cs="仿宋"/>
          <w:b/>
          <w:bCs/>
        </w:rPr>
        <w:t>建筑面积在1000平方米以上且经营可燃商品的商场、商店、集贸市场（12）</w:t>
      </w:r>
    </w:p>
    <w:p>
      <w:pPr>
        <w:spacing w:line="560" w:lineRule="exact"/>
        <w:ind w:firstLine="640" w:firstLineChars="200"/>
        <w:rPr>
          <w:rFonts w:hint="eastAsia" w:ascii="仿宋" w:hAnsi="仿宋" w:eastAsia="仿宋" w:cs="仿宋"/>
        </w:rPr>
      </w:pPr>
      <w:r>
        <w:rPr>
          <w:rFonts w:hint="eastAsia" w:ascii="仿宋" w:hAnsi="仿宋" w:eastAsia="仿宋" w:cs="仿宋"/>
        </w:rPr>
        <w:t>通榆县兴东商都商贸有限公司、通榆县世纪商业城、通榆县鹤乡繁华购物中心有限公司、通榆县康乐商贸实业有限责任公司、通榆县盛世繁华生活超市、通榆县德卡中兴商厦、通榆县世纪繁华生活超市有限公司繁荣大街店、通榆县廷海家具城、通榆县瑞丰农贸市场有限公司、通榆县德君家居商城、通榆县双杰生鲜超市（碧水东城店）、通榆县京津鞋业工厂店</w:t>
      </w:r>
    </w:p>
    <w:p>
      <w:pPr>
        <w:numPr>
          <w:ilvl w:val="0"/>
          <w:numId w:val="2"/>
        </w:numPr>
        <w:spacing w:line="560" w:lineRule="exact"/>
        <w:ind w:firstLine="643" w:firstLineChars="200"/>
        <w:rPr>
          <w:rFonts w:hint="eastAsia" w:ascii="仿宋" w:hAnsi="仿宋" w:eastAsia="仿宋" w:cs="仿宋"/>
          <w:b/>
          <w:bCs/>
        </w:rPr>
      </w:pPr>
      <w:r>
        <w:rPr>
          <w:rFonts w:hint="eastAsia" w:ascii="仿宋" w:hAnsi="仿宋" w:eastAsia="仿宋" w:cs="仿宋"/>
          <w:b/>
          <w:bCs/>
        </w:rPr>
        <w:t>民用机场航站楼及建筑面积在500平方米以上的客运车站候车室、客运码头侯船厅（1）</w:t>
      </w:r>
    </w:p>
    <w:p>
      <w:pPr>
        <w:spacing w:line="560" w:lineRule="exact"/>
        <w:ind w:left="640" w:leftChars="200" w:firstLine="320" w:firstLineChars="100"/>
        <w:rPr>
          <w:rFonts w:hint="eastAsia" w:ascii="仿宋" w:hAnsi="仿宋" w:eastAsia="仿宋" w:cs="仿宋"/>
        </w:rPr>
      </w:pPr>
      <w:r>
        <w:rPr>
          <w:rFonts w:hint="eastAsia" w:ascii="仿宋" w:hAnsi="仿宋" w:eastAsia="仿宋" w:cs="仿宋"/>
        </w:rPr>
        <w:t>通榆县公路客运总站</w:t>
      </w:r>
    </w:p>
    <w:p>
      <w:pPr>
        <w:numPr>
          <w:ilvl w:val="0"/>
          <w:numId w:val="2"/>
        </w:numPr>
        <w:spacing w:line="560" w:lineRule="exact"/>
        <w:ind w:firstLine="643" w:firstLineChars="200"/>
        <w:rPr>
          <w:rFonts w:hint="eastAsia" w:ascii="仿宋" w:hAnsi="仿宋" w:eastAsia="仿宋" w:cs="仿宋"/>
          <w:b/>
          <w:bCs/>
        </w:rPr>
      </w:pPr>
      <w:r>
        <w:rPr>
          <w:rFonts w:hint="eastAsia" w:ascii="仿宋" w:hAnsi="仿宋" w:eastAsia="仿宋" w:cs="仿宋"/>
          <w:b/>
          <w:bCs/>
        </w:rPr>
        <w:t>公共体育场（馆）、会堂、电影（电视）摄影棚（12）</w:t>
      </w:r>
    </w:p>
    <w:p>
      <w:pPr>
        <w:ind w:firstLine="643" w:firstLineChars="200"/>
        <w:rPr>
          <w:rFonts w:hint="eastAsia" w:ascii="仿宋" w:hAnsi="仿宋" w:eastAsia="仿宋" w:cs="仿宋"/>
          <w:b/>
          <w:bCs/>
        </w:rPr>
      </w:pPr>
      <w:r>
        <w:rPr>
          <w:rFonts w:hint="eastAsia" w:ascii="仿宋_GB2312" w:hAnsi="仿宋_GB2312" w:eastAsia="仿宋_GB2312" w:cs="仿宋_GB2312"/>
          <w:b/>
          <w:bCs/>
        </w:rPr>
        <w:t>(1)影剧院、录像厅、礼堂等演出、放映场所</w:t>
      </w:r>
      <w:r>
        <w:rPr>
          <w:rFonts w:hint="eastAsia" w:hAnsi="仿宋_GB2312" w:cs="仿宋_GB2312"/>
          <w:b/>
          <w:bCs/>
        </w:rPr>
        <w:t>（1）</w:t>
      </w:r>
    </w:p>
    <w:p>
      <w:pPr>
        <w:ind w:firstLine="640" w:firstLineChars="200"/>
        <w:rPr>
          <w:rFonts w:hint="eastAsia" w:ascii="仿宋" w:hAnsi="仿宋" w:eastAsia="仿宋" w:cs="仿宋"/>
        </w:rPr>
      </w:pPr>
      <w:r>
        <w:rPr>
          <w:rFonts w:hint="eastAsia" w:ascii="仿宋" w:hAnsi="仿宋" w:eastAsia="仿宋" w:cs="仿宋"/>
        </w:rPr>
        <w:t>通榆县吉影鹤乡影剧院有限公司</w:t>
      </w:r>
    </w:p>
    <w:p>
      <w:pPr>
        <w:numPr>
          <w:ilvl w:val="0"/>
          <w:numId w:val="3"/>
        </w:num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舞厅、卡拉ＯＫ厅等歌舞娱乐场所(6)</w:t>
      </w:r>
    </w:p>
    <w:p>
      <w:pPr>
        <w:ind w:firstLine="640" w:firstLineChars="200"/>
        <w:rPr>
          <w:rFonts w:hint="eastAsia" w:ascii="仿宋" w:hAnsi="仿宋" w:eastAsia="仿宋" w:cs="仿宋"/>
        </w:rPr>
      </w:pPr>
      <w:r>
        <w:rPr>
          <w:rFonts w:hint="eastAsia" w:ascii="仿宋" w:hAnsi="仿宋" w:eastAsia="仿宋" w:cs="仿宋"/>
        </w:rPr>
        <w:t>通榆县夜火聖殿歌厅、通榆县夜焰聖殿歌厅、通榆县帝乐歌厅、通榆县五月花歌厅、通榆县鼎秀万锦娱乐会所、麦动力量版式歌厅</w:t>
      </w:r>
    </w:p>
    <w:p>
      <w:pPr>
        <w:numPr>
          <w:ilvl w:val="0"/>
          <w:numId w:val="3"/>
        </w:num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保龄球馆、旱冰场、桑拿浴室等营业性健身、休闲场所（5）</w:t>
      </w:r>
    </w:p>
    <w:p>
      <w:pPr>
        <w:ind w:firstLine="640" w:firstLineChars="200"/>
        <w:rPr>
          <w:rFonts w:hint="eastAsia" w:ascii="仿宋" w:hAnsi="仿宋" w:eastAsia="仿宋" w:cs="仿宋"/>
        </w:rPr>
      </w:pPr>
      <w:r>
        <w:rPr>
          <w:rFonts w:hint="eastAsia" w:ascii="仿宋" w:hAnsi="仿宋" w:eastAsia="仿宋" w:cs="仿宋"/>
        </w:rPr>
        <w:t>通榆县领秀国际健身中心、通榆县梦启体育中心、通榆县汗蒸时代温泉会馆、通榆县丹顶鹤温泉洗浴会馆、通榆县小城花园会馆</w:t>
      </w:r>
    </w:p>
    <w:p>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（二）医院、学校（35）</w:t>
      </w:r>
    </w:p>
    <w:p>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1、住院床位在50张以上的医院、卫生（院）所(</w:t>
      </w:r>
      <w:r>
        <w:rPr>
          <w:rFonts w:hint="eastAsia" w:hAnsi="仿宋_GB2312" w:cs="仿宋_GB2312"/>
          <w:b/>
          <w:bCs/>
        </w:rPr>
        <w:t>4</w:t>
      </w:r>
      <w:r>
        <w:rPr>
          <w:rFonts w:hint="eastAsia" w:ascii="仿宋_GB2312" w:hAnsi="仿宋_GB2312" w:eastAsia="仿宋_GB2312" w:cs="仿宋_GB2312"/>
          <w:b/>
          <w:bCs/>
        </w:rPr>
        <w:t>)</w:t>
      </w:r>
    </w:p>
    <w:p>
      <w:pPr>
        <w:ind w:firstLine="640" w:firstLineChars="200"/>
        <w:rPr>
          <w:rFonts w:hint="eastAsia" w:ascii="仿宋" w:hAnsi="仿宋" w:eastAsia="仿宋" w:cs="仿宋"/>
        </w:rPr>
      </w:pPr>
      <w:r>
        <w:rPr>
          <w:rFonts w:hint="eastAsia" w:ascii="仿宋" w:hAnsi="仿宋" w:eastAsia="仿宋" w:cs="仿宋"/>
        </w:rPr>
        <w:t>通榆县中医院、通榆县第一医院、通榆县红十字医院、通榆县妇幼保健计划生育服务中心</w:t>
      </w:r>
    </w:p>
    <w:p>
      <w:pPr>
        <w:numPr>
          <w:ilvl w:val="0"/>
          <w:numId w:val="4"/>
        </w:num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在校师生总人数2000人以上或学生住宿床位在100张以上的学校（31）</w:t>
      </w:r>
    </w:p>
    <w:p>
      <w:pPr>
        <w:ind w:firstLine="640" w:firstLineChars="200"/>
        <w:rPr>
          <w:rFonts w:hint="eastAsia" w:ascii="仿宋" w:hAnsi="仿宋" w:eastAsia="仿宋" w:cs="仿宋"/>
        </w:rPr>
      </w:pPr>
      <w:r>
        <w:rPr>
          <w:rFonts w:hint="eastAsia" w:ascii="仿宋" w:hAnsi="仿宋" w:eastAsia="仿宋" w:cs="仿宋"/>
        </w:rPr>
        <w:t>通榆县第一中学、通榆县实验中学校、通榆县职业教育中心、通榆县蒙古族学校、通榆县第八中学、通榆县育才学校、通榆县明德小学校、通榆县第二中学、通榆县第三中学、通榆县第五中学、通榆县第六中学、通榆县第七中学、通榆县第十中学、通榆县实验小学、通榆县团结学校、通榆县新发学校、瞻榆镇明德学校、瞻榆镇义慈学校、通榆县新华小学、通榆县苏公坨学校、通榆县边昭学校、通榆县八面学校、通榆县什花道学校、通榆县向海学校、通榆县鸿兴小学、通榆县同发学校、通榆县兴隆山小学、通榆县乌兰花小学、通榆县毓才学校（东校）、通榆县第二小学校、通榆县包拉温都蒙古族乡学校</w:t>
      </w:r>
    </w:p>
    <w:p>
      <w:pPr>
        <w:numPr>
          <w:ilvl w:val="0"/>
          <w:numId w:val="5"/>
        </w:num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养老院（敬老院）、福利院、托儿所、幼儿园（13）</w:t>
      </w:r>
    </w:p>
    <w:p>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1、老人住宿床位在50张以上的养老院（敬老院）、福利院（1）</w:t>
      </w:r>
    </w:p>
    <w:p>
      <w:pPr>
        <w:ind w:firstLine="640" w:firstLineChars="200"/>
        <w:rPr>
          <w:rFonts w:hint="eastAsia" w:ascii="仿宋" w:hAnsi="仿宋" w:eastAsia="仿宋" w:cs="仿宋"/>
        </w:rPr>
      </w:pPr>
      <w:r>
        <w:rPr>
          <w:rFonts w:hint="eastAsia" w:ascii="仿宋" w:hAnsi="仿宋" w:eastAsia="仿宋" w:cs="仿宋"/>
        </w:rPr>
        <w:t>通榆县社会福利服务中心</w:t>
      </w:r>
    </w:p>
    <w:p>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2、幼儿人数100人以上或幼儿住宿床位在40张以上的托儿所、幼儿园（12）</w:t>
      </w:r>
    </w:p>
    <w:p>
      <w:pPr>
        <w:ind w:firstLine="640" w:firstLineChars="200"/>
        <w:rPr>
          <w:rFonts w:hint="eastAsia" w:ascii="仿宋" w:hAnsi="仿宋" w:eastAsia="仿宋" w:cs="仿宋"/>
        </w:rPr>
      </w:pPr>
      <w:r>
        <w:rPr>
          <w:rFonts w:hint="eastAsia" w:ascii="仿宋" w:hAnsi="仿宋" w:eastAsia="仿宋" w:cs="仿宋"/>
        </w:rPr>
        <w:t>通榆县童博士幼儿园、通榆县幼儿园（开发区分园）、通榆县开发区幼儿园、通榆县兴隆山镇幼儿园、通榆县瞻榆镇第二幼儿园、通榆县小星星幼儿园、通榆县海贝儿幼儿园、通榆县壹号公馆幼儿园有限公司、通榆县幼儿园、通榆县丑小鸭幼儿园、通榆县瞻榆镇启蒙幼儿园、通榆县四海明珠礼仪幼儿园</w:t>
      </w:r>
    </w:p>
    <w:p>
      <w:pPr>
        <w:spacing w:line="560" w:lineRule="exact"/>
        <w:ind w:firstLine="643" w:firstLineChars="200"/>
        <w:rPr>
          <w:rFonts w:hint="eastAsia" w:ascii="仿宋_GB2312" w:hAnsi="仿宋_GB2312" w:eastAsia="仿宋_GB2312" w:cs="仿宋_GB2312"/>
          <w:b/>
          <w:bCs/>
        </w:rPr>
      </w:pPr>
      <w:r>
        <w:rPr>
          <w:rFonts w:ascii="仿宋_GB2312" w:hAnsi="仿宋_GB2312" w:eastAsia="仿宋_GB2312" w:cs="仿宋_GB2312"/>
          <w:b/>
          <w:bCs/>
        </w:rPr>
        <w:t>（四）公共图书馆、展览馆、博物馆、档案馆以及具有火灾危险性的文物保护单位</w:t>
      </w:r>
      <w:r>
        <w:rPr>
          <w:rFonts w:hint="eastAsia" w:ascii="仿宋_GB2312" w:hAnsi="仿宋_GB2312" w:eastAsia="仿宋_GB2312" w:cs="仿宋_GB2312"/>
          <w:b/>
          <w:bCs/>
        </w:rPr>
        <w:t>。</w:t>
      </w:r>
      <w:r>
        <w:rPr>
          <w:rFonts w:eastAsia="仿宋_GB2312"/>
          <w:b/>
          <w:bCs/>
        </w:rPr>
        <w:t>建筑面积在2000平方米以上的公共图书馆、展览馆、会展中心</w:t>
      </w:r>
      <w:r>
        <w:rPr>
          <w:rFonts w:hint="eastAsia" w:ascii="仿宋_GB2312" w:hAnsi="仿宋_GB2312" w:eastAsia="仿宋_GB2312" w:cs="仿宋_GB2312"/>
          <w:b/>
          <w:bCs/>
        </w:rPr>
        <w:t>（2）</w:t>
      </w:r>
    </w:p>
    <w:p>
      <w:pPr>
        <w:ind w:firstLine="640" w:firstLineChars="200"/>
        <w:rPr>
          <w:rFonts w:hint="eastAsia" w:ascii="仿宋" w:hAnsi="仿宋" w:eastAsia="仿宋" w:cs="仿宋"/>
        </w:rPr>
      </w:pPr>
      <w:r>
        <w:rPr>
          <w:rFonts w:hint="eastAsia" w:ascii="仿宋" w:hAnsi="仿宋" w:eastAsia="仿宋" w:cs="仿宋"/>
        </w:rPr>
        <w:t>通榆县电子商务发展中心、通榆县“六馆一中心”</w:t>
      </w:r>
    </w:p>
    <w:p>
      <w:pPr>
        <w:spacing w:line="560" w:lineRule="exact"/>
        <w:ind w:left="643"/>
        <w:rPr>
          <w:rFonts w:hint="eastAsia" w:ascii="仿宋_GB2312" w:hAnsi="仿宋_GB2312" w:eastAsia="仿宋_GB2312" w:cs="仿宋_GB2312"/>
          <w:b/>
          <w:bCs/>
        </w:rPr>
      </w:pPr>
      <w:r>
        <w:rPr>
          <w:rFonts w:hint="eastAsia" w:ascii="仿宋_GB2312" w:hAnsi="仿宋_GB2312" w:eastAsia="仿宋_GB2312" w:cs="仿宋_GB2312"/>
          <w:b/>
          <w:bCs/>
        </w:rPr>
        <w:t>（五）劳动密集型生产、加工企业（2）</w:t>
      </w:r>
    </w:p>
    <w:p>
      <w:pPr>
        <w:spacing w:line="560" w:lineRule="exact"/>
        <w:ind w:firstLine="643" w:firstLineChars="200"/>
        <w:rPr>
          <w:rFonts w:hint="eastAsia" w:ascii="仿宋" w:hAnsi="仿宋" w:eastAsia="仿宋" w:cs="仿宋"/>
          <w:b/>
          <w:bCs/>
        </w:rPr>
      </w:pPr>
      <w:r>
        <w:rPr>
          <w:rFonts w:hint="eastAsia" w:ascii="仿宋" w:hAnsi="仿宋" w:eastAsia="仿宋" w:cs="仿宋"/>
          <w:b/>
          <w:bCs/>
        </w:rPr>
        <w:t>生产车间员工100人以上或员工宿舍居住人数100人以上的服装、皮革、家具、玩具、塑料、纺织、印染、印刷、绒绣、刺绣、食品加工和日用百货及工艺品生产等劳动密集型企业。</w:t>
      </w:r>
    </w:p>
    <w:p>
      <w:pPr>
        <w:ind w:firstLine="640" w:firstLineChars="200"/>
        <w:rPr>
          <w:rFonts w:hint="eastAsia" w:ascii="仿宋" w:hAnsi="仿宋" w:eastAsia="仿宋" w:cs="仿宋"/>
        </w:rPr>
      </w:pPr>
      <w:r>
        <w:rPr>
          <w:rFonts w:hint="eastAsia" w:ascii="仿宋" w:hAnsi="仿宋" w:eastAsia="仿宋" w:cs="仿宋"/>
        </w:rPr>
        <w:t>通榆县第一服装厂、吉林嘉泰实业有限公司</w:t>
      </w:r>
    </w:p>
    <w:p>
      <w:pPr>
        <w:spacing w:line="560" w:lineRule="exact"/>
        <w:ind w:firstLine="482" w:firstLineChars="150"/>
        <w:rPr>
          <w:rFonts w:hint="eastAsia" w:ascii="仿宋_GB2312" w:hAnsi="仿宋_GB2312" w:eastAsia="仿宋_GB2312" w:cs="仿宋_GB2312"/>
          <w:b/>
          <w:bCs/>
        </w:rPr>
      </w:pPr>
      <w:r>
        <w:rPr>
          <w:rFonts w:hint="eastAsia" w:ascii="仿宋_GB2312" w:hAnsi="仿宋_GB2312" w:eastAsia="仿宋_GB2312" w:cs="仿宋_GB2312"/>
          <w:b/>
          <w:bCs/>
        </w:rPr>
        <w:t>（六）旅游、宗教活动场所（5）</w:t>
      </w:r>
    </w:p>
    <w:p>
      <w:pPr>
        <w:spacing w:line="560" w:lineRule="exact"/>
        <w:ind w:firstLine="643" w:firstLineChars="200"/>
        <w:rPr>
          <w:rFonts w:hint="eastAsia" w:ascii="仿宋" w:hAnsi="仿宋" w:eastAsia="仿宋" w:cs="仿宋"/>
          <w:b/>
          <w:bCs/>
        </w:rPr>
      </w:pPr>
      <w:r>
        <w:rPr>
          <w:rFonts w:hint="eastAsia" w:ascii="仿宋" w:hAnsi="仿宋" w:eastAsia="仿宋" w:cs="仿宋"/>
          <w:b/>
          <w:bCs/>
        </w:rPr>
        <w:t>发生火灾可能性较大以及一旦发生火灾可能造成人身重大伤亡或者财产重大损失的旅游场所和总建筑面积500平方米以上的宗教活动场所</w:t>
      </w:r>
    </w:p>
    <w:p>
      <w:pPr>
        <w:ind w:firstLine="640" w:firstLineChars="200"/>
        <w:rPr>
          <w:rFonts w:hint="eastAsia" w:ascii="仿宋" w:hAnsi="仿宋" w:eastAsia="仿宋" w:cs="仿宋"/>
        </w:rPr>
      </w:pPr>
      <w:r>
        <w:rPr>
          <w:rFonts w:hint="eastAsia" w:ascii="仿宋" w:hAnsi="仿宋" w:eastAsia="仿宋" w:cs="仿宋"/>
        </w:rPr>
        <w:t>通榆县香海寺、通榆县二龙庙、通榆县清真寺、白城市通榆县开通镇红旗村于家沟基督教活动点、白城市通榆县兴隆山镇粮丰基督教活动点</w:t>
      </w:r>
    </w:p>
    <w:p>
      <w:pPr>
        <w:numPr>
          <w:ilvl w:val="0"/>
          <w:numId w:val="1"/>
        </w:numPr>
        <w:spacing w:line="560" w:lineRule="exact"/>
        <w:jc w:val="left"/>
        <w:rPr>
          <w:rFonts w:hint="eastAsia" w:ascii="黑体" w:hAnsi="黑体" w:eastAsia="黑体" w:cs="黑体"/>
          <w:b/>
        </w:rPr>
      </w:pPr>
      <w:r>
        <w:rPr>
          <w:rFonts w:hint="eastAsia" w:ascii="黑体" w:hAnsi="黑体" w:eastAsia="黑体" w:cs="黑体"/>
          <w:b/>
        </w:rPr>
        <w:t>国家机关（6家）</w:t>
      </w:r>
    </w:p>
    <w:p>
      <w:pPr>
        <w:spacing w:line="560" w:lineRule="exact"/>
        <w:ind w:firstLine="643" w:firstLineChars="200"/>
        <w:jc w:val="left"/>
        <w:rPr>
          <w:rFonts w:hint="eastAsia" w:ascii="仿宋" w:hAnsi="仿宋" w:eastAsia="仿宋" w:cs="仿宋"/>
          <w:b/>
          <w:bCs/>
        </w:rPr>
      </w:pPr>
      <w:r>
        <w:rPr>
          <w:rFonts w:hint="eastAsia" w:ascii="仿宋" w:hAnsi="仿宋" w:eastAsia="仿宋" w:cs="仿宋"/>
          <w:b/>
          <w:bCs/>
        </w:rPr>
        <w:t>1、县级以上的党委、人大、政府、政协、市州级以上经济(技术)开发区管委会（4）</w:t>
      </w:r>
    </w:p>
    <w:p>
      <w:pPr>
        <w:ind w:firstLine="640" w:firstLineChars="200"/>
        <w:rPr>
          <w:rFonts w:hint="eastAsia" w:ascii="仿宋" w:hAnsi="仿宋" w:eastAsia="仿宋" w:cs="仿宋"/>
        </w:rPr>
      </w:pPr>
      <w:r>
        <w:rPr>
          <w:rFonts w:hint="eastAsia" w:ascii="仿宋" w:hAnsi="仿宋" w:eastAsia="仿宋" w:cs="仿宋"/>
        </w:rPr>
        <w:t>中共通榆县委员会、通榆县人民政府、通榆县政治协商委员会、通榆县人民代表大会委员会</w:t>
      </w:r>
    </w:p>
    <w:p>
      <w:pPr>
        <w:ind w:firstLine="643" w:firstLineChars="200"/>
        <w:rPr>
          <w:rFonts w:hint="eastAsia" w:ascii="仿宋" w:hAnsi="仿宋" w:eastAsia="仿宋" w:cs="仿宋"/>
          <w:b/>
          <w:bCs/>
        </w:rPr>
      </w:pPr>
      <w:r>
        <w:rPr>
          <w:rFonts w:hint="eastAsia" w:ascii="仿宋" w:hAnsi="仿宋" w:eastAsia="仿宋" w:cs="仿宋"/>
          <w:b/>
          <w:bCs/>
        </w:rPr>
        <w:t>2、县级以上人民检察院、人民法院（2）</w:t>
      </w:r>
    </w:p>
    <w:p>
      <w:pPr>
        <w:ind w:firstLine="640" w:firstLineChars="200"/>
        <w:rPr>
          <w:rFonts w:hint="eastAsia" w:ascii="仿宋" w:hAnsi="仿宋" w:eastAsia="仿宋" w:cs="仿宋"/>
        </w:rPr>
      </w:pPr>
      <w:r>
        <w:rPr>
          <w:rFonts w:hint="eastAsia" w:ascii="仿宋" w:hAnsi="仿宋" w:eastAsia="仿宋" w:cs="仿宋"/>
        </w:rPr>
        <w:t>通榆县人民法院、通榆县人民检察院</w:t>
      </w:r>
    </w:p>
    <w:p>
      <w:pPr>
        <w:ind w:firstLine="482" w:firstLineChars="150"/>
        <w:rPr>
          <w:rFonts w:hint="eastAsia" w:ascii="黑体" w:hAnsi="黑体" w:eastAsia="黑体" w:cs="黑体"/>
          <w:b/>
        </w:rPr>
      </w:pPr>
      <w:r>
        <w:rPr>
          <w:rFonts w:hint="eastAsia" w:ascii="黑体" w:hAnsi="黑体" w:eastAsia="黑体" w:cs="黑体"/>
          <w:b/>
        </w:rPr>
        <w:t>三、广播电台、电视台和邮政、邮政枢纽（5家）</w:t>
      </w:r>
    </w:p>
    <w:p>
      <w:pPr>
        <w:spacing w:line="560" w:lineRule="exact"/>
        <w:ind w:firstLine="643" w:firstLineChars="200"/>
        <w:rPr>
          <w:rFonts w:hint="eastAsia" w:ascii="仿宋" w:hAnsi="仿宋" w:eastAsia="仿宋" w:cs="仿宋"/>
          <w:b/>
          <w:bCs/>
        </w:rPr>
      </w:pPr>
      <w:r>
        <w:rPr>
          <w:rFonts w:hint="eastAsia" w:ascii="仿宋" w:hAnsi="仿宋" w:eastAsia="仿宋" w:cs="仿宋"/>
          <w:b/>
          <w:bCs/>
        </w:rPr>
        <w:t>1、县级以上的广播电台、电视台、报社（1）</w:t>
      </w:r>
    </w:p>
    <w:p>
      <w:pPr>
        <w:ind w:firstLine="640" w:firstLineChars="200"/>
        <w:rPr>
          <w:rFonts w:hint="eastAsia" w:ascii="仿宋" w:hAnsi="仿宋" w:eastAsia="仿宋" w:cs="仿宋"/>
        </w:rPr>
      </w:pPr>
      <w:r>
        <w:rPr>
          <w:rFonts w:hint="eastAsia" w:ascii="仿宋" w:hAnsi="仿宋" w:eastAsia="仿宋" w:cs="仿宋"/>
        </w:rPr>
        <w:t>通榆县融媒体中心</w:t>
      </w:r>
    </w:p>
    <w:p>
      <w:pPr>
        <w:spacing w:line="560" w:lineRule="exact"/>
        <w:ind w:firstLine="643" w:firstLineChars="200"/>
        <w:rPr>
          <w:rFonts w:hint="eastAsia" w:ascii="仿宋" w:hAnsi="仿宋" w:eastAsia="仿宋" w:cs="仿宋"/>
          <w:b/>
          <w:bCs/>
        </w:rPr>
      </w:pPr>
      <w:r>
        <w:rPr>
          <w:rFonts w:hint="eastAsia" w:ascii="仿宋" w:hAnsi="仿宋" w:eastAsia="仿宋" w:cs="仿宋"/>
          <w:b/>
          <w:bCs/>
        </w:rPr>
        <w:t>2、邮政和通信枢纽单位（4）</w:t>
      </w:r>
    </w:p>
    <w:p>
      <w:pPr>
        <w:ind w:firstLine="640" w:firstLineChars="200"/>
        <w:rPr>
          <w:rFonts w:hint="eastAsia" w:ascii="仿宋" w:hAnsi="仿宋" w:eastAsia="仿宋" w:cs="仿宋"/>
        </w:rPr>
      </w:pPr>
      <w:r>
        <w:rPr>
          <w:rFonts w:hint="eastAsia" w:ascii="仿宋" w:hAnsi="仿宋" w:eastAsia="仿宋" w:cs="仿宋"/>
        </w:rPr>
        <w:t>通榆县邮政局、中国电信股份有限公司通榆分公司、中国联合网络通信有限公司通榆分公司、中国移动通信集团吉林有限公司通榆分公司</w:t>
      </w:r>
    </w:p>
    <w:p>
      <w:pPr>
        <w:spacing w:line="560" w:lineRule="exact"/>
        <w:ind w:firstLine="643" w:firstLineChars="200"/>
        <w:jc w:val="left"/>
        <w:rPr>
          <w:rFonts w:hint="eastAsia" w:ascii="仿宋" w:hAnsi="仿宋" w:eastAsia="仿宋" w:cs="仿宋"/>
        </w:rPr>
      </w:pPr>
      <w:r>
        <w:rPr>
          <w:rFonts w:hint="eastAsia" w:ascii="黑体" w:hAnsi="黑体" w:eastAsia="黑体" w:cs="黑体"/>
          <w:b/>
        </w:rPr>
        <w:t>四、发电厂（站）和电网经营企业（2家）</w:t>
      </w:r>
    </w:p>
    <w:p>
      <w:pPr>
        <w:spacing w:line="560" w:lineRule="exact"/>
        <w:ind w:firstLine="640" w:firstLineChars="200"/>
        <w:jc w:val="left"/>
        <w:rPr>
          <w:rFonts w:hint="eastAsia" w:ascii="仿宋" w:hAnsi="仿宋" w:eastAsia="仿宋" w:cs="仿宋"/>
        </w:rPr>
      </w:pPr>
      <w:r>
        <w:rPr>
          <w:rFonts w:hint="eastAsia" w:ascii="仿宋" w:hAnsi="仿宋" w:eastAsia="仿宋" w:cs="仿宋"/>
        </w:rPr>
        <w:t>吉林省瞻榆风电资产经营管理有限公司、吉林昌盛500KV变电站</w:t>
      </w:r>
    </w:p>
    <w:p>
      <w:pPr>
        <w:spacing w:line="560" w:lineRule="exact"/>
        <w:ind w:firstLine="643" w:firstLineChars="200"/>
        <w:jc w:val="left"/>
        <w:rPr>
          <w:rFonts w:hint="eastAsia" w:ascii="黑体" w:hAnsi="黑体" w:eastAsia="黑体" w:cs="黑体"/>
          <w:b/>
        </w:rPr>
      </w:pPr>
      <w:r>
        <w:rPr>
          <w:rFonts w:hint="eastAsia" w:ascii="黑体" w:hAnsi="黑体" w:eastAsia="黑体" w:cs="黑体"/>
          <w:b/>
        </w:rPr>
        <w:t>五、易燃易爆危险品的生产、储存、装卸、供应、销售单位（68家）</w:t>
      </w:r>
    </w:p>
    <w:p>
      <w:pPr>
        <w:numPr>
          <w:ilvl w:val="0"/>
          <w:numId w:val="6"/>
        </w:numPr>
        <w:spacing w:line="560" w:lineRule="exact"/>
        <w:rPr>
          <w:rFonts w:hint="eastAsia" w:ascii="仿宋" w:hAnsi="仿宋" w:eastAsia="仿宋" w:cs="仿宋"/>
          <w:b/>
          <w:bCs/>
        </w:rPr>
      </w:pPr>
      <w:r>
        <w:rPr>
          <w:rFonts w:hint="eastAsia" w:ascii="仿宋" w:hAnsi="仿宋" w:eastAsia="仿宋" w:cs="仿宋"/>
          <w:b/>
          <w:bCs/>
        </w:rPr>
        <w:t>易燃易爆气体和液体的灌装站、调压站（1）</w:t>
      </w:r>
    </w:p>
    <w:p>
      <w:pPr>
        <w:spacing w:line="560" w:lineRule="exact"/>
        <w:ind w:firstLine="640" w:firstLineChars="200"/>
        <w:rPr>
          <w:rFonts w:hint="eastAsia" w:ascii="仿宋" w:hAnsi="仿宋" w:eastAsia="仿宋" w:cs="仿宋"/>
        </w:rPr>
      </w:pPr>
      <w:r>
        <w:rPr>
          <w:rFonts w:hint="eastAsia" w:ascii="仿宋" w:hAnsi="仿宋" w:eastAsia="仿宋" w:cs="仿宋"/>
        </w:rPr>
        <w:t>通榆县大地燃气有限责任公司（苏公坨乔农嘉园燃气罐）</w:t>
      </w:r>
    </w:p>
    <w:p>
      <w:pPr>
        <w:spacing w:line="560" w:lineRule="exact"/>
        <w:ind w:left="720"/>
        <w:rPr>
          <w:rFonts w:hint="eastAsia" w:ascii="仿宋" w:hAnsi="仿宋" w:eastAsia="仿宋" w:cs="仿宋"/>
        </w:rPr>
      </w:pPr>
      <w:r>
        <w:rPr>
          <w:rFonts w:hint="eastAsia" w:ascii="仿宋" w:hAnsi="仿宋" w:eastAsia="仿宋" w:cs="仿宋"/>
          <w:b/>
          <w:bCs/>
        </w:rPr>
        <w:t>2、储存易燃易爆危险品的专用仓库（堆场、储罐场所）</w:t>
      </w:r>
      <w:r>
        <w:rPr>
          <w:rFonts w:hint="eastAsia" w:ascii="仿宋" w:hAnsi="仿宋" w:eastAsia="仿宋" w:cs="仿宋"/>
        </w:rPr>
        <w:t>（1）</w:t>
      </w:r>
    </w:p>
    <w:p>
      <w:pPr>
        <w:spacing w:line="560" w:lineRule="exact"/>
        <w:ind w:firstLine="640" w:firstLineChars="200"/>
        <w:rPr>
          <w:rFonts w:hint="eastAsia" w:ascii="仿宋" w:hAnsi="仿宋" w:eastAsia="仿宋" w:cs="仿宋"/>
        </w:rPr>
      </w:pPr>
      <w:r>
        <w:rPr>
          <w:rFonts w:hint="eastAsia" w:ascii="仿宋" w:hAnsi="仿宋" w:eastAsia="仿宋" w:cs="仿宋"/>
        </w:rPr>
        <w:t>通榆县鑫域米业有限公司</w:t>
      </w:r>
    </w:p>
    <w:p>
      <w:pPr>
        <w:spacing w:line="560" w:lineRule="exact"/>
        <w:ind w:left="720"/>
        <w:rPr>
          <w:rFonts w:hint="eastAsia" w:ascii="仿宋" w:hAnsi="仿宋" w:eastAsia="仿宋" w:cs="仿宋"/>
          <w:b/>
          <w:bCs/>
        </w:rPr>
      </w:pPr>
      <w:r>
        <w:rPr>
          <w:rFonts w:hint="eastAsia" w:ascii="仿宋" w:hAnsi="仿宋" w:eastAsia="仿宋" w:cs="仿宋"/>
          <w:b/>
          <w:bCs/>
        </w:rPr>
        <w:t>3、汽车加油站、加气站，液化石油气供应站（66）</w:t>
      </w:r>
    </w:p>
    <w:p>
      <w:pPr>
        <w:spacing w:line="560" w:lineRule="exact"/>
        <w:ind w:firstLine="640" w:firstLineChars="200"/>
        <w:jc w:val="left"/>
        <w:rPr>
          <w:rFonts w:hint="eastAsia" w:ascii="仿宋" w:hAnsi="仿宋" w:eastAsia="仿宋" w:cs="仿宋"/>
        </w:rPr>
      </w:pPr>
      <w:r>
        <w:rPr>
          <w:rFonts w:hint="eastAsia" w:ascii="仿宋" w:hAnsi="仿宋" w:eastAsia="仿宋" w:cs="仿宋"/>
        </w:rPr>
        <w:t>吉高服务区管理有限公司通榆兴隆山服务区北加油站、吉高服务区管理有限公司长春岭服务区东加油站、吉高服务区管理有限公司通榆服务区南加油站、吉高服务区管理有限公司通榆服务区北加油站、吉高服务区管理有限公司通榆兴隆山服务区南加油站、吉高服务区管理有限公司长春岭服务区西加油站、通榆县轻工液化石油气站、通榆港华天然气加气有限公司、通榆县轻工液化石油气站瞻榆分站、通榆县大地燃气有限责任公司、荣林车用燃气股份有限公司、通榆县北关加油站、通榆县天运加油站、通榆县中海加油站、通榆县天意加油站、通榆县双岗镇中园加油站、通榆县双岗镇长虹加油站、通榆县鸿兴镇鸿阳加油站、通榆县鸿兴镇中化加油站、通榆县八面光辉加油站、通榆县什花道乡通什油城、通榆县兴泰加油站、通榆县向海乡城海加油站、通榆县向海乡四井子四通加油站、通榆县新兴乡全顺加油站、通榆县乌兰花镇立峰加油站、通榆县兴隆山镇达雨加油站、通榆县同发牧场同达加油站、通榆县新华顺通加油站、通榆县团结长江加油站、通榆县新发乡立鑫加油站、通榆县苏公坨乡顺达加油站、通榆县边昭镇昭合加油站、通榆县瞻榆镇平安加油站、通榆县同发乡冠隆加油站、通榆县兴隆山镇冠维加油站、通榆县乌兰花镇冠通加油站、通榆县敖九社加油站、通榆金山加油站、通榆县中炼加油站、通榆县洪源加油加气站、通榆县汇程油气有限公司、中国石油天然气股份有限公司吉林白城销售分公司通榆经营处北郊加油站、中国石油天然气股份有限公司吉林白城销售分公司通榆经营处四井子加油站、中国石油天然气股份有限公司吉林白城销售分公司通榆经营处新兴加油站、中国石油天然气股份有限公司吉林白城销售分公司通榆经营处团结加油站、中国石油天然气股份有限公司吉林白城销售分公司通榆经营处边昭加油站、中国石油天然气股份有限公司吉林白城销售分公司通榆经营处包拉温都加油站、中国石油天然气股份有限公司吉林白城销售分公司通榆经营处双岗加油站、中国石油天然气股份有限公司吉林白城销售分公司通榆经营处苏公坨加油站、中国石油天然气股份有限公司吉林白城销售分公司通榆经营处瞻榆加油站、中国石油天然气股份有限公司吉林白城销售分公司通榆经营处乌兰花加油站、中国石油天然气股份有限公司吉林白城销售分公司通榆经营处同发加油站、中国石油天然气股份有限公司吉林白城销售分公司通榆经营处八面加油站、中国石油天然气股份有限公司吉林白城销售分公司通榆经营处通榆加油站、中国石油天然气股份有限公司吉林白城销售分公司通榆经营处兴隆山加油站、中国石油天然气股份有限公司吉林白城销售分公司通榆经营处什花道加油站、中国石油天然气股份有限公司吉林白城销售分公司通榆经营处鸿兴加油站、中国石油天然气股份有限公司吉林白城销售分公司通榆经营处铁西加油站、中国石油天然气股份有限公司吉林白城销售分公司通榆经营处开通加油站、中国石油天然气股份有限公司吉林白城销售分公司通榆经营处新华加油站、中国石油天然气股份有限公司吉林白城销售分公司通榆经营处向海加油站、中国石油天然气股份有限公司吉林白城销售分公司通榆经营处联达加油站、通榆县大地燃气有限责任公司（边昭镇）、通榆县康和加油站、通榆县亿达加油站</w:t>
      </w:r>
    </w:p>
    <w:p>
      <w:pPr>
        <w:spacing w:line="560" w:lineRule="exact"/>
        <w:ind w:firstLine="643" w:firstLineChars="200"/>
        <w:jc w:val="left"/>
        <w:rPr>
          <w:rFonts w:hint="eastAsia" w:ascii="黑体" w:hAnsi="黑体" w:eastAsia="黑体" w:cs="黑体"/>
          <w:b/>
        </w:rPr>
      </w:pPr>
      <w:r>
        <w:rPr>
          <w:rFonts w:hint="eastAsia" w:ascii="黑体" w:hAnsi="黑体" w:eastAsia="黑体" w:cs="黑体"/>
          <w:b/>
        </w:rPr>
        <w:t>六、重要的科研单位</w:t>
      </w:r>
    </w:p>
    <w:p>
      <w:pPr>
        <w:spacing w:line="560" w:lineRule="exact"/>
        <w:ind w:firstLine="643" w:firstLineChars="200"/>
        <w:jc w:val="left"/>
        <w:rPr>
          <w:rFonts w:hint="eastAsia" w:ascii="黑体" w:hAnsi="黑体" w:eastAsia="黑体" w:cs="黑体"/>
          <w:b/>
        </w:rPr>
      </w:pPr>
      <w:r>
        <w:rPr>
          <w:rFonts w:hint="eastAsia" w:ascii="黑体" w:hAnsi="黑体" w:eastAsia="黑体" w:cs="黑体"/>
          <w:b/>
        </w:rPr>
        <w:t>七、高层公共建筑、地下铁道、地下观光隧道、粮、棉、木材、百货等物资仓库和堆场（5家）</w:t>
      </w:r>
    </w:p>
    <w:p>
      <w:pPr>
        <w:spacing w:line="560" w:lineRule="exact"/>
        <w:ind w:firstLine="643" w:firstLineChars="200"/>
        <w:rPr>
          <w:rFonts w:hint="eastAsia" w:ascii="仿宋" w:hAnsi="仿宋" w:eastAsia="仿宋" w:cs="仿宋"/>
          <w:b/>
          <w:bCs/>
        </w:rPr>
      </w:pPr>
      <w:r>
        <w:rPr>
          <w:rFonts w:hint="eastAsia" w:ascii="仿宋" w:hAnsi="仿宋" w:eastAsia="仿宋" w:cs="仿宋"/>
          <w:b/>
          <w:bCs/>
        </w:rPr>
        <w:t>1、国家储备粮库和总储量在10000吨以上的其他粮库（5）</w:t>
      </w:r>
    </w:p>
    <w:p>
      <w:pPr>
        <w:ind w:firstLine="640" w:firstLineChars="200"/>
        <w:rPr>
          <w:rFonts w:hint="eastAsia" w:ascii="仿宋" w:hAnsi="仿宋" w:eastAsia="仿宋" w:cs="仿宋"/>
        </w:rPr>
      </w:pPr>
      <w:r>
        <w:rPr>
          <w:rFonts w:hint="eastAsia" w:ascii="仿宋" w:hAnsi="仿宋" w:eastAsia="仿宋" w:cs="仿宋"/>
        </w:rPr>
        <w:t>中国华粮粮食储备库有限公司、中央储备粮通榆直属库有限公司、中央储备粮通榆直属库有限公司八面分库、通榆县海燕粮贸有限公司、吉林向海农业生态科技有限公司</w:t>
      </w:r>
    </w:p>
    <w:p>
      <w:pPr>
        <w:numPr>
          <w:ilvl w:val="0"/>
          <w:numId w:val="7"/>
        </w:numPr>
        <w:spacing w:line="560" w:lineRule="exact"/>
        <w:ind w:left="0" w:firstLine="723" w:firstLineChars="225"/>
        <w:jc w:val="left"/>
        <w:rPr>
          <w:rFonts w:hint="eastAsia" w:ascii="黑体" w:hAnsi="黑体" w:eastAsia="黑体" w:cs="黑体"/>
          <w:b/>
        </w:rPr>
      </w:pPr>
      <w:r>
        <w:rPr>
          <w:rFonts w:hint="eastAsia" w:ascii="黑体" w:hAnsi="黑体" w:eastAsia="黑体" w:cs="黑体"/>
          <w:b/>
        </w:rPr>
        <w:t>其他发生火灾可能性较大以及一旦发生火灾可能造成人员重大伤亡或者财产重大损失的单位（16家）</w:t>
      </w:r>
    </w:p>
    <w:p>
      <w:pPr>
        <w:spacing w:line="560" w:lineRule="exact"/>
        <w:ind w:firstLine="643" w:firstLineChars="200"/>
        <w:rPr>
          <w:rFonts w:hint="eastAsia" w:ascii="仿宋" w:hAnsi="仿宋" w:eastAsia="仿宋" w:cs="仿宋"/>
        </w:rPr>
      </w:pPr>
      <w:r>
        <w:rPr>
          <w:rFonts w:hint="eastAsia" w:ascii="仿宋" w:hAnsi="仿宋" w:eastAsia="仿宋" w:cs="仿宋"/>
          <w:b/>
          <w:bCs/>
        </w:rPr>
        <w:t>1、固定资产（建筑、设备、原材料等）价值在5000万元以上的电子、机械、汽车、客车、机车、钢铁、造船、烟草、航空、航天、民航、医药、造纸、纺织、木器、建筑等企业（9）</w:t>
      </w:r>
    </w:p>
    <w:p>
      <w:pPr>
        <w:spacing w:line="560" w:lineRule="exact"/>
        <w:ind w:firstLine="640" w:firstLineChars="200"/>
        <w:rPr>
          <w:rFonts w:hint="eastAsia" w:ascii="仿宋" w:hAnsi="仿宋" w:eastAsia="仿宋" w:cs="仿宋"/>
          <w:color w:val="FF0000"/>
        </w:rPr>
      </w:pPr>
      <w:r>
        <w:rPr>
          <w:rFonts w:hint="eastAsia" w:ascii="仿宋" w:hAnsi="仿宋" w:eastAsia="仿宋" w:cs="仿宋"/>
        </w:rPr>
        <w:t>通榆三一风电装备技术有限责任公司、通榆县鑫源纺织有限公司、通榆县益发合大豆制品有限责任公司、吉林黄栀花药业有限公司、通榆县善能新能源有限公司、吉林通榆牧原农牧有限公司（饲料厂）、吉林省吉运农牧业股份有限公司、通榆县天意农产品经贸有限责任公司、通榆县吉鹤村酒业酿造有限公司</w:t>
      </w:r>
    </w:p>
    <w:p>
      <w:pPr>
        <w:spacing w:line="560" w:lineRule="exact"/>
        <w:ind w:firstLine="643" w:firstLineChars="200"/>
        <w:rPr>
          <w:rFonts w:hint="eastAsia" w:ascii="仿宋" w:hAnsi="仿宋" w:eastAsia="仿宋" w:cs="仿宋"/>
          <w:b/>
          <w:bCs/>
        </w:rPr>
      </w:pPr>
      <w:r>
        <w:rPr>
          <w:rFonts w:hint="eastAsia" w:ascii="仿宋" w:hAnsi="仿宋" w:eastAsia="仿宋" w:cs="仿宋"/>
          <w:b/>
          <w:bCs/>
        </w:rPr>
        <w:t>2、支行级以上的银行和营业面积在500平方米以上的银行分理处（7）</w:t>
      </w:r>
    </w:p>
    <w:p>
      <w:pPr>
        <w:ind w:firstLine="640" w:firstLineChars="200"/>
        <w:rPr>
          <w:rFonts w:hint="eastAsia" w:ascii="仿宋" w:hAnsi="仿宋" w:eastAsia="仿宋" w:cs="仿宋"/>
        </w:rPr>
      </w:pPr>
      <w:r>
        <w:rPr>
          <w:rFonts w:hint="eastAsia" w:ascii="仿宋" w:hAnsi="仿宋" w:eastAsia="仿宋" w:cs="仿宋"/>
        </w:rPr>
        <w:t>中国工商银行白城支行通榆县支行、中国农业银行股份有限公司通榆县支行、通榆县农村商业银行股份有限公司、中国人民银行通榆县支行、中国建设银行股份有限公司通榆支行、中国邮政储蓄银行股份有限公司通榆县支行、中国农业发展银行通榆县支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3FA8A"/>
    <w:multiLevelType w:val="singleLevel"/>
    <w:tmpl w:val="98C3FA8A"/>
    <w:lvl w:ilvl="0" w:tentative="0">
      <w:start w:val="2"/>
      <w:numFmt w:val="decimal"/>
      <w:suff w:val="nothing"/>
      <w:lvlText w:val="%1、"/>
      <w:lvlJc w:val="left"/>
    </w:lvl>
  </w:abstractNum>
  <w:abstractNum w:abstractNumId="1">
    <w:nsid w:val="C1522517"/>
    <w:multiLevelType w:val="singleLevel"/>
    <w:tmpl w:val="C1522517"/>
    <w:lvl w:ilvl="0" w:tentative="0">
      <w:start w:val="2"/>
      <w:numFmt w:val="decimal"/>
      <w:lvlText w:val="(%1)"/>
      <w:lvlJc w:val="left"/>
      <w:pPr>
        <w:tabs>
          <w:tab w:val="left" w:pos="312"/>
        </w:tabs>
      </w:pPr>
    </w:lvl>
  </w:abstractNum>
  <w:abstractNum w:abstractNumId="2">
    <w:nsid w:val="CA1800DD"/>
    <w:multiLevelType w:val="singleLevel"/>
    <w:tmpl w:val="CA1800DD"/>
    <w:lvl w:ilvl="0" w:tentative="0">
      <w:start w:val="2"/>
      <w:numFmt w:val="decimal"/>
      <w:suff w:val="nothing"/>
      <w:lvlText w:val="%1、"/>
      <w:lvlJc w:val="left"/>
    </w:lvl>
  </w:abstractNum>
  <w:abstractNum w:abstractNumId="3">
    <w:nsid w:val="06C56C70"/>
    <w:multiLevelType w:val="multilevel"/>
    <w:tmpl w:val="06C56C70"/>
    <w:lvl w:ilvl="0" w:tentative="0">
      <w:start w:val="1"/>
      <w:numFmt w:val="japaneseCounting"/>
      <w:lvlText w:val="%1、"/>
      <w:lvlJc w:val="left"/>
      <w:pPr>
        <w:ind w:left="1523" w:hanging="7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4">
    <w:nsid w:val="2B67BDBD"/>
    <w:multiLevelType w:val="singleLevel"/>
    <w:tmpl w:val="2B67BDBD"/>
    <w:lvl w:ilvl="0" w:tentative="0">
      <w:start w:val="1"/>
      <w:numFmt w:val="chineseCounting"/>
      <w:suff w:val="nothing"/>
      <w:lvlText w:val="%1、"/>
      <w:lvlJc w:val="left"/>
      <w:pPr>
        <w:ind w:left="993" w:firstLine="0"/>
      </w:pPr>
      <w:rPr>
        <w:rFonts w:hint="eastAsia"/>
      </w:rPr>
    </w:lvl>
  </w:abstractNum>
  <w:abstractNum w:abstractNumId="5">
    <w:nsid w:val="4E590464"/>
    <w:multiLevelType w:val="singleLevel"/>
    <w:tmpl w:val="4E590464"/>
    <w:lvl w:ilvl="0" w:tentative="0">
      <w:start w:val="3"/>
      <w:numFmt w:val="chineseCounting"/>
      <w:suff w:val="nothing"/>
      <w:lvlText w:val="（%1）"/>
      <w:lvlJc w:val="left"/>
      <w:rPr>
        <w:rFonts w:hint="eastAsia"/>
      </w:rPr>
    </w:lvl>
  </w:abstractNum>
  <w:abstractNum w:abstractNumId="6">
    <w:nsid w:val="6FB829C1"/>
    <w:multiLevelType w:val="multilevel"/>
    <w:tmpl w:val="6FB829C1"/>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5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2022-04-01T07:08:37Z</dcterms:created>
  <dc:creator>Administrator</dc:creator>
  <cp:lastModifiedBy>鹏飞</cp:lastModifiedBy>
  <dcterms:modified xsi:type="dcterms:W3CDTF">2022-04-01T07:15:24Z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EA707D736A184A4F8493114860ED64FC</vt:lpwstr>
  </property>
</Properties>
</file>