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heme="majorEastAsia" w:hAnsiTheme="majorEastAsia" w:eastAsiaTheme="majorEastAsia" w:cstheme="majorEastAsia"/>
          <w:b/>
          <w:bCs/>
          <w:sz w:val="32"/>
          <w:szCs w:val="32"/>
          <w:lang w:val="en-US" w:eastAsia="zh-CN"/>
        </w:rPr>
      </w:pPr>
      <w:bookmarkStart w:id="0" w:name="_Toc24724706"/>
      <w:r>
        <w:rPr>
          <w:rFonts w:hint="eastAsia" w:asciiTheme="majorEastAsia" w:hAnsiTheme="majorEastAsia" w:eastAsiaTheme="majorEastAsia" w:cstheme="majorEastAsia"/>
          <w:b/>
          <w:bCs/>
          <w:sz w:val="32"/>
          <w:szCs w:val="32"/>
          <w:lang w:eastAsia="zh-CN"/>
        </w:rPr>
        <w:t>（</w:t>
      </w:r>
      <w:r>
        <w:rPr>
          <w:rFonts w:hint="eastAsia" w:asciiTheme="majorEastAsia" w:hAnsiTheme="majorEastAsia" w:eastAsiaTheme="majorEastAsia" w:cstheme="majorEastAsia"/>
          <w:b/>
          <w:bCs/>
          <w:sz w:val="32"/>
          <w:szCs w:val="32"/>
          <w:lang w:val="en-US" w:eastAsia="zh-CN"/>
        </w:rPr>
        <w:t>三）义务</w:t>
      </w:r>
      <w:r>
        <w:rPr>
          <w:rFonts w:hint="eastAsia" w:asciiTheme="majorEastAsia" w:hAnsiTheme="majorEastAsia" w:eastAsiaTheme="majorEastAsia" w:cstheme="majorEastAsia"/>
          <w:b/>
          <w:bCs/>
          <w:sz w:val="32"/>
          <w:szCs w:val="32"/>
        </w:rPr>
        <w:t>教育领域基层政务公开标准目录</w:t>
      </w:r>
      <w:bookmarkEnd w:id="0"/>
      <w:r>
        <w:rPr>
          <w:rFonts w:hint="eastAsia" w:asciiTheme="majorEastAsia" w:hAnsiTheme="majorEastAsia" w:eastAsiaTheme="majorEastAsia" w:cstheme="majorEastAsia"/>
          <w:b/>
          <w:bCs/>
          <w:sz w:val="32"/>
          <w:szCs w:val="32"/>
          <w:lang w:eastAsia="zh-CN"/>
        </w:rPr>
        <w:t>（</w:t>
      </w:r>
      <w:r>
        <w:rPr>
          <w:rFonts w:hint="eastAsia" w:asciiTheme="majorEastAsia" w:hAnsiTheme="majorEastAsia" w:eastAsiaTheme="majorEastAsia" w:cstheme="majorEastAsia"/>
          <w:b/>
          <w:bCs/>
          <w:sz w:val="32"/>
          <w:szCs w:val="32"/>
          <w:lang w:val="en-US" w:eastAsia="zh-CN"/>
        </w:rPr>
        <w:t>2020年版）</w:t>
      </w:r>
    </w:p>
    <w:tbl>
      <w:tblPr>
        <w:tblStyle w:val="5"/>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1440" w:type="dxa"/>
            <w:gridSpan w:val="2"/>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公开事项</w:t>
            </w:r>
          </w:p>
        </w:tc>
        <w:tc>
          <w:tcPr>
            <w:tcW w:w="2340" w:type="dxa"/>
            <w:vMerge w:val="restart"/>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公开内容（要素）</w:t>
            </w:r>
          </w:p>
        </w:tc>
        <w:tc>
          <w:tcPr>
            <w:tcW w:w="2520" w:type="dxa"/>
            <w:vMerge w:val="restart"/>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公开依据</w:t>
            </w:r>
          </w:p>
        </w:tc>
        <w:tc>
          <w:tcPr>
            <w:tcW w:w="1620" w:type="dxa"/>
            <w:vMerge w:val="restart"/>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公开时限</w:t>
            </w:r>
          </w:p>
        </w:tc>
        <w:tc>
          <w:tcPr>
            <w:tcW w:w="900" w:type="dxa"/>
            <w:vMerge w:val="restart"/>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公开主体</w:t>
            </w:r>
          </w:p>
        </w:tc>
        <w:tc>
          <w:tcPr>
            <w:tcW w:w="2160" w:type="dxa"/>
            <w:vMerge w:val="restart"/>
            <w:shd w:val="clear" w:color="auto" w:fill="auto"/>
            <w:noWrap w:val="0"/>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公开渠道和载体</w:t>
            </w:r>
          </w:p>
        </w:tc>
        <w:tc>
          <w:tcPr>
            <w:tcW w:w="1249" w:type="dxa"/>
            <w:gridSpan w:val="2"/>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公开对象</w:t>
            </w:r>
          </w:p>
        </w:tc>
        <w:tc>
          <w:tcPr>
            <w:tcW w:w="1271" w:type="dxa"/>
            <w:gridSpan w:val="3"/>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公开方式</w:t>
            </w:r>
          </w:p>
        </w:tc>
        <w:tc>
          <w:tcPr>
            <w:tcW w:w="1440" w:type="dxa"/>
            <w:gridSpan w:val="2"/>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widowControl/>
              <w:jc w:val="left"/>
              <w:rPr>
                <w:rFonts w:hint="eastAsia" w:asciiTheme="minorEastAsia" w:hAnsiTheme="minorEastAsia" w:eastAsiaTheme="minorEastAsia" w:cstheme="minorEastAsia"/>
                <w:color w:val="000000"/>
                <w:kern w:val="0"/>
                <w:sz w:val="18"/>
                <w:szCs w:val="18"/>
              </w:rPr>
            </w:pPr>
          </w:p>
        </w:tc>
        <w:tc>
          <w:tcPr>
            <w:tcW w:w="540" w:type="dxa"/>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一级事项</w:t>
            </w:r>
          </w:p>
        </w:tc>
        <w:tc>
          <w:tcPr>
            <w:tcW w:w="900" w:type="dxa"/>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二级事项</w:t>
            </w:r>
          </w:p>
        </w:tc>
        <w:tc>
          <w:tcPr>
            <w:tcW w:w="2340" w:type="dxa"/>
            <w:vMerge w:val="continue"/>
            <w:shd w:val="clear" w:color="auto" w:fill="auto"/>
            <w:noWrap w:val="0"/>
            <w:vAlign w:val="center"/>
          </w:tcPr>
          <w:p>
            <w:pPr>
              <w:widowControl/>
              <w:jc w:val="left"/>
              <w:rPr>
                <w:rFonts w:hint="eastAsia" w:asciiTheme="minorEastAsia" w:hAnsiTheme="minorEastAsia" w:eastAsiaTheme="minorEastAsia" w:cstheme="minorEastAsia"/>
                <w:color w:val="000000"/>
                <w:kern w:val="0"/>
                <w:sz w:val="18"/>
                <w:szCs w:val="18"/>
              </w:rPr>
            </w:pPr>
          </w:p>
        </w:tc>
        <w:tc>
          <w:tcPr>
            <w:tcW w:w="2520" w:type="dxa"/>
            <w:vMerge w:val="continue"/>
            <w:shd w:val="clear" w:color="auto" w:fill="auto"/>
            <w:noWrap w:val="0"/>
            <w:vAlign w:val="center"/>
          </w:tcPr>
          <w:p>
            <w:pPr>
              <w:widowControl/>
              <w:jc w:val="left"/>
              <w:rPr>
                <w:rFonts w:hint="eastAsia" w:asciiTheme="minorEastAsia" w:hAnsiTheme="minorEastAsia" w:eastAsiaTheme="minorEastAsia" w:cstheme="minorEastAsia"/>
                <w:color w:val="000000"/>
                <w:kern w:val="0"/>
                <w:sz w:val="18"/>
                <w:szCs w:val="18"/>
              </w:rPr>
            </w:pPr>
          </w:p>
        </w:tc>
        <w:tc>
          <w:tcPr>
            <w:tcW w:w="1620" w:type="dxa"/>
            <w:vMerge w:val="continue"/>
            <w:shd w:val="clear" w:color="auto" w:fill="auto"/>
            <w:noWrap w:val="0"/>
            <w:vAlign w:val="center"/>
          </w:tcPr>
          <w:p>
            <w:pPr>
              <w:widowControl/>
              <w:jc w:val="left"/>
              <w:rPr>
                <w:rFonts w:hint="eastAsia" w:asciiTheme="minorEastAsia" w:hAnsiTheme="minorEastAsia" w:eastAsiaTheme="minorEastAsia" w:cstheme="minorEastAsia"/>
                <w:color w:val="000000"/>
                <w:kern w:val="0"/>
                <w:sz w:val="18"/>
                <w:szCs w:val="18"/>
              </w:rPr>
            </w:pPr>
          </w:p>
        </w:tc>
        <w:tc>
          <w:tcPr>
            <w:tcW w:w="900" w:type="dxa"/>
            <w:vMerge w:val="continue"/>
            <w:shd w:val="clear" w:color="auto" w:fill="auto"/>
            <w:noWrap w:val="0"/>
            <w:vAlign w:val="center"/>
          </w:tcPr>
          <w:p>
            <w:pPr>
              <w:widowControl/>
              <w:jc w:val="left"/>
              <w:rPr>
                <w:rFonts w:hint="eastAsia" w:asciiTheme="minorEastAsia" w:hAnsiTheme="minorEastAsia" w:eastAsiaTheme="minorEastAsia" w:cstheme="minorEastAsia"/>
                <w:color w:val="000000"/>
                <w:kern w:val="0"/>
                <w:sz w:val="18"/>
                <w:szCs w:val="18"/>
              </w:rPr>
            </w:pPr>
          </w:p>
        </w:tc>
        <w:tc>
          <w:tcPr>
            <w:tcW w:w="2160" w:type="dxa"/>
            <w:vMerge w:val="continue"/>
            <w:shd w:val="clear" w:color="auto" w:fill="auto"/>
            <w:noWrap w:val="0"/>
            <w:vAlign w:val="center"/>
          </w:tcPr>
          <w:p>
            <w:pPr>
              <w:widowControl/>
              <w:jc w:val="left"/>
              <w:rPr>
                <w:rFonts w:hint="eastAsia" w:asciiTheme="minorEastAsia" w:hAnsiTheme="minorEastAsia" w:eastAsiaTheme="minorEastAsia" w:cstheme="minorEastAsia"/>
                <w:kern w:val="0"/>
                <w:sz w:val="18"/>
                <w:szCs w:val="18"/>
              </w:rPr>
            </w:pPr>
          </w:p>
        </w:tc>
        <w:tc>
          <w:tcPr>
            <w:tcW w:w="540" w:type="dxa"/>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全社会</w:t>
            </w:r>
          </w:p>
        </w:tc>
        <w:tc>
          <w:tcPr>
            <w:tcW w:w="709" w:type="dxa"/>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特定群众</w:t>
            </w:r>
          </w:p>
        </w:tc>
        <w:tc>
          <w:tcPr>
            <w:tcW w:w="551" w:type="dxa"/>
            <w:gridSpan w:val="2"/>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主动</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依申请公开</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县级</w:t>
            </w:r>
          </w:p>
        </w:tc>
        <w:tc>
          <w:tcPr>
            <w:tcW w:w="720" w:type="dxa"/>
            <w:shd w:val="clear" w:color="auto" w:fill="auto"/>
            <w:noWrap w:val="0"/>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540" w:type="dxa"/>
            <w:vMerge w:val="restart"/>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政策</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文件</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教育法律</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《教育法》、《义务教育法》、《民办教育促进法》、《教师法》、《国家通用语言文字法》</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w:t>
            </w:r>
            <w:bookmarkStart w:id="1" w:name="_GoBack"/>
            <w:bookmarkEnd w:id="1"/>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规范性文件</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部门和地方政府规章、各类教育政策文件</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540" w:type="dxa"/>
            <w:vMerge w:val="restart"/>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教育概况</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教育事业发展主要情况</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教育事业发展主要情况</w:t>
            </w:r>
          </w:p>
        </w:tc>
        <w:tc>
          <w:tcPr>
            <w:tcW w:w="2520" w:type="dxa"/>
            <w:vMerge w:val="restart"/>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《统计法》、《政府信息公开条例》、《教育统计管理规定》</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教育统计数据</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学校数据、在校生数据、教师数据、办学条件数据、县级汇总数据</w:t>
            </w:r>
          </w:p>
        </w:tc>
        <w:tc>
          <w:tcPr>
            <w:tcW w:w="252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义务教育学校名录</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学校名称、学校地址、办学层次、办学类型、办公电话</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540" w:type="dxa"/>
            <w:vMerge w:val="restart"/>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民办学校信息</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民办学校办学基本信息</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学校名称、办学许可证、办学规模、联系方式</w:t>
            </w:r>
          </w:p>
        </w:tc>
        <w:tc>
          <w:tcPr>
            <w:tcW w:w="2520" w:type="dxa"/>
            <w:vMerge w:val="restart"/>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《民办教育促进法》、《政府信息公开条例》、《国务院关于鼓励社会力量兴办教育 促进民办教育健康发展的若干意见》</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民办学校设立、变更、终止等事项行政审批、备案信息</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法律依据、办理流程、审批结果</w:t>
            </w:r>
          </w:p>
        </w:tc>
        <w:tc>
          <w:tcPr>
            <w:tcW w:w="252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日常监管信息</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年检指标、年检程序、年检结果</w:t>
            </w:r>
          </w:p>
        </w:tc>
        <w:tc>
          <w:tcPr>
            <w:tcW w:w="252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财务信息</w:t>
            </w:r>
          </w:p>
        </w:tc>
        <w:tc>
          <w:tcPr>
            <w:tcW w:w="900" w:type="dxa"/>
            <w:shd w:val="clear" w:color="auto" w:fill="auto"/>
            <w:noWrap/>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财务信息</w:t>
            </w:r>
          </w:p>
        </w:tc>
        <w:tc>
          <w:tcPr>
            <w:tcW w:w="2340" w:type="dxa"/>
            <w:shd w:val="clear" w:color="auto" w:fill="auto"/>
            <w:noWrap w:val="0"/>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财务管理及监督办法、</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年度经费预决算信息、收费项目及收费标准</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县级、乡级教育部门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540" w:type="dxa"/>
            <w:vMerge w:val="restart"/>
            <w:shd w:val="clear" w:color="auto" w:fill="auto"/>
            <w:noWrap/>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招生管理</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学校介绍</w:t>
            </w:r>
          </w:p>
        </w:tc>
        <w:tc>
          <w:tcPr>
            <w:tcW w:w="234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办学性质、办学地点、办学规模、办学基本条件、联系方式等</w:t>
            </w:r>
          </w:p>
        </w:tc>
        <w:tc>
          <w:tcPr>
            <w:tcW w:w="2520" w:type="dxa"/>
            <w:vMerge w:val="restart"/>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《政府信息公开条例》、《教育部关于进一步做好小学升入初中免试就近入学工作的实施意见》、《教育部关于推进中小学信息公开工作的意见》</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县级、乡级教育部门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gridSpan w:val="2"/>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sz w:val="18"/>
                <w:szCs w:val="18"/>
              </w:rPr>
            </w:pPr>
          </w:p>
        </w:tc>
        <w:tc>
          <w:tcPr>
            <w:tcW w:w="90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招生政策</w:t>
            </w:r>
          </w:p>
        </w:tc>
        <w:tc>
          <w:tcPr>
            <w:tcW w:w="234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各校招生工作实施方案；随迁子女入学办法；部分适龄儿童或少年延缓入学、休学等特殊需求的政策解读等</w:t>
            </w:r>
          </w:p>
        </w:tc>
        <w:tc>
          <w:tcPr>
            <w:tcW w:w="2520" w:type="dxa"/>
            <w:vMerge w:val="continue"/>
            <w:shd w:val="clear" w:color="auto" w:fill="auto"/>
            <w:noWrap w:val="0"/>
            <w:vAlign w:val="center"/>
          </w:tcPr>
          <w:p>
            <w:pPr>
              <w:rPr>
                <w:rFonts w:hint="eastAsia" w:asciiTheme="minorEastAsia" w:hAnsiTheme="minorEastAsia" w:eastAsiaTheme="minorEastAsia" w:cstheme="minorEastAsia"/>
                <w:sz w:val="18"/>
                <w:szCs w:val="18"/>
              </w:rPr>
            </w:pP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gridSpan w:val="2"/>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540" w:type="dxa"/>
            <w:vMerge w:val="restart"/>
            <w:shd w:val="clear" w:color="auto" w:fill="auto"/>
            <w:noWrap/>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招生管理</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招生计划</w:t>
            </w:r>
          </w:p>
        </w:tc>
        <w:tc>
          <w:tcPr>
            <w:tcW w:w="234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各校本年度招生计划</w:t>
            </w:r>
          </w:p>
        </w:tc>
        <w:tc>
          <w:tcPr>
            <w:tcW w:w="2520" w:type="dxa"/>
            <w:vMerge w:val="restart"/>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《政府信息公开条例》、《教育部关于进一步做好小学升入初中免试就近入学工作的实施意见》《教育部关于推进中小学信息公开工作的意见》</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gridSpan w:val="2"/>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sz w:val="18"/>
                <w:szCs w:val="18"/>
              </w:rPr>
            </w:pPr>
          </w:p>
        </w:tc>
        <w:tc>
          <w:tcPr>
            <w:tcW w:w="90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招生范围</w:t>
            </w:r>
          </w:p>
        </w:tc>
        <w:tc>
          <w:tcPr>
            <w:tcW w:w="234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招生范围、学区划分详细情况</w:t>
            </w:r>
          </w:p>
        </w:tc>
        <w:tc>
          <w:tcPr>
            <w:tcW w:w="2520" w:type="dxa"/>
            <w:vMerge w:val="continue"/>
            <w:shd w:val="clear" w:color="auto" w:fill="auto"/>
            <w:noWrap w:val="0"/>
            <w:vAlign w:val="center"/>
          </w:tcPr>
          <w:p>
            <w:pPr>
              <w:rPr>
                <w:rFonts w:hint="eastAsia" w:asciiTheme="minorEastAsia" w:hAnsiTheme="minorEastAsia" w:eastAsiaTheme="minorEastAsia" w:cstheme="minorEastAsia"/>
                <w:sz w:val="18"/>
                <w:szCs w:val="18"/>
              </w:rPr>
            </w:pP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gridSpan w:val="2"/>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sz w:val="18"/>
                <w:szCs w:val="18"/>
              </w:rPr>
            </w:pP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招生结果</w:t>
            </w:r>
          </w:p>
        </w:tc>
        <w:tc>
          <w:tcPr>
            <w:tcW w:w="234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各校本年度招生结果</w:t>
            </w:r>
          </w:p>
        </w:tc>
        <w:tc>
          <w:tcPr>
            <w:tcW w:w="2520" w:type="dxa"/>
            <w:vMerge w:val="continue"/>
            <w:shd w:val="clear" w:color="auto" w:fill="auto"/>
            <w:noWrap w:val="0"/>
            <w:vAlign w:val="center"/>
          </w:tcPr>
          <w:p>
            <w:pPr>
              <w:rPr>
                <w:rFonts w:hint="eastAsia" w:asciiTheme="minorEastAsia" w:hAnsiTheme="minorEastAsia" w:eastAsiaTheme="minorEastAsia" w:cstheme="minorEastAsia"/>
                <w:sz w:val="18"/>
                <w:szCs w:val="18"/>
              </w:rPr>
            </w:pP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gridSpan w:val="2"/>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540" w:type="dxa"/>
            <w:vMerge w:val="restart"/>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学生管理</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学籍管理</w:t>
            </w:r>
          </w:p>
        </w:tc>
        <w:tc>
          <w:tcPr>
            <w:tcW w:w="234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区域内义务教育阶段学生休学、复学、转学相关政策及所需材料和办理流程；适龄儿童延缓入学所需材料及办理流程；学籍证明、毕（结）业证书遗失办理学历证明确认</w:t>
            </w:r>
          </w:p>
        </w:tc>
        <w:tc>
          <w:tcPr>
            <w:tcW w:w="252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《义务教育法》、《政府信息公开条例》、《中小学生学籍管理办法》</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gridSpan w:val="2"/>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sz w:val="18"/>
                <w:szCs w:val="18"/>
              </w:rPr>
            </w:pP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义务教育学生资助政策</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统一城乡义务教育“两免一补”政策</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《政府信息公开条例》、《国务院关于进一步完善城乡义务教育经费保障机制的通知》</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县级、乡级教育部门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sz w:val="18"/>
                <w:szCs w:val="18"/>
              </w:rPr>
            </w:pP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学生评优奖励</w:t>
            </w:r>
          </w:p>
        </w:tc>
        <w:tc>
          <w:tcPr>
            <w:tcW w:w="234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省市县“三好学生”“优秀学生干部”评选标准；评比方法；表彰名单等</w:t>
            </w:r>
          </w:p>
        </w:tc>
        <w:tc>
          <w:tcPr>
            <w:tcW w:w="252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《政府信息公开条例》，当地省市县表彰文件</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gridSpan w:val="2"/>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学生管理</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优待政策</w:t>
            </w:r>
          </w:p>
        </w:tc>
        <w:tc>
          <w:tcPr>
            <w:tcW w:w="234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gridSpan w:val="2"/>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540" w:type="dxa"/>
            <w:vMerge w:val="restart"/>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教师管理</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教师培训</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教师培训政策文件、培训项目组织实施通知</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《教育法》、《教师法》、《中小学教师继续教育规定》</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教师资格认定</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教师资格认定申请材料；参加体检时间、医疗机构名单、体检合格标准；认定结果；咨询方式、监督举报方式、常见问题等</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《教师法》、《政府信息公开条例》、《教师资格条例》及实施办法、《教育部关于印发〈教师资格证书管理规定〉的通知》</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教师管理</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教师公开招聘</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教师招聘计划和公告、拟聘用人员名单公示</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教师管理</w:t>
            </w:r>
          </w:p>
        </w:tc>
        <w:tc>
          <w:tcPr>
            <w:tcW w:w="90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行为</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规范</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教师职业行为准则及违规处理办法</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540" w:type="dxa"/>
            <w:vMerge w:val="restart"/>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教师管理</w:t>
            </w:r>
          </w:p>
        </w:tc>
        <w:tc>
          <w:tcPr>
            <w:tcW w:w="900" w:type="dxa"/>
            <w:vMerge w:val="restart"/>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教师评优评先</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优秀教师的表彰、奖励等行政奖励信息公示</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《教师法》、《中共中央 国务院关于全面深化新时代教师队伍建设改革的意见》</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任教30年乡村教师以上教师申请荣誉证书相关政策</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《政府信息公开条例》、《关于做好乡村学校从教30年教师荣誉证书颁发工作的通知》</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教师职称评审</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评审政策、评审通知、学校拟推荐人选名单、评审结果</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、最终结果</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《政府信息公开条例》、《人力资源社会保障部教育部关于印发深化中小学教师职称制度改革的指导意见的通知》</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信息形成（变更）3个工作日内，公示时间不少于7个工作日</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县级、乡级教育部门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教师管理</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乡村教师生活补助</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管理制度、实施方案、实施时间、补助范围、发放对象、补助档次标准、发放情况</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信息形成（变更）3个工作日内；教师申领情况进行常年公示</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Merge w:val="restar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54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重要政策执行情况</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控辍保学</w:t>
            </w:r>
          </w:p>
        </w:tc>
        <w:tc>
          <w:tcPr>
            <w:tcW w:w="234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“一县一策”控辍保学工作方案；年度工作进展情况（含义务教育学生失学、辍学的总体情况，建档立卡家庭贫困学生总体就学情况）</w:t>
            </w:r>
          </w:p>
        </w:tc>
        <w:tc>
          <w:tcPr>
            <w:tcW w:w="252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《政府信息公开条例》、《国务院办公厅关于进一步加强控辍保学提高义务教育巩固水平的通知</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县（市、区）教育部门</w:t>
            </w:r>
          </w:p>
        </w:tc>
        <w:tc>
          <w:tcPr>
            <w:tcW w:w="2160" w:type="dxa"/>
            <w:shd w:val="clear" w:color="auto" w:fill="auto"/>
            <w:noWrap w:val="0"/>
            <w:vAlign w:val="center"/>
          </w:tcPr>
          <w:p>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jc w:val="center"/>
              <w:rPr>
                <w:rFonts w:hint="eastAsia" w:asciiTheme="minorEastAsia" w:hAnsiTheme="minorEastAsia" w:eastAsiaTheme="minorEastAsia" w:cstheme="minorEastAsia"/>
                <w:color w:val="000000"/>
                <w:sz w:val="18"/>
                <w:szCs w:val="18"/>
              </w:rPr>
            </w:pPr>
          </w:p>
        </w:tc>
        <w:tc>
          <w:tcPr>
            <w:tcW w:w="540" w:type="dxa"/>
            <w:vMerge w:val="restart"/>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重要政策执行情况</w:t>
            </w:r>
          </w:p>
        </w:tc>
        <w:tc>
          <w:tcPr>
            <w:tcW w:w="900" w:type="dxa"/>
            <w:vMerge w:val="restart"/>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农村义务教育学生营养改善计划</w:t>
            </w:r>
          </w:p>
        </w:tc>
        <w:tc>
          <w:tcPr>
            <w:tcW w:w="234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有关政策法规、规章、规范性文件；组织机构和职责，举报电话、信箱或电子邮箱</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；供餐企业、托餐家庭名单</w:t>
            </w:r>
          </w:p>
        </w:tc>
        <w:tc>
          <w:tcPr>
            <w:tcW w:w="2520" w:type="dxa"/>
            <w:vMerge w:val="restart"/>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县（市、区）教育部门</w:t>
            </w:r>
          </w:p>
        </w:tc>
        <w:tc>
          <w:tcPr>
            <w:tcW w:w="2160" w:type="dxa"/>
            <w:shd w:val="clear" w:color="auto" w:fill="auto"/>
            <w:noWrap w:val="0"/>
            <w:vAlign w:val="center"/>
          </w:tcPr>
          <w:p>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234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学校食堂饭菜价格、带量食谱；学校膳食委员会名单；学校管理人员陪餐情况；食品安全突发事件应急预案</w:t>
            </w:r>
          </w:p>
        </w:tc>
        <w:tc>
          <w:tcPr>
            <w:tcW w:w="252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实施营养改善计划的试点学校</w:t>
            </w:r>
          </w:p>
        </w:tc>
        <w:tc>
          <w:tcPr>
            <w:tcW w:w="2160" w:type="dxa"/>
            <w:shd w:val="clear" w:color="auto" w:fill="auto"/>
            <w:noWrap w:val="0"/>
            <w:vAlign w:val="center"/>
          </w:tcPr>
          <w:p>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供餐企业（单位）配套管理制度，食品安全责任人、供餐方签约人；食品安全突发事件应急预案</w:t>
            </w:r>
          </w:p>
        </w:tc>
        <w:tc>
          <w:tcPr>
            <w:tcW w:w="252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实施营养改善计划的供餐企业（单位）</w:t>
            </w:r>
          </w:p>
        </w:tc>
        <w:tc>
          <w:tcPr>
            <w:tcW w:w="2160" w:type="dxa"/>
            <w:shd w:val="clear" w:color="auto" w:fill="auto"/>
            <w:noWrap w:val="0"/>
            <w:vAlign w:val="center"/>
          </w:tcPr>
          <w:p>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540" w:type="dxa"/>
            <w:vMerge w:val="restart"/>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教育督导</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机构队伍</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督导部门组成、督学名单、</w:t>
            </w:r>
          </w:p>
        </w:tc>
        <w:tc>
          <w:tcPr>
            <w:tcW w:w="2520" w:type="dxa"/>
            <w:vMerge w:val="restart"/>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《教育督导条例》、《县域义务教育均衡发展督导评估暂行办法》、《县域义务教育优质均衡发展督导评估办法》</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学校督导评估</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年度督导工作计划内容、责任区划分和责任督学名单、责任督学日常督导事项，学校督导评估的办法、指标体系、督导评估报告</w:t>
            </w:r>
          </w:p>
        </w:tc>
        <w:tc>
          <w:tcPr>
            <w:tcW w:w="252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54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90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义务教育均衡发展督导评估</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国务院教育督导委员会对义务教育发展均衡县进行认定的结果、报告</w:t>
            </w:r>
          </w:p>
        </w:tc>
        <w:tc>
          <w:tcPr>
            <w:tcW w:w="2520" w:type="dxa"/>
            <w:vMerge w:val="continue"/>
            <w:shd w:val="clear" w:color="auto" w:fill="auto"/>
            <w:noWrap w:val="0"/>
            <w:vAlign w:val="center"/>
          </w:tcPr>
          <w:p>
            <w:pPr>
              <w:rPr>
                <w:rFonts w:hint="eastAsia" w:asciiTheme="minorEastAsia" w:hAnsiTheme="minorEastAsia" w:eastAsiaTheme="minorEastAsia" w:cstheme="minorEastAsia"/>
                <w:color w:val="000000"/>
                <w:sz w:val="18"/>
                <w:szCs w:val="18"/>
              </w:rPr>
            </w:pP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54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校园安全</w:t>
            </w:r>
          </w:p>
        </w:tc>
        <w:tc>
          <w:tcPr>
            <w:tcW w:w="90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校园安全管理</w:t>
            </w:r>
          </w:p>
        </w:tc>
        <w:tc>
          <w:tcPr>
            <w:tcW w:w="234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信息形成或者变更之日起20个工作日内</w:t>
            </w:r>
          </w:p>
        </w:tc>
        <w:tc>
          <w:tcPr>
            <w:tcW w:w="900" w:type="dxa"/>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县（市、区）教育部门</w:t>
            </w:r>
          </w:p>
        </w:tc>
        <w:tc>
          <w:tcPr>
            <w:tcW w:w="2160" w:type="dxa"/>
            <w:shd w:val="clear" w:color="auto" w:fill="auto"/>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通榆</w:t>
            </w:r>
            <w:r>
              <w:rPr>
                <w:rFonts w:hint="eastAsia" w:asciiTheme="minorEastAsia" w:hAnsiTheme="minorEastAsia" w:eastAsiaTheme="minorEastAsia" w:cstheme="minorEastAsia"/>
                <w:sz w:val="18"/>
                <w:szCs w:val="18"/>
                <w:lang w:eastAsia="zh-CN"/>
              </w:rPr>
              <w:t>教育局</w:t>
            </w:r>
            <w:r>
              <w:rPr>
                <w:rFonts w:hint="eastAsia" w:asciiTheme="minorEastAsia" w:hAnsiTheme="minorEastAsia" w:eastAsiaTheme="minorEastAsia" w:cstheme="minorEastAsia"/>
                <w:color w:val="000000"/>
                <w:sz w:val="18"/>
                <w:szCs w:val="18"/>
                <w:lang w:eastAsia="zh-CN"/>
              </w:rPr>
              <w:t>信息网</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gridSpan w:val="2"/>
            <w:shd w:val="clear" w:color="auto" w:fill="auto"/>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20" w:type="dxa"/>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shd w:val="clear" w:color="auto" w:fill="auto"/>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bl>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A6BC2"/>
    <w:rsid w:val="14B31305"/>
    <w:rsid w:val="37982D3D"/>
    <w:rsid w:val="44305E14"/>
    <w:rsid w:val="49BC6B71"/>
    <w:rsid w:val="5D220528"/>
    <w:rsid w:val="6EC5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106-4</dc:creator>
  <cp:lastModifiedBy>随心</cp:lastModifiedBy>
  <dcterms:modified xsi:type="dcterms:W3CDTF">2020-09-03T03:18:32Z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