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通榆县城区</w:t>
      </w:r>
      <w:r>
        <w:rPr>
          <w:b/>
          <w:sz w:val="44"/>
          <w:szCs w:val="44"/>
        </w:rPr>
        <w:t>20</w:t>
      </w:r>
      <w:r>
        <w:rPr>
          <w:rFonts w:hint="eastAsia"/>
          <w:b/>
          <w:sz w:val="44"/>
          <w:szCs w:val="44"/>
        </w:rPr>
        <w:t>21年</w:t>
      </w:r>
      <w:r>
        <w:rPr>
          <w:rFonts w:hint="eastAsia"/>
          <w:b/>
          <w:sz w:val="44"/>
          <w:szCs w:val="44"/>
          <w:lang w:val="en-US" w:eastAsia="zh-CN"/>
        </w:rPr>
        <w:t>4</w:t>
      </w:r>
      <w:r>
        <w:rPr>
          <w:rFonts w:hint="eastAsia"/>
          <w:b/>
          <w:sz w:val="44"/>
          <w:szCs w:val="44"/>
        </w:rPr>
        <w:t>月份</w:t>
      </w: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44"/>
          <w:szCs w:val="44"/>
        </w:rPr>
        <w:t>环境空气质量监测报告</w:t>
      </w:r>
    </w:p>
    <w:p>
      <w:pPr>
        <w:ind w:firstLine="790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2021年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b/>
          <w:sz w:val="32"/>
          <w:szCs w:val="32"/>
        </w:rPr>
        <w:t>月,自动站运行正常,根据有效监测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30</w:t>
      </w:r>
      <w:r>
        <w:rPr>
          <w:rFonts w:hint="eastAsia" w:ascii="仿宋" w:hAnsi="仿宋" w:eastAsia="仿宋"/>
          <w:b/>
          <w:sz w:val="32"/>
          <w:szCs w:val="32"/>
        </w:rPr>
        <w:t>天的监测结果，对照《环境空气质量标准》（GB3095-2012）中的二级标准（日平均值），PM</w:t>
      </w:r>
      <w:r>
        <w:rPr>
          <w:rFonts w:hint="eastAsia" w:ascii="仿宋" w:hAnsi="仿宋" w:eastAsia="仿宋"/>
          <w:b/>
          <w:sz w:val="32"/>
          <w:szCs w:val="32"/>
          <w:vertAlign w:val="subscript"/>
        </w:rPr>
        <w:t>10</w:t>
      </w:r>
      <w:r>
        <w:rPr>
          <w:rFonts w:hint="eastAsia" w:ascii="仿宋" w:hAnsi="仿宋" w:eastAsia="仿宋"/>
          <w:b/>
          <w:sz w:val="32"/>
          <w:szCs w:val="32"/>
        </w:rPr>
        <w:t>月平均值为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59.1</w:t>
      </w:r>
      <w:r>
        <w:rPr>
          <w:rFonts w:hint="eastAsia" w:ascii="仿宋" w:hAnsi="仿宋" w:eastAsia="仿宋"/>
          <w:b/>
          <w:sz w:val="32"/>
          <w:szCs w:val="32"/>
        </w:rPr>
        <w:t>微克/立方米，PM</w:t>
      </w:r>
      <w:r>
        <w:rPr>
          <w:rFonts w:hint="eastAsia" w:ascii="仿宋" w:hAnsi="仿宋" w:eastAsia="仿宋"/>
          <w:b/>
          <w:sz w:val="32"/>
          <w:szCs w:val="32"/>
          <w:vertAlign w:val="subscript"/>
        </w:rPr>
        <w:t>2.5</w:t>
      </w:r>
      <w:r>
        <w:rPr>
          <w:rFonts w:hint="eastAsia" w:ascii="仿宋" w:hAnsi="仿宋" w:eastAsia="仿宋"/>
          <w:b/>
          <w:sz w:val="32"/>
          <w:szCs w:val="32"/>
        </w:rPr>
        <w:t>月平均值为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29.1</w:t>
      </w:r>
      <w:r>
        <w:rPr>
          <w:rFonts w:hint="eastAsia" w:ascii="仿宋" w:hAnsi="仿宋" w:eastAsia="仿宋"/>
          <w:b/>
          <w:sz w:val="32"/>
          <w:szCs w:val="32"/>
        </w:rPr>
        <w:t>微克/立方米,SO</w:t>
      </w:r>
      <w:r>
        <w:rPr>
          <w:rFonts w:hint="eastAsia" w:ascii="仿宋" w:hAnsi="仿宋" w:eastAsia="仿宋"/>
          <w:b/>
          <w:sz w:val="32"/>
          <w:szCs w:val="32"/>
          <w:vertAlign w:val="subscript"/>
        </w:rPr>
        <w:t>2</w:t>
      </w:r>
      <w:r>
        <w:rPr>
          <w:rFonts w:hint="eastAsia" w:ascii="仿宋" w:hAnsi="仿宋" w:eastAsia="仿宋"/>
          <w:b/>
          <w:sz w:val="32"/>
          <w:szCs w:val="32"/>
        </w:rPr>
        <w:t>月平均值为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7.5</w:t>
      </w:r>
      <w:r>
        <w:rPr>
          <w:rFonts w:hint="eastAsia" w:ascii="仿宋" w:hAnsi="仿宋" w:eastAsia="仿宋"/>
          <w:b/>
          <w:sz w:val="32"/>
          <w:szCs w:val="32"/>
        </w:rPr>
        <w:t>微克/立方米，NO</w:t>
      </w:r>
      <w:r>
        <w:rPr>
          <w:rFonts w:hint="eastAsia" w:ascii="仿宋" w:hAnsi="仿宋" w:eastAsia="仿宋"/>
          <w:b/>
          <w:sz w:val="32"/>
          <w:szCs w:val="32"/>
          <w:vertAlign w:val="subscript"/>
        </w:rPr>
        <w:t>2</w:t>
      </w:r>
      <w:r>
        <w:rPr>
          <w:rFonts w:hint="eastAsia" w:ascii="仿宋" w:hAnsi="仿宋" w:eastAsia="仿宋"/>
          <w:b/>
          <w:sz w:val="32"/>
          <w:szCs w:val="32"/>
        </w:rPr>
        <w:t>月平均值为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5.3</w:t>
      </w:r>
      <w:r>
        <w:rPr>
          <w:rFonts w:hint="eastAsia" w:ascii="仿宋" w:hAnsi="仿宋" w:eastAsia="仿宋"/>
          <w:b/>
          <w:sz w:val="32"/>
          <w:szCs w:val="32"/>
        </w:rPr>
        <w:t>微克/立方米，O</w:t>
      </w:r>
      <w:r>
        <w:rPr>
          <w:rFonts w:hint="eastAsia" w:ascii="仿宋" w:hAnsi="仿宋" w:eastAsia="仿宋"/>
          <w:b/>
          <w:sz w:val="32"/>
          <w:szCs w:val="32"/>
          <w:vertAlign w:val="subscript"/>
        </w:rPr>
        <w:t>3_</w:t>
      </w:r>
      <w:r>
        <w:rPr>
          <w:rFonts w:hint="eastAsia" w:ascii="仿宋" w:hAnsi="仿宋" w:eastAsia="仿宋"/>
          <w:b/>
          <w:sz w:val="32"/>
          <w:szCs w:val="32"/>
        </w:rPr>
        <w:t>8h月平均值为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113.9</w:t>
      </w:r>
      <w:r>
        <w:rPr>
          <w:rFonts w:hint="eastAsia" w:ascii="仿宋" w:hAnsi="仿宋" w:eastAsia="仿宋"/>
          <w:b/>
          <w:sz w:val="32"/>
          <w:szCs w:val="32"/>
        </w:rPr>
        <w:t>微克/立方米，CO月平均值为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1.1</w:t>
      </w:r>
      <w:r>
        <w:rPr>
          <w:rFonts w:hint="eastAsia" w:ascii="仿宋" w:hAnsi="仿宋" w:eastAsia="仿宋"/>
          <w:b/>
          <w:sz w:val="32"/>
          <w:szCs w:val="32"/>
        </w:rPr>
        <w:t>毫克/立方米，各项均符合环境空气质量二级标准。</w:t>
      </w:r>
    </w:p>
    <w:p>
      <w:pPr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 xml:space="preserve">    在本月监测的</w:t>
      </w:r>
      <w:r>
        <w:rPr>
          <w:rFonts w:ascii="仿宋" w:hAnsi="仿宋" w:eastAsia="仿宋"/>
          <w:b/>
          <w:sz w:val="32"/>
          <w:szCs w:val="32"/>
        </w:rPr>
        <w:t>3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b/>
          <w:sz w:val="32"/>
          <w:szCs w:val="32"/>
        </w:rPr>
        <w:t>天中，有效监测天数为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30</w:t>
      </w:r>
      <w:r>
        <w:rPr>
          <w:rFonts w:hint="eastAsia" w:ascii="仿宋" w:hAnsi="仿宋" w:eastAsia="仿宋"/>
          <w:b/>
          <w:sz w:val="32"/>
          <w:szCs w:val="32"/>
        </w:rPr>
        <w:t>天，其中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b/>
          <w:sz w:val="32"/>
          <w:szCs w:val="32"/>
        </w:rPr>
        <w:t>月1</w:t>
      </w:r>
      <w:r>
        <w:rPr>
          <w:rFonts w:ascii="仿宋" w:hAnsi="仿宋" w:eastAsia="仿宋"/>
          <w:b/>
          <w:sz w:val="32"/>
          <w:szCs w:val="32"/>
        </w:rPr>
        <w:t>5</w:t>
      </w:r>
      <w:r>
        <w:rPr>
          <w:rFonts w:hint="eastAsia" w:ascii="仿宋" w:hAnsi="仿宋" w:eastAsia="仿宋"/>
          <w:b/>
          <w:sz w:val="32"/>
          <w:szCs w:val="32"/>
        </w:rPr>
        <w:t>日为沙尘天气，不参与统计</w:t>
      </w:r>
      <w:r>
        <w:rPr>
          <w:rFonts w:hint="eastAsia" w:ascii="仿宋" w:hAnsi="仿宋" w:eastAsia="仿宋"/>
          <w:b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应予以剔除</w:t>
      </w:r>
      <w:r>
        <w:rPr>
          <w:rFonts w:hint="eastAsia" w:ascii="仿宋" w:hAnsi="仿宋" w:eastAsia="仿宋"/>
          <w:b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因此参与统计的天数共29天，</w:t>
      </w:r>
      <w:r>
        <w:rPr>
          <w:rFonts w:hint="eastAsia" w:ascii="仿宋" w:hAnsi="仿宋" w:eastAsia="仿宋"/>
          <w:b/>
          <w:sz w:val="32"/>
          <w:szCs w:val="32"/>
        </w:rPr>
        <w:t>通榆县城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区</w:t>
      </w:r>
      <w:r>
        <w:rPr>
          <w:rFonts w:hint="eastAsia" w:ascii="仿宋" w:hAnsi="仿宋" w:eastAsia="仿宋"/>
          <w:b/>
          <w:sz w:val="32"/>
          <w:szCs w:val="32"/>
        </w:rPr>
        <w:t>空气质量优良的天数为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27</w:t>
      </w:r>
      <w:r>
        <w:rPr>
          <w:rFonts w:hint="eastAsia" w:ascii="仿宋" w:hAnsi="仿宋" w:eastAsia="仿宋"/>
          <w:b/>
          <w:sz w:val="32"/>
          <w:szCs w:val="32"/>
        </w:rPr>
        <w:t>天，优良率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93.1</w:t>
      </w:r>
      <w:r>
        <w:rPr>
          <w:rFonts w:hint="eastAsia" w:ascii="仿宋" w:hAnsi="仿宋" w:eastAsia="仿宋"/>
          <w:b/>
          <w:sz w:val="32"/>
          <w:szCs w:val="32"/>
        </w:rPr>
        <w:t>%。</w:t>
      </w:r>
    </w:p>
    <w:p>
      <w:pPr>
        <w:ind w:firstLine="826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2021年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b/>
          <w:sz w:val="32"/>
          <w:szCs w:val="32"/>
        </w:rPr>
        <w:t>月通榆县城区环境空气质量情况统计表</w:t>
      </w:r>
    </w:p>
    <w:tbl>
      <w:tblPr>
        <w:tblStyle w:val="2"/>
        <w:tblW w:w="9843" w:type="dxa"/>
        <w:tblInd w:w="-572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3"/>
        <w:gridCol w:w="932"/>
        <w:gridCol w:w="932"/>
        <w:gridCol w:w="932"/>
        <w:gridCol w:w="932"/>
        <w:gridCol w:w="932"/>
        <w:gridCol w:w="932"/>
        <w:gridCol w:w="932"/>
        <w:gridCol w:w="932"/>
        <w:gridCol w:w="932"/>
        <w:gridCol w:w="8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区域</w:t>
            </w:r>
          </w:p>
        </w:tc>
        <w:tc>
          <w:tcPr>
            <w:tcW w:w="9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color w:val="333333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color w:val="333333"/>
                <w:sz w:val="32"/>
                <w:szCs w:val="32"/>
              </w:rPr>
              <w:t>Ⅰ</w:t>
            </w:r>
          </w:p>
          <w:p>
            <w:pPr>
              <w:jc w:val="center"/>
              <w:rPr>
                <w:rFonts w:ascii="仿宋" w:hAnsi="仿宋" w:eastAsia="仿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color w:val="333333"/>
                <w:sz w:val="32"/>
                <w:szCs w:val="32"/>
              </w:rPr>
              <w:t>(天)</w:t>
            </w:r>
          </w:p>
        </w:tc>
        <w:tc>
          <w:tcPr>
            <w:tcW w:w="9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color w:val="333333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color w:val="333333"/>
                <w:sz w:val="32"/>
                <w:szCs w:val="32"/>
              </w:rPr>
              <w:t>Ⅱ</w:t>
            </w:r>
          </w:p>
          <w:p>
            <w:pPr>
              <w:jc w:val="center"/>
              <w:rPr>
                <w:rFonts w:ascii="仿宋" w:hAnsi="仿宋" w:eastAsia="仿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color w:val="333333"/>
                <w:sz w:val="32"/>
                <w:szCs w:val="32"/>
              </w:rPr>
              <w:t>(天)</w:t>
            </w:r>
          </w:p>
        </w:tc>
        <w:tc>
          <w:tcPr>
            <w:tcW w:w="9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color w:val="333333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color w:val="333333"/>
                <w:sz w:val="32"/>
                <w:szCs w:val="32"/>
              </w:rPr>
              <w:t>Ⅲ</w:t>
            </w:r>
          </w:p>
          <w:p>
            <w:pPr>
              <w:jc w:val="center"/>
              <w:rPr>
                <w:rFonts w:ascii="仿宋" w:hAnsi="仿宋" w:eastAsia="仿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color w:val="333333"/>
                <w:sz w:val="32"/>
                <w:szCs w:val="32"/>
              </w:rPr>
              <w:t>(天)</w:t>
            </w:r>
          </w:p>
        </w:tc>
        <w:tc>
          <w:tcPr>
            <w:tcW w:w="9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color w:val="333333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color w:val="333333"/>
                <w:sz w:val="32"/>
                <w:szCs w:val="32"/>
              </w:rPr>
              <w:t>Ⅳ</w:t>
            </w:r>
          </w:p>
          <w:p>
            <w:pPr>
              <w:jc w:val="center"/>
              <w:rPr>
                <w:rFonts w:ascii="仿宋" w:hAnsi="仿宋" w:eastAsia="仿宋" w:cs="宋体"/>
                <w:b/>
                <w:color w:val="333333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color w:val="333333"/>
                <w:sz w:val="32"/>
                <w:szCs w:val="32"/>
              </w:rPr>
              <w:t>(天)</w:t>
            </w:r>
          </w:p>
        </w:tc>
        <w:tc>
          <w:tcPr>
            <w:tcW w:w="9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color w:val="333333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color w:val="333333"/>
                <w:sz w:val="32"/>
                <w:szCs w:val="32"/>
              </w:rPr>
              <w:t>Ⅴ</w:t>
            </w:r>
          </w:p>
          <w:p>
            <w:pPr>
              <w:jc w:val="center"/>
              <w:rPr>
                <w:rFonts w:ascii="仿宋" w:hAnsi="仿宋" w:eastAsia="仿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color w:val="333333"/>
                <w:sz w:val="32"/>
                <w:szCs w:val="32"/>
              </w:rPr>
              <w:t>(天)</w:t>
            </w:r>
          </w:p>
        </w:tc>
        <w:tc>
          <w:tcPr>
            <w:tcW w:w="9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color w:val="333333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color w:val="333333"/>
                <w:sz w:val="32"/>
                <w:szCs w:val="32"/>
              </w:rPr>
              <w:t>Ⅵ</w:t>
            </w:r>
          </w:p>
          <w:p>
            <w:pPr>
              <w:jc w:val="center"/>
              <w:rPr>
                <w:rFonts w:ascii="仿宋" w:hAnsi="仿宋" w:eastAsia="仿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color w:val="333333"/>
                <w:sz w:val="32"/>
                <w:szCs w:val="32"/>
              </w:rPr>
              <w:t>(天)</w:t>
            </w:r>
          </w:p>
        </w:tc>
        <w:tc>
          <w:tcPr>
            <w:tcW w:w="9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优良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天数</w:t>
            </w:r>
          </w:p>
          <w:p>
            <w:pPr>
              <w:jc w:val="center"/>
              <w:rPr>
                <w:rFonts w:ascii="仿宋" w:hAnsi="仿宋" w:eastAsia="仿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(天)</w:t>
            </w:r>
          </w:p>
        </w:tc>
        <w:tc>
          <w:tcPr>
            <w:tcW w:w="27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315"/>
              <w:jc w:val="center"/>
              <w:rPr>
                <w:rFonts w:ascii="仿宋" w:hAnsi="仿宋" w:eastAsia="仿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优良率（%）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333333"/>
                <w:sz w:val="32"/>
                <w:szCs w:val="3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本月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上月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去年同期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通榆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lang w:val="en-US" w:eastAsia="zh-CN"/>
              </w:rPr>
              <w:t>6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lang w:val="en-US" w:eastAsia="zh-CN"/>
              </w:rPr>
              <w:t>21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0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0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4"/>
              </w:rPr>
            </w:pPr>
            <w:r>
              <w:rPr>
                <w:rFonts w:ascii="仿宋" w:hAnsi="仿宋" w:eastAsia="仿宋"/>
                <w:b/>
                <w:color w:val="000000"/>
                <w:sz w:val="24"/>
              </w:rPr>
              <w:t>1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4"/>
              </w:rPr>
            </w:pPr>
            <w:r>
              <w:rPr>
                <w:rFonts w:ascii="仿宋" w:hAnsi="仿宋" w:eastAsia="仿宋"/>
                <w:b/>
                <w:color w:val="000000"/>
                <w:sz w:val="24"/>
              </w:rPr>
              <w:t>29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lang w:val="en-US" w:eastAsia="zh-CN"/>
              </w:rPr>
              <w:t>93.1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lang w:val="en-US" w:eastAsia="zh-CN"/>
              </w:rPr>
              <w:t>100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lang w:val="en-US" w:eastAsia="zh-CN"/>
              </w:rPr>
              <w:t>73.3</w:t>
            </w:r>
          </w:p>
        </w:tc>
      </w:tr>
    </w:tbl>
    <w:p>
      <w:pPr>
        <w:ind w:firstLine="619"/>
        <w:rPr>
          <w:rFonts w:hint="eastAsia" w:ascii="仿宋" w:hAnsi="仿宋" w:eastAsia="仿宋"/>
          <w:b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 xml:space="preserve">   各项污染物月平均值统计表(CO单位: mg/ m</w:t>
      </w:r>
      <w:r>
        <w:rPr>
          <w:rFonts w:hint="eastAsia" w:ascii="仿宋" w:hAnsi="仿宋" w:eastAsia="仿宋"/>
          <w:b/>
          <w:sz w:val="32"/>
          <w:szCs w:val="32"/>
          <w:vertAlign w:val="superscript"/>
        </w:rPr>
        <w:t>3</w:t>
      </w:r>
      <w:r>
        <w:rPr>
          <w:rFonts w:hint="eastAsia" w:ascii="仿宋" w:hAnsi="仿宋" w:eastAsia="仿宋"/>
          <w:b/>
          <w:sz w:val="32"/>
          <w:szCs w:val="32"/>
        </w:rPr>
        <w:t>)</w:t>
      </w:r>
    </w:p>
    <w:tbl>
      <w:tblPr>
        <w:tblStyle w:val="2"/>
        <w:tblW w:w="9921" w:type="dxa"/>
        <w:tblInd w:w="-617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54"/>
        <w:gridCol w:w="1119"/>
        <w:gridCol w:w="1088"/>
        <w:gridCol w:w="1276"/>
        <w:gridCol w:w="1128"/>
        <w:gridCol w:w="1128"/>
        <w:gridCol w:w="11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污染物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PM</w:t>
            </w:r>
            <w:r>
              <w:rPr>
                <w:rFonts w:hint="eastAsia" w:ascii="仿宋" w:hAnsi="仿宋" w:eastAsia="仿宋"/>
                <w:b/>
                <w:sz w:val="32"/>
                <w:szCs w:val="32"/>
                <w:vertAlign w:val="subscript"/>
              </w:rPr>
              <w:t>10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PM</w:t>
            </w:r>
            <w:r>
              <w:rPr>
                <w:rFonts w:hint="eastAsia" w:ascii="仿宋" w:hAnsi="仿宋" w:eastAsia="仿宋"/>
                <w:b/>
                <w:sz w:val="32"/>
                <w:szCs w:val="32"/>
                <w:vertAlign w:val="subscript"/>
              </w:rPr>
              <w:t>2.5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SO</w:t>
            </w:r>
            <w:r>
              <w:rPr>
                <w:rFonts w:hint="eastAsia" w:ascii="仿宋" w:hAnsi="仿宋" w:eastAsia="仿宋"/>
                <w:b/>
                <w:sz w:val="32"/>
                <w:szCs w:val="32"/>
                <w:vertAlign w:val="subscript"/>
              </w:rPr>
              <w:t>2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NO</w:t>
            </w:r>
            <w:r>
              <w:rPr>
                <w:rFonts w:hint="eastAsia" w:ascii="仿宋" w:hAnsi="仿宋" w:eastAsia="仿宋"/>
                <w:b/>
                <w:sz w:val="32"/>
                <w:szCs w:val="32"/>
                <w:vertAlign w:val="subscript"/>
              </w:rPr>
              <w:t>2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O</w:t>
            </w:r>
            <w:r>
              <w:rPr>
                <w:rFonts w:hint="eastAsia" w:ascii="仿宋" w:hAnsi="仿宋" w:eastAsia="仿宋"/>
                <w:b/>
                <w:sz w:val="32"/>
                <w:szCs w:val="32"/>
                <w:vertAlign w:val="subscript"/>
              </w:rPr>
              <w:t>3</w:t>
            </w:r>
            <w:r>
              <w:rPr>
                <w:rFonts w:hint="eastAsia" w:ascii="仿宋" w:hAnsi="仿宋" w:eastAsia="仿宋"/>
                <w:bCs/>
                <w:sz w:val="32"/>
                <w:szCs w:val="32"/>
                <w:vertAlign w:val="subscript"/>
              </w:rPr>
              <w:t>_</w:t>
            </w: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8h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CO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210"/>
              <w:jc w:val="center"/>
              <w:rPr>
                <w:rFonts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月平均（μg/m</w:t>
            </w:r>
            <w:r>
              <w:rPr>
                <w:rFonts w:hint="eastAsia" w:ascii="仿宋" w:hAnsi="仿宋" w:eastAsia="仿宋"/>
                <w:b/>
                <w:sz w:val="24"/>
                <w:vertAlign w:val="superscript"/>
              </w:rPr>
              <w:t>3</w:t>
            </w:r>
            <w:r>
              <w:rPr>
                <w:rFonts w:hint="eastAsia" w:ascii="仿宋" w:hAnsi="仿宋" w:eastAsia="仿宋"/>
                <w:b/>
                <w:sz w:val="24"/>
              </w:rPr>
              <w:t>）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lang w:val="en-US" w:eastAsia="zh-CN"/>
              </w:rPr>
              <w:t>59.1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lang w:val="en-US" w:eastAsia="zh-CN"/>
              </w:rPr>
              <w:t>29.1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lang w:val="en-US" w:eastAsia="zh-CN"/>
              </w:rPr>
              <w:t>7.5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lang w:val="en-US" w:eastAsia="zh-CN"/>
              </w:rPr>
              <w:t>5.3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lang w:val="en-US" w:eastAsia="zh-CN"/>
              </w:rPr>
              <w:t>113.9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1.</w:t>
            </w:r>
            <w:r>
              <w:rPr>
                <w:rFonts w:hint="eastAsia" w:ascii="仿宋" w:hAnsi="仿宋" w:eastAsia="仿宋"/>
                <w:b/>
                <w:color w:val="000000"/>
                <w:sz w:val="24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达标情况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达标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达标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达标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达标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达标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达标</w:t>
            </w:r>
          </w:p>
        </w:tc>
      </w:tr>
    </w:tbl>
    <w:p>
      <w:pPr>
        <w:ind w:firstLine="622"/>
        <w:rPr>
          <w:rFonts w:hint="eastAsia" w:ascii="仿宋" w:hAnsi="仿宋" w:eastAsia="仿宋"/>
          <w:b/>
          <w:sz w:val="32"/>
          <w:szCs w:val="32"/>
        </w:rPr>
      </w:pPr>
    </w:p>
    <w:p>
      <w:pPr>
        <w:ind w:firstLine="622"/>
        <w:rPr>
          <w:rFonts w:hint="eastAsia" w:ascii="仿宋" w:hAnsi="仿宋" w:eastAsia="仿宋"/>
          <w:b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注：评价采用GB3095-2012二级标准,PM</w:t>
      </w:r>
      <w:r>
        <w:rPr>
          <w:rFonts w:hint="eastAsia" w:ascii="仿宋" w:hAnsi="仿宋" w:eastAsia="仿宋"/>
          <w:b/>
          <w:sz w:val="32"/>
          <w:szCs w:val="32"/>
          <w:vertAlign w:val="subscript"/>
        </w:rPr>
        <w:t>10</w:t>
      </w:r>
      <w:r>
        <w:rPr>
          <w:rFonts w:hint="eastAsia" w:ascii="仿宋" w:hAnsi="仿宋" w:eastAsia="仿宋"/>
          <w:b/>
          <w:sz w:val="32"/>
          <w:szCs w:val="32"/>
        </w:rPr>
        <w:t>: 150μg/m</w:t>
      </w:r>
      <w:r>
        <w:rPr>
          <w:rFonts w:hint="eastAsia" w:ascii="仿宋" w:hAnsi="仿宋" w:eastAsia="仿宋"/>
          <w:b/>
          <w:sz w:val="32"/>
          <w:szCs w:val="32"/>
          <w:vertAlign w:val="superscript"/>
        </w:rPr>
        <w:t>3</w:t>
      </w:r>
      <w:r>
        <w:rPr>
          <w:rFonts w:hint="eastAsia" w:ascii="仿宋" w:hAnsi="仿宋" w:eastAsia="仿宋"/>
          <w:b/>
          <w:sz w:val="32"/>
          <w:szCs w:val="32"/>
        </w:rPr>
        <w:t>, PM</w:t>
      </w:r>
      <w:r>
        <w:rPr>
          <w:rFonts w:hint="eastAsia" w:ascii="仿宋" w:hAnsi="仿宋" w:eastAsia="仿宋"/>
          <w:b/>
          <w:sz w:val="32"/>
          <w:szCs w:val="32"/>
          <w:vertAlign w:val="subscript"/>
        </w:rPr>
        <w:t>2.5</w:t>
      </w:r>
      <w:r>
        <w:rPr>
          <w:rFonts w:hint="eastAsia" w:ascii="仿宋" w:hAnsi="仿宋" w:eastAsia="仿宋"/>
          <w:b/>
          <w:sz w:val="32"/>
          <w:szCs w:val="32"/>
        </w:rPr>
        <w:t>: 75μg/m</w:t>
      </w:r>
      <w:r>
        <w:rPr>
          <w:rFonts w:hint="eastAsia" w:ascii="仿宋" w:hAnsi="仿宋" w:eastAsia="仿宋"/>
          <w:b/>
          <w:sz w:val="32"/>
          <w:szCs w:val="32"/>
          <w:vertAlign w:val="superscript"/>
        </w:rPr>
        <w:t>3</w:t>
      </w:r>
      <w:r>
        <w:rPr>
          <w:rFonts w:hint="eastAsia" w:ascii="仿宋" w:hAnsi="仿宋" w:eastAsia="仿宋"/>
          <w:b/>
          <w:sz w:val="32"/>
          <w:szCs w:val="32"/>
        </w:rPr>
        <w:t>, SO</w:t>
      </w:r>
      <w:r>
        <w:rPr>
          <w:rFonts w:hint="eastAsia" w:ascii="仿宋" w:hAnsi="仿宋" w:eastAsia="仿宋"/>
          <w:b/>
          <w:sz w:val="32"/>
          <w:szCs w:val="32"/>
          <w:vertAlign w:val="subscript"/>
        </w:rPr>
        <w:t>2</w:t>
      </w:r>
      <w:r>
        <w:rPr>
          <w:rFonts w:hint="eastAsia" w:ascii="仿宋" w:hAnsi="仿宋" w:eastAsia="仿宋"/>
          <w:b/>
          <w:sz w:val="32"/>
          <w:szCs w:val="32"/>
        </w:rPr>
        <w:t>: 150μg/m</w:t>
      </w:r>
      <w:r>
        <w:rPr>
          <w:rFonts w:hint="eastAsia" w:ascii="仿宋" w:hAnsi="仿宋" w:eastAsia="仿宋"/>
          <w:b/>
          <w:sz w:val="32"/>
          <w:szCs w:val="32"/>
          <w:vertAlign w:val="superscript"/>
        </w:rPr>
        <w:t>3</w:t>
      </w:r>
      <w:r>
        <w:rPr>
          <w:rFonts w:hint="eastAsia" w:ascii="仿宋" w:hAnsi="仿宋" w:eastAsia="仿宋"/>
          <w:b/>
          <w:sz w:val="32"/>
          <w:szCs w:val="32"/>
        </w:rPr>
        <w:t>, NO</w:t>
      </w:r>
      <w:r>
        <w:rPr>
          <w:rFonts w:hint="eastAsia" w:ascii="仿宋" w:hAnsi="仿宋" w:eastAsia="仿宋"/>
          <w:b/>
          <w:sz w:val="32"/>
          <w:szCs w:val="32"/>
          <w:vertAlign w:val="subscript"/>
        </w:rPr>
        <w:t>2</w:t>
      </w:r>
      <w:r>
        <w:rPr>
          <w:rFonts w:hint="eastAsia" w:ascii="仿宋" w:hAnsi="仿宋" w:eastAsia="仿宋"/>
          <w:b/>
          <w:sz w:val="32"/>
          <w:szCs w:val="32"/>
        </w:rPr>
        <w:t>: 80μg/m</w:t>
      </w:r>
      <w:r>
        <w:rPr>
          <w:rFonts w:hint="eastAsia" w:ascii="仿宋" w:hAnsi="仿宋" w:eastAsia="仿宋"/>
          <w:b/>
          <w:sz w:val="32"/>
          <w:szCs w:val="32"/>
          <w:vertAlign w:val="superscript"/>
        </w:rPr>
        <w:t>3</w:t>
      </w:r>
      <w:r>
        <w:rPr>
          <w:rFonts w:hint="eastAsia" w:ascii="仿宋" w:hAnsi="仿宋" w:eastAsia="仿宋"/>
          <w:b/>
          <w:sz w:val="32"/>
          <w:szCs w:val="32"/>
        </w:rPr>
        <w:t>，CO:4mg/ m</w:t>
      </w:r>
      <w:r>
        <w:rPr>
          <w:rFonts w:hint="eastAsia" w:ascii="仿宋" w:hAnsi="仿宋" w:eastAsia="仿宋"/>
          <w:b/>
          <w:sz w:val="32"/>
          <w:szCs w:val="32"/>
          <w:vertAlign w:val="superscript"/>
        </w:rPr>
        <w:t>3</w:t>
      </w:r>
      <w:r>
        <w:rPr>
          <w:rFonts w:hint="eastAsia" w:ascii="仿宋" w:hAnsi="仿宋" w:eastAsia="仿宋"/>
          <w:b/>
          <w:sz w:val="32"/>
          <w:szCs w:val="32"/>
        </w:rPr>
        <w:t>,O</w:t>
      </w:r>
      <w:r>
        <w:rPr>
          <w:rFonts w:hint="eastAsia" w:ascii="仿宋" w:hAnsi="仿宋" w:eastAsia="仿宋"/>
          <w:b/>
          <w:sz w:val="32"/>
          <w:szCs w:val="32"/>
          <w:vertAlign w:val="subscript"/>
        </w:rPr>
        <w:t>3</w:t>
      </w:r>
      <w:r>
        <w:rPr>
          <w:rFonts w:hint="eastAsia" w:ascii="仿宋" w:hAnsi="仿宋" w:eastAsia="仿宋"/>
          <w:b/>
          <w:sz w:val="32"/>
          <w:szCs w:val="32"/>
        </w:rPr>
        <w:t>: 160μg/m</w:t>
      </w:r>
      <w:r>
        <w:rPr>
          <w:rFonts w:hint="eastAsia" w:ascii="仿宋" w:hAnsi="仿宋" w:eastAsia="仿宋"/>
          <w:b/>
          <w:sz w:val="32"/>
          <w:szCs w:val="32"/>
          <w:vertAlign w:val="superscript"/>
        </w:rPr>
        <w:t>3</w:t>
      </w:r>
      <w:r>
        <w:rPr>
          <w:rFonts w:hint="eastAsia" w:ascii="仿宋" w:hAnsi="仿宋" w:eastAsia="仿宋"/>
          <w:b/>
          <w:sz w:val="32"/>
          <w:szCs w:val="32"/>
        </w:rPr>
        <w:t>。</w:t>
      </w:r>
    </w:p>
    <w:p>
      <w:pPr>
        <w:rPr>
          <w:rFonts w:hint="eastAsia" w:ascii="仿宋" w:hAnsi="仿宋" w:eastAsia="仿宋"/>
          <w:b/>
          <w:sz w:val="32"/>
          <w:szCs w:val="32"/>
        </w:rPr>
      </w:pPr>
    </w:p>
    <w:p>
      <w:pPr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——以下空白</w:t>
      </w:r>
    </w:p>
    <w:p>
      <w:pPr>
        <w:ind w:firstLine="4340"/>
        <w:rPr>
          <w:rFonts w:hint="eastAsia" w:ascii="仿宋" w:hAnsi="仿宋" w:eastAsia="仿宋"/>
          <w:b/>
          <w:sz w:val="32"/>
          <w:szCs w:val="32"/>
        </w:rPr>
      </w:pPr>
    </w:p>
    <w:p>
      <w:pPr>
        <w:ind w:firstLine="4835" w:firstLineChars="1505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通榆县生态环境监测站</w:t>
      </w:r>
    </w:p>
    <w:p>
      <w:pPr>
        <w:ind w:firstLine="5461" w:firstLineChars="1700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2020年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/>
          <w:b/>
          <w:sz w:val="32"/>
          <w:szCs w:val="32"/>
        </w:rPr>
        <w:t>月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/>
          <w:b/>
          <w:sz w:val="32"/>
          <w:szCs w:val="32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85B0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2021-05-08T06:54:56Z</dcterms:created>
  <dc:creator>Administrator</dc:creator>
  <cp:lastModifiedBy>Administrator</cp:lastModifiedBy>
  <dcterms:modified xsi:type="dcterms:W3CDTF">2021-05-08T06:55:25Z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A0DE20EE1EA8432ABB11D776F213C127</vt:lpwstr>
  </property>
</Properties>
</file>