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b/>
          <w:bCs/>
          <w:sz w:val="32"/>
          <w:szCs w:val="32"/>
        </w:rPr>
      </w:pPr>
      <w:bookmarkStart w:id="1" w:name="_GoBack"/>
      <w:bookmarkEnd w:id="1"/>
      <w:bookmarkStart w:id="0" w:name="_Toc24724706"/>
      <w:r>
        <w:rPr>
          <w:rFonts w:hint="eastAsia" w:ascii="宋体" w:hAnsi="宋体" w:eastAsia="宋体" w:cs="宋体"/>
          <w:b/>
          <w:bCs/>
          <w:sz w:val="32"/>
          <w:szCs w:val="32"/>
          <w:lang w:eastAsia="zh-CN"/>
        </w:rPr>
        <w:t>通榆县教育局</w:t>
      </w:r>
      <w:r>
        <w:rPr>
          <w:rFonts w:hint="eastAsia" w:ascii="宋体" w:hAnsi="宋体" w:eastAsia="宋体" w:cs="宋体"/>
          <w:b/>
          <w:bCs/>
          <w:sz w:val="32"/>
          <w:szCs w:val="32"/>
        </w:rPr>
        <w:t>义务教育领域基层政务公开标准目录</w:t>
      </w:r>
      <w:bookmarkEnd w:id="0"/>
    </w:p>
    <w:tbl>
      <w:tblPr>
        <w:tblStyle w:val="5"/>
        <w:tblpPr w:leftFromText="180" w:rightFromText="180" w:vertAnchor="text" w:horzAnchor="page" w:tblpX="2271" w:tblpY="2243"/>
        <w:tblOverlap w:val="never"/>
        <w:tblW w:w="12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416"/>
        <w:gridCol w:w="634"/>
        <w:gridCol w:w="1305"/>
        <w:gridCol w:w="1215"/>
        <w:gridCol w:w="1230"/>
        <w:gridCol w:w="1305"/>
        <w:gridCol w:w="1245"/>
        <w:gridCol w:w="1035"/>
        <w:gridCol w:w="720"/>
        <w:gridCol w:w="720"/>
        <w:gridCol w:w="945"/>
        <w:gridCol w:w="87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restart"/>
            <w:shd w:val="clear" w:color="auto" w:fill="auto"/>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050" w:type="dxa"/>
            <w:gridSpan w:val="2"/>
            <w:shd w:val="clear" w:color="auto" w:fill="auto"/>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公开事项</w:t>
            </w:r>
          </w:p>
        </w:tc>
        <w:tc>
          <w:tcPr>
            <w:tcW w:w="1305" w:type="dxa"/>
            <w:vMerge w:val="restart"/>
            <w:shd w:val="clear" w:color="auto" w:fill="auto"/>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公开内容（要素）</w:t>
            </w:r>
          </w:p>
        </w:tc>
        <w:tc>
          <w:tcPr>
            <w:tcW w:w="1215" w:type="dxa"/>
            <w:vMerge w:val="restart"/>
            <w:shd w:val="clear" w:color="auto" w:fill="auto"/>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公开依据</w:t>
            </w:r>
          </w:p>
        </w:tc>
        <w:tc>
          <w:tcPr>
            <w:tcW w:w="1230" w:type="dxa"/>
            <w:vMerge w:val="restart"/>
            <w:shd w:val="clear" w:color="auto" w:fill="auto"/>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公开时限</w:t>
            </w:r>
          </w:p>
        </w:tc>
        <w:tc>
          <w:tcPr>
            <w:tcW w:w="1305" w:type="dxa"/>
            <w:vMerge w:val="restart"/>
            <w:shd w:val="clear" w:color="auto" w:fill="auto"/>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公开主体</w:t>
            </w:r>
          </w:p>
        </w:tc>
        <w:tc>
          <w:tcPr>
            <w:tcW w:w="1245" w:type="dxa"/>
            <w:vMerge w:val="restart"/>
            <w:shd w:val="clear" w:color="auto" w:fill="auto"/>
            <w:noWrap w:val="0"/>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公开渠道和载体</w:t>
            </w:r>
          </w:p>
        </w:tc>
        <w:tc>
          <w:tcPr>
            <w:tcW w:w="1755" w:type="dxa"/>
            <w:gridSpan w:val="2"/>
            <w:shd w:val="clear" w:color="auto" w:fill="auto"/>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公开对象</w:t>
            </w:r>
          </w:p>
        </w:tc>
        <w:tc>
          <w:tcPr>
            <w:tcW w:w="1665" w:type="dxa"/>
            <w:gridSpan w:val="2"/>
            <w:shd w:val="clear" w:color="auto" w:fill="auto"/>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公开方式</w:t>
            </w:r>
          </w:p>
        </w:tc>
        <w:tc>
          <w:tcPr>
            <w:tcW w:w="1710" w:type="dxa"/>
            <w:gridSpan w:val="2"/>
            <w:shd w:val="clear" w:color="auto" w:fill="auto"/>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continue"/>
            <w:shd w:val="clear" w:color="auto" w:fill="auto"/>
            <w:noWrap w:val="0"/>
            <w:vAlign w:val="center"/>
          </w:tcPr>
          <w:p>
            <w:pPr>
              <w:widowControl/>
              <w:jc w:val="left"/>
              <w:rPr>
                <w:rFonts w:hint="eastAsia" w:ascii="宋体" w:hAnsi="宋体" w:eastAsia="宋体" w:cs="宋体"/>
                <w:color w:val="000000"/>
                <w:kern w:val="0"/>
                <w:sz w:val="18"/>
                <w:szCs w:val="18"/>
              </w:rPr>
            </w:pPr>
          </w:p>
        </w:tc>
        <w:tc>
          <w:tcPr>
            <w:tcW w:w="416" w:type="dxa"/>
            <w:shd w:val="clear" w:color="auto" w:fill="auto"/>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一级事项</w:t>
            </w:r>
          </w:p>
        </w:tc>
        <w:tc>
          <w:tcPr>
            <w:tcW w:w="634" w:type="dxa"/>
            <w:shd w:val="clear" w:color="auto" w:fill="auto"/>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二级事项</w:t>
            </w:r>
          </w:p>
        </w:tc>
        <w:tc>
          <w:tcPr>
            <w:tcW w:w="1305" w:type="dxa"/>
            <w:vMerge w:val="continue"/>
            <w:shd w:val="clear" w:color="auto" w:fill="auto"/>
            <w:noWrap w:val="0"/>
            <w:vAlign w:val="center"/>
          </w:tcPr>
          <w:p>
            <w:pPr>
              <w:widowControl/>
              <w:jc w:val="left"/>
              <w:rPr>
                <w:rFonts w:hint="eastAsia" w:ascii="宋体" w:hAnsi="宋体" w:eastAsia="宋体" w:cs="宋体"/>
                <w:color w:val="000000"/>
                <w:kern w:val="0"/>
                <w:sz w:val="18"/>
                <w:szCs w:val="18"/>
              </w:rPr>
            </w:pPr>
          </w:p>
        </w:tc>
        <w:tc>
          <w:tcPr>
            <w:tcW w:w="1215" w:type="dxa"/>
            <w:vMerge w:val="continue"/>
            <w:shd w:val="clear" w:color="auto" w:fill="auto"/>
            <w:noWrap w:val="0"/>
            <w:vAlign w:val="center"/>
          </w:tcPr>
          <w:p>
            <w:pPr>
              <w:widowControl/>
              <w:jc w:val="left"/>
              <w:rPr>
                <w:rFonts w:hint="eastAsia" w:ascii="宋体" w:hAnsi="宋体" w:eastAsia="宋体" w:cs="宋体"/>
                <w:color w:val="000000"/>
                <w:kern w:val="0"/>
                <w:sz w:val="18"/>
                <w:szCs w:val="18"/>
              </w:rPr>
            </w:pPr>
          </w:p>
        </w:tc>
        <w:tc>
          <w:tcPr>
            <w:tcW w:w="1230" w:type="dxa"/>
            <w:vMerge w:val="continue"/>
            <w:shd w:val="clear" w:color="auto" w:fill="auto"/>
            <w:noWrap w:val="0"/>
            <w:vAlign w:val="center"/>
          </w:tcPr>
          <w:p>
            <w:pPr>
              <w:widowControl/>
              <w:jc w:val="left"/>
              <w:rPr>
                <w:rFonts w:hint="eastAsia" w:ascii="宋体" w:hAnsi="宋体" w:eastAsia="宋体" w:cs="宋体"/>
                <w:color w:val="000000"/>
                <w:kern w:val="0"/>
                <w:sz w:val="18"/>
                <w:szCs w:val="18"/>
              </w:rPr>
            </w:pPr>
          </w:p>
        </w:tc>
        <w:tc>
          <w:tcPr>
            <w:tcW w:w="1305" w:type="dxa"/>
            <w:vMerge w:val="continue"/>
            <w:shd w:val="clear" w:color="auto" w:fill="auto"/>
            <w:noWrap w:val="0"/>
            <w:vAlign w:val="center"/>
          </w:tcPr>
          <w:p>
            <w:pPr>
              <w:widowControl/>
              <w:jc w:val="left"/>
              <w:rPr>
                <w:rFonts w:hint="eastAsia" w:ascii="宋体" w:hAnsi="宋体" w:eastAsia="宋体" w:cs="宋体"/>
                <w:color w:val="000000"/>
                <w:kern w:val="0"/>
                <w:sz w:val="18"/>
                <w:szCs w:val="18"/>
              </w:rPr>
            </w:pPr>
          </w:p>
        </w:tc>
        <w:tc>
          <w:tcPr>
            <w:tcW w:w="1245" w:type="dxa"/>
            <w:vMerge w:val="continue"/>
            <w:shd w:val="clear" w:color="auto" w:fill="auto"/>
            <w:noWrap w:val="0"/>
            <w:vAlign w:val="center"/>
          </w:tcPr>
          <w:p>
            <w:pPr>
              <w:widowControl/>
              <w:jc w:val="left"/>
              <w:rPr>
                <w:rFonts w:hint="eastAsia" w:ascii="宋体" w:hAnsi="宋体" w:eastAsia="宋体" w:cs="宋体"/>
                <w:kern w:val="0"/>
                <w:sz w:val="18"/>
                <w:szCs w:val="18"/>
              </w:rPr>
            </w:pPr>
          </w:p>
        </w:tc>
        <w:tc>
          <w:tcPr>
            <w:tcW w:w="1035" w:type="dxa"/>
            <w:shd w:val="clear" w:color="auto" w:fill="auto"/>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全社会</w:t>
            </w:r>
          </w:p>
        </w:tc>
        <w:tc>
          <w:tcPr>
            <w:tcW w:w="720" w:type="dxa"/>
            <w:shd w:val="clear" w:color="auto" w:fill="auto"/>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特定群众</w:t>
            </w:r>
          </w:p>
        </w:tc>
        <w:tc>
          <w:tcPr>
            <w:tcW w:w="720" w:type="dxa"/>
            <w:shd w:val="clear" w:color="auto" w:fill="auto"/>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主动</w:t>
            </w:r>
          </w:p>
        </w:tc>
        <w:tc>
          <w:tcPr>
            <w:tcW w:w="945" w:type="dxa"/>
            <w:shd w:val="clear" w:color="auto" w:fill="auto"/>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依申请公开</w:t>
            </w:r>
          </w:p>
        </w:tc>
        <w:tc>
          <w:tcPr>
            <w:tcW w:w="870" w:type="dxa"/>
            <w:shd w:val="clear" w:color="auto" w:fill="auto"/>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县级</w:t>
            </w:r>
          </w:p>
        </w:tc>
        <w:tc>
          <w:tcPr>
            <w:tcW w:w="840" w:type="dxa"/>
            <w:shd w:val="clear" w:color="auto" w:fill="auto"/>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390" w:type="dxa"/>
            <w:vMerge w:val="restart"/>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416" w:type="dxa"/>
            <w:vMerge w:val="restart"/>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政策</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文件</w:t>
            </w:r>
          </w:p>
        </w:tc>
        <w:tc>
          <w:tcPr>
            <w:tcW w:w="634"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教育法律</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《教育法》、《义务教育法》、《民办教育促进法》、《教师法》、《国家通用语言文字法》</w:t>
            </w:r>
          </w:p>
        </w:tc>
        <w:tc>
          <w:tcPr>
            <w:tcW w:w="121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县（市、区）教育部门</w:t>
            </w:r>
          </w:p>
        </w:tc>
        <w:tc>
          <w:tcPr>
            <w:tcW w:w="1245" w:type="dxa"/>
            <w:shd w:val="clear" w:color="auto" w:fill="auto"/>
            <w:noWrap w:val="0"/>
            <w:vAlign w:val="center"/>
          </w:tcPr>
          <w:p>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continue"/>
            <w:shd w:val="clear" w:color="auto" w:fill="auto"/>
            <w:noWrap w:val="0"/>
            <w:vAlign w:val="center"/>
          </w:tcPr>
          <w:p>
            <w:pPr>
              <w:rPr>
                <w:rFonts w:hint="eastAsia" w:ascii="宋体" w:hAnsi="宋体" w:eastAsia="宋体" w:cs="宋体"/>
                <w:color w:val="000000"/>
                <w:sz w:val="18"/>
                <w:szCs w:val="18"/>
              </w:rPr>
            </w:pPr>
          </w:p>
        </w:tc>
        <w:tc>
          <w:tcPr>
            <w:tcW w:w="416" w:type="dxa"/>
            <w:vMerge w:val="continue"/>
            <w:shd w:val="clear" w:color="auto" w:fill="auto"/>
            <w:noWrap w:val="0"/>
            <w:vAlign w:val="center"/>
          </w:tcPr>
          <w:p>
            <w:pPr>
              <w:rPr>
                <w:rFonts w:hint="eastAsia" w:ascii="宋体" w:hAnsi="宋体" w:eastAsia="宋体" w:cs="宋体"/>
                <w:color w:val="000000"/>
                <w:sz w:val="18"/>
                <w:szCs w:val="18"/>
              </w:rPr>
            </w:pPr>
          </w:p>
        </w:tc>
        <w:tc>
          <w:tcPr>
            <w:tcW w:w="634"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规范性文件</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部门和地方政府规章、各类教育政策文件</w:t>
            </w:r>
          </w:p>
        </w:tc>
        <w:tc>
          <w:tcPr>
            <w:tcW w:w="121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县（市、区）教育部门</w:t>
            </w:r>
          </w:p>
        </w:tc>
        <w:tc>
          <w:tcPr>
            <w:tcW w:w="12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restart"/>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416" w:type="dxa"/>
            <w:vMerge w:val="restart"/>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教育概况</w:t>
            </w:r>
          </w:p>
        </w:tc>
        <w:tc>
          <w:tcPr>
            <w:tcW w:w="634"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教育事业发展主要情况</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教育事业发展主要情况</w:t>
            </w:r>
          </w:p>
        </w:tc>
        <w:tc>
          <w:tcPr>
            <w:tcW w:w="1215" w:type="dxa"/>
            <w:vMerge w:val="restart"/>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《统计法》、《政府信息公开条例》、《教育统计管理规定》</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县（市、区）教育部门</w:t>
            </w:r>
          </w:p>
        </w:tc>
        <w:tc>
          <w:tcPr>
            <w:tcW w:w="12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continue"/>
            <w:shd w:val="clear" w:color="auto" w:fill="auto"/>
            <w:noWrap w:val="0"/>
            <w:vAlign w:val="center"/>
          </w:tcPr>
          <w:p>
            <w:pPr>
              <w:rPr>
                <w:rFonts w:hint="eastAsia" w:ascii="宋体" w:hAnsi="宋体" w:eastAsia="宋体" w:cs="宋体"/>
                <w:color w:val="000000"/>
                <w:sz w:val="18"/>
                <w:szCs w:val="18"/>
              </w:rPr>
            </w:pPr>
          </w:p>
        </w:tc>
        <w:tc>
          <w:tcPr>
            <w:tcW w:w="416" w:type="dxa"/>
            <w:vMerge w:val="continue"/>
            <w:shd w:val="clear" w:color="auto" w:fill="auto"/>
            <w:noWrap w:val="0"/>
            <w:vAlign w:val="center"/>
          </w:tcPr>
          <w:p>
            <w:pPr>
              <w:rPr>
                <w:rFonts w:hint="eastAsia" w:ascii="宋体" w:hAnsi="宋体" w:eastAsia="宋体" w:cs="宋体"/>
                <w:color w:val="000000"/>
                <w:sz w:val="18"/>
                <w:szCs w:val="18"/>
              </w:rPr>
            </w:pPr>
          </w:p>
        </w:tc>
        <w:tc>
          <w:tcPr>
            <w:tcW w:w="634"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教育统计数据</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学校数据、在校生数据、教师数据、办学条件数据、县级汇总数据</w:t>
            </w:r>
          </w:p>
        </w:tc>
        <w:tc>
          <w:tcPr>
            <w:tcW w:w="1215" w:type="dxa"/>
            <w:vMerge w:val="continue"/>
            <w:shd w:val="clear" w:color="auto" w:fill="auto"/>
            <w:noWrap w:val="0"/>
            <w:vAlign w:val="center"/>
          </w:tcPr>
          <w:p>
            <w:pPr>
              <w:rPr>
                <w:rFonts w:hint="eastAsia" w:ascii="宋体" w:hAnsi="宋体" w:eastAsia="宋体" w:cs="宋体"/>
                <w:color w:val="000000"/>
                <w:sz w:val="18"/>
                <w:szCs w:val="18"/>
              </w:rPr>
            </w:pP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县（市、区）教育部门</w:t>
            </w:r>
          </w:p>
        </w:tc>
        <w:tc>
          <w:tcPr>
            <w:tcW w:w="12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continue"/>
            <w:shd w:val="clear" w:color="auto" w:fill="auto"/>
            <w:noWrap w:val="0"/>
            <w:vAlign w:val="center"/>
          </w:tcPr>
          <w:p>
            <w:pPr>
              <w:rPr>
                <w:rFonts w:hint="eastAsia" w:ascii="宋体" w:hAnsi="宋体" w:eastAsia="宋体" w:cs="宋体"/>
                <w:color w:val="000000"/>
                <w:sz w:val="18"/>
                <w:szCs w:val="18"/>
              </w:rPr>
            </w:pPr>
          </w:p>
        </w:tc>
        <w:tc>
          <w:tcPr>
            <w:tcW w:w="416" w:type="dxa"/>
            <w:vMerge w:val="continue"/>
            <w:shd w:val="clear" w:color="auto" w:fill="auto"/>
            <w:noWrap w:val="0"/>
            <w:vAlign w:val="center"/>
          </w:tcPr>
          <w:p>
            <w:pPr>
              <w:rPr>
                <w:rFonts w:hint="eastAsia" w:ascii="宋体" w:hAnsi="宋体" w:eastAsia="宋体" w:cs="宋体"/>
                <w:color w:val="000000"/>
                <w:sz w:val="18"/>
                <w:szCs w:val="18"/>
              </w:rPr>
            </w:pPr>
          </w:p>
        </w:tc>
        <w:tc>
          <w:tcPr>
            <w:tcW w:w="634"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义务教育学校名录</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学校名称、学校地址、办学层次、办学类型、办公电话</w:t>
            </w:r>
          </w:p>
        </w:tc>
        <w:tc>
          <w:tcPr>
            <w:tcW w:w="121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县（市、区）教育部门</w:t>
            </w:r>
          </w:p>
        </w:tc>
        <w:tc>
          <w:tcPr>
            <w:tcW w:w="12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trPr>
        <w:tc>
          <w:tcPr>
            <w:tcW w:w="390" w:type="dxa"/>
            <w:vMerge w:val="restart"/>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416" w:type="dxa"/>
            <w:vMerge w:val="restart"/>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民办学校信息</w:t>
            </w:r>
          </w:p>
        </w:tc>
        <w:tc>
          <w:tcPr>
            <w:tcW w:w="634"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民办学校办学基本信息</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学校名称、办学许可证、办学规模、联系方式</w:t>
            </w:r>
          </w:p>
        </w:tc>
        <w:tc>
          <w:tcPr>
            <w:tcW w:w="1215" w:type="dxa"/>
            <w:vMerge w:val="restart"/>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《民办教育促进法》、《政府信息公开条例》、《国务院关于鼓励社会力量兴办教育 促进民办教育健康发展的若干意见》</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县（市、区）教育部门</w:t>
            </w:r>
          </w:p>
        </w:tc>
        <w:tc>
          <w:tcPr>
            <w:tcW w:w="12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continue"/>
            <w:shd w:val="clear" w:color="auto" w:fill="auto"/>
            <w:noWrap w:val="0"/>
            <w:vAlign w:val="center"/>
          </w:tcPr>
          <w:p>
            <w:pPr>
              <w:rPr>
                <w:rFonts w:hint="eastAsia" w:ascii="宋体" w:hAnsi="宋体" w:eastAsia="宋体" w:cs="宋体"/>
                <w:color w:val="000000"/>
                <w:sz w:val="18"/>
                <w:szCs w:val="18"/>
              </w:rPr>
            </w:pPr>
          </w:p>
        </w:tc>
        <w:tc>
          <w:tcPr>
            <w:tcW w:w="416" w:type="dxa"/>
            <w:vMerge w:val="continue"/>
            <w:shd w:val="clear" w:color="auto" w:fill="auto"/>
            <w:noWrap w:val="0"/>
            <w:vAlign w:val="center"/>
          </w:tcPr>
          <w:p>
            <w:pPr>
              <w:rPr>
                <w:rFonts w:hint="eastAsia" w:ascii="宋体" w:hAnsi="宋体" w:eastAsia="宋体" w:cs="宋体"/>
                <w:color w:val="000000"/>
                <w:sz w:val="18"/>
                <w:szCs w:val="18"/>
              </w:rPr>
            </w:pPr>
          </w:p>
        </w:tc>
        <w:tc>
          <w:tcPr>
            <w:tcW w:w="634"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民办学校设立、变更、终止等事项行政审批、备案信息</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法律依据、办理流程、审批结果</w:t>
            </w:r>
          </w:p>
        </w:tc>
        <w:tc>
          <w:tcPr>
            <w:tcW w:w="1215" w:type="dxa"/>
            <w:vMerge w:val="continue"/>
            <w:shd w:val="clear" w:color="auto" w:fill="auto"/>
            <w:noWrap w:val="0"/>
            <w:vAlign w:val="center"/>
          </w:tcPr>
          <w:p>
            <w:pPr>
              <w:rPr>
                <w:rFonts w:hint="eastAsia" w:ascii="宋体" w:hAnsi="宋体" w:eastAsia="宋体" w:cs="宋体"/>
                <w:color w:val="000000"/>
                <w:sz w:val="18"/>
                <w:szCs w:val="18"/>
              </w:rPr>
            </w:pP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县（市、区）教育部门</w:t>
            </w:r>
          </w:p>
        </w:tc>
        <w:tc>
          <w:tcPr>
            <w:tcW w:w="12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continue"/>
            <w:shd w:val="clear" w:color="auto" w:fill="auto"/>
            <w:noWrap w:val="0"/>
            <w:vAlign w:val="center"/>
          </w:tcPr>
          <w:p>
            <w:pPr>
              <w:rPr>
                <w:rFonts w:hint="eastAsia" w:ascii="宋体" w:hAnsi="宋体" w:eastAsia="宋体" w:cs="宋体"/>
                <w:color w:val="000000"/>
                <w:sz w:val="18"/>
                <w:szCs w:val="18"/>
              </w:rPr>
            </w:pPr>
          </w:p>
        </w:tc>
        <w:tc>
          <w:tcPr>
            <w:tcW w:w="416" w:type="dxa"/>
            <w:vMerge w:val="continue"/>
            <w:shd w:val="clear" w:color="auto" w:fill="auto"/>
            <w:noWrap w:val="0"/>
            <w:vAlign w:val="center"/>
          </w:tcPr>
          <w:p>
            <w:pPr>
              <w:rPr>
                <w:rFonts w:hint="eastAsia" w:ascii="宋体" w:hAnsi="宋体" w:eastAsia="宋体" w:cs="宋体"/>
                <w:color w:val="000000"/>
                <w:sz w:val="18"/>
                <w:szCs w:val="18"/>
              </w:rPr>
            </w:pPr>
          </w:p>
        </w:tc>
        <w:tc>
          <w:tcPr>
            <w:tcW w:w="634"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日常监管信息</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年检指标、年检程序、年检结果</w:t>
            </w:r>
          </w:p>
        </w:tc>
        <w:tc>
          <w:tcPr>
            <w:tcW w:w="1215" w:type="dxa"/>
            <w:vMerge w:val="continue"/>
            <w:shd w:val="clear" w:color="auto" w:fill="auto"/>
            <w:noWrap w:val="0"/>
            <w:vAlign w:val="center"/>
          </w:tcPr>
          <w:p>
            <w:pPr>
              <w:rPr>
                <w:rFonts w:hint="eastAsia" w:ascii="宋体" w:hAnsi="宋体" w:eastAsia="宋体" w:cs="宋体"/>
                <w:color w:val="000000"/>
                <w:sz w:val="18"/>
                <w:szCs w:val="18"/>
              </w:rPr>
            </w:pP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县（市、区）教育部门</w:t>
            </w:r>
          </w:p>
        </w:tc>
        <w:tc>
          <w:tcPr>
            <w:tcW w:w="12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416"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财务信息</w:t>
            </w:r>
          </w:p>
        </w:tc>
        <w:tc>
          <w:tcPr>
            <w:tcW w:w="634" w:type="dxa"/>
            <w:shd w:val="clear" w:color="auto" w:fill="auto"/>
            <w:noWrap/>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财务信息</w:t>
            </w:r>
          </w:p>
        </w:tc>
        <w:tc>
          <w:tcPr>
            <w:tcW w:w="1305" w:type="dxa"/>
            <w:shd w:val="clear" w:color="auto" w:fill="auto"/>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财务管理及监督办法、</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年度经费预决算信息、收费项目及收费标准</w:t>
            </w:r>
          </w:p>
        </w:tc>
        <w:tc>
          <w:tcPr>
            <w:tcW w:w="121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县级、乡级教育部门</w:t>
            </w:r>
          </w:p>
        </w:tc>
        <w:tc>
          <w:tcPr>
            <w:tcW w:w="12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restart"/>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416" w:type="dxa"/>
            <w:vMerge w:val="restart"/>
            <w:shd w:val="clear" w:color="auto" w:fill="auto"/>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招生管理</w:t>
            </w:r>
          </w:p>
        </w:tc>
        <w:tc>
          <w:tcPr>
            <w:tcW w:w="634"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学校介绍</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办学性质、办学地点、办学规模、办学基本条件、联系方式等</w:t>
            </w:r>
          </w:p>
        </w:tc>
        <w:tc>
          <w:tcPr>
            <w:tcW w:w="1215" w:type="dxa"/>
            <w:vMerge w:val="restart"/>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《政府信息公开条例》、《教育部关于进一步做好小学升入初中免试就近入学工作的实施意见》、《教育部关于推进中小学信息公开工作的意见》</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县级、乡级教育部门</w:t>
            </w:r>
          </w:p>
        </w:tc>
        <w:tc>
          <w:tcPr>
            <w:tcW w:w="12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720"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　</w:t>
            </w:r>
          </w:p>
        </w:tc>
        <w:tc>
          <w:tcPr>
            <w:tcW w:w="720"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945"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　</w:t>
            </w:r>
          </w:p>
        </w:tc>
        <w:tc>
          <w:tcPr>
            <w:tcW w:w="870"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840"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continue"/>
            <w:shd w:val="clear" w:color="auto" w:fill="auto"/>
            <w:noWrap w:val="0"/>
            <w:vAlign w:val="center"/>
          </w:tcPr>
          <w:p>
            <w:pPr>
              <w:rPr>
                <w:rFonts w:hint="eastAsia" w:ascii="宋体" w:hAnsi="宋体" w:eastAsia="宋体" w:cs="宋体"/>
                <w:color w:val="000000"/>
                <w:sz w:val="18"/>
                <w:szCs w:val="18"/>
              </w:rPr>
            </w:pPr>
          </w:p>
        </w:tc>
        <w:tc>
          <w:tcPr>
            <w:tcW w:w="416" w:type="dxa"/>
            <w:vMerge w:val="continue"/>
            <w:shd w:val="clear" w:color="auto" w:fill="auto"/>
            <w:noWrap w:val="0"/>
            <w:vAlign w:val="center"/>
          </w:tcPr>
          <w:p>
            <w:pPr>
              <w:rPr>
                <w:rFonts w:hint="eastAsia" w:ascii="宋体" w:hAnsi="宋体" w:eastAsia="宋体" w:cs="宋体"/>
                <w:sz w:val="18"/>
                <w:szCs w:val="18"/>
              </w:rPr>
            </w:pPr>
          </w:p>
        </w:tc>
        <w:tc>
          <w:tcPr>
            <w:tcW w:w="634" w:type="dxa"/>
            <w:shd w:val="clear" w:color="auto" w:fill="auto"/>
            <w:noWrap/>
            <w:vAlign w:val="center"/>
          </w:tcPr>
          <w:p>
            <w:pPr>
              <w:rPr>
                <w:rFonts w:hint="eastAsia" w:ascii="宋体" w:hAnsi="宋体" w:eastAsia="宋体" w:cs="宋体"/>
                <w:sz w:val="18"/>
                <w:szCs w:val="18"/>
              </w:rPr>
            </w:pPr>
            <w:r>
              <w:rPr>
                <w:rFonts w:hint="eastAsia" w:ascii="宋体" w:hAnsi="宋体" w:eastAsia="宋体" w:cs="宋体"/>
                <w:sz w:val="18"/>
                <w:szCs w:val="18"/>
              </w:rPr>
              <w:t>招生政策</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各校招生工作实施方案；随迁子女入学办法；部分适龄儿童或少年延缓入学、休学等特殊需求的政策解读等</w:t>
            </w:r>
          </w:p>
        </w:tc>
        <w:tc>
          <w:tcPr>
            <w:tcW w:w="1215" w:type="dxa"/>
            <w:vMerge w:val="continue"/>
            <w:shd w:val="clear" w:color="auto" w:fill="auto"/>
            <w:noWrap w:val="0"/>
            <w:vAlign w:val="center"/>
          </w:tcPr>
          <w:p>
            <w:pPr>
              <w:rPr>
                <w:rFonts w:hint="eastAsia" w:ascii="宋体" w:hAnsi="宋体" w:eastAsia="宋体" w:cs="宋体"/>
                <w:sz w:val="18"/>
                <w:szCs w:val="18"/>
              </w:rPr>
            </w:pP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县（市、区）教育部门</w:t>
            </w:r>
          </w:p>
        </w:tc>
        <w:tc>
          <w:tcPr>
            <w:tcW w:w="12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720"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　</w:t>
            </w:r>
          </w:p>
        </w:tc>
        <w:tc>
          <w:tcPr>
            <w:tcW w:w="720"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945"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　</w:t>
            </w:r>
          </w:p>
        </w:tc>
        <w:tc>
          <w:tcPr>
            <w:tcW w:w="870"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840"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restart"/>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416" w:type="dxa"/>
            <w:vMerge w:val="restart"/>
            <w:shd w:val="clear" w:color="auto" w:fill="auto"/>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招生管理</w:t>
            </w:r>
          </w:p>
        </w:tc>
        <w:tc>
          <w:tcPr>
            <w:tcW w:w="634"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招生计划</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各校本年度招生计划</w:t>
            </w:r>
          </w:p>
        </w:tc>
        <w:tc>
          <w:tcPr>
            <w:tcW w:w="1215" w:type="dxa"/>
            <w:vMerge w:val="restart"/>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《政府信息公开条例》、《教育部关于进一步做好小学升入初中免试就近入学工作的实施意见》《教育部关于推进中小学信息公开工作的意见》</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县（市、区）教育部门</w:t>
            </w:r>
          </w:p>
        </w:tc>
        <w:tc>
          <w:tcPr>
            <w:tcW w:w="12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720"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　</w:t>
            </w:r>
          </w:p>
        </w:tc>
        <w:tc>
          <w:tcPr>
            <w:tcW w:w="720"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945"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　</w:t>
            </w:r>
          </w:p>
        </w:tc>
        <w:tc>
          <w:tcPr>
            <w:tcW w:w="870"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840"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continue"/>
            <w:shd w:val="clear" w:color="auto" w:fill="auto"/>
            <w:noWrap w:val="0"/>
            <w:vAlign w:val="center"/>
          </w:tcPr>
          <w:p>
            <w:pPr>
              <w:rPr>
                <w:rFonts w:hint="eastAsia" w:ascii="宋体" w:hAnsi="宋体" w:eastAsia="宋体" w:cs="宋体"/>
                <w:color w:val="000000"/>
                <w:sz w:val="18"/>
                <w:szCs w:val="18"/>
              </w:rPr>
            </w:pPr>
          </w:p>
        </w:tc>
        <w:tc>
          <w:tcPr>
            <w:tcW w:w="416" w:type="dxa"/>
            <w:vMerge w:val="continue"/>
            <w:shd w:val="clear" w:color="auto" w:fill="auto"/>
            <w:noWrap w:val="0"/>
            <w:vAlign w:val="center"/>
          </w:tcPr>
          <w:p>
            <w:pPr>
              <w:rPr>
                <w:rFonts w:hint="eastAsia" w:ascii="宋体" w:hAnsi="宋体" w:eastAsia="宋体" w:cs="宋体"/>
                <w:sz w:val="18"/>
                <w:szCs w:val="18"/>
              </w:rPr>
            </w:pPr>
          </w:p>
        </w:tc>
        <w:tc>
          <w:tcPr>
            <w:tcW w:w="634" w:type="dxa"/>
            <w:shd w:val="clear" w:color="auto" w:fill="auto"/>
            <w:noWrap/>
            <w:vAlign w:val="center"/>
          </w:tcPr>
          <w:p>
            <w:pPr>
              <w:rPr>
                <w:rFonts w:hint="eastAsia" w:ascii="宋体" w:hAnsi="宋体" w:eastAsia="宋体" w:cs="宋体"/>
                <w:sz w:val="18"/>
                <w:szCs w:val="18"/>
              </w:rPr>
            </w:pPr>
            <w:r>
              <w:rPr>
                <w:rFonts w:hint="eastAsia" w:ascii="宋体" w:hAnsi="宋体" w:eastAsia="宋体" w:cs="宋体"/>
                <w:sz w:val="18"/>
                <w:szCs w:val="18"/>
              </w:rPr>
              <w:t>招生范围</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招生范围、学区划分详细情况</w:t>
            </w:r>
          </w:p>
        </w:tc>
        <w:tc>
          <w:tcPr>
            <w:tcW w:w="1215" w:type="dxa"/>
            <w:vMerge w:val="continue"/>
            <w:shd w:val="clear" w:color="auto" w:fill="auto"/>
            <w:noWrap w:val="0"/>
            <w:vAlign w:val="center"/>
          </w:tcPr>
          <w:p>
            <w:pPr>
              <w:rPr>
                <w:rFonts w:hint="eastAsia" w:ascii="宋体" w:hAnsi="宋体" w:eastAsia="宋体" w:cs="宋体"/>
                <w:sz w:val="18"/>
                <w:szCs w:val="18"/>
              </w:rPr>
            </w:pP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县（市、区）教育部门</w:t>
            </w:r>
          </w:p>
        </w:tc>
        <w:tc>
          <w:tcPr>
            <w:tcW w:w="12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720" w:type="dxa"/>
            <w:shd w:val="clear" w:color="auto" w:fill="auto"/>
            <w:noWrap/>
            <w:vAlign w:val="center"/>
          </w:tcPr>
          <w:p>
            <w:pPr>
              <w:rPr>
                <w:rFonts w:hint="eastAsia" w:ascii="宋体" w:hAnsi="宋体" w:eastAsia="宋体" w:cs="宋体"/>
                <w:sz w:val="18"/>
                <w:szCs w:val="18"/>
              </w:rPr>
            </w:pPr>
            <w:r>
              <w:rPr>
                <w:rFonts w:hint="eastAsia" w:ascii="宋体" w:hAnsi="宋体" w:eastAsia="宋体" w:cs="宋体"/>
                <w:sz w:val="18"/>
                <w:szCs w:val="18"/>
              </w:rPr>
              <w:t>　</w:t>
            </w:r>
          </w:p>
        </w:tc>
        <w:tc>
          <w:tcPr>
            <w:tcW w:w="720"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945" w:type="dxa"/>
            <w:shd w:val="clear" w:color="auto" w:fill="auto"/>
            <w:noWrap/>
            <w:vAlign w:val="center"/>
          </w:tcPr>
          <w:p>
            <w:pPr>
              <w:rPr>
                <w:rFonts w:hint="eastAsia" w:ascii="宋体" w:hAnsi="宋体" w:eastAsia="宋体" w:cs="宋体"/>
                <w:sz w:val="18"/>
                <w:szCs w:val="18"/>
              </w:rPr>
            </w:pPr>
            <w:r>
              <w:rPr>
                <w:rFonts w:hint="eastAsia" w:ascii="宋体" w:hAnsi="宋体" w:eastAsia="宋体" w:cs="宋体"/>
                <w:sz w:val="18"/>
                <w:szCs w:val="18"/>
              </w:rPr>
              <w:t>　</w:t>
            </w:r>
          </w:p>
        </w:tc>
        <w:tc>
          <w:tcPr>
            <w:tcW w:w="870"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840" w:type="dxa"/>
            <w:shd w:val="clear" w:color="auto" w:fill="auto"/>
            <w:noWrap/>
            <w:vAlign w:val="center"/>
          </w:tcPr>
          <w:p>
            <w:pP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continue"/>
            <w:shd w:val="clear" w:color="auto" w:fill="auto"/>
            <w:noWrap w:val="0"/>
            <w:vAlign w:val="center"/>
          </w:tcPr>
          <w:p>
            <w:pPr>
              <w:rPr>
                <w:rFonts w:hint="eastAsia" w:ascii="宋体" w:hAnsi="宋体" w:eastAsia="宋体" w:cs="宋体"/>
                <w:color w:val="000000"/>
                <w:sz w:val="18"/>
                <w:szCs w:val="18"/>
              </w:rPr>
            </w:pPr>
          </w:p>
        </w:tc>
        <w:tc>
          <w:tcPr>
            <w:tcW w:w="416" w:type="dxa"/>
            <w:vMerge w:val="continue"/>
            <w:shd w:val="clear" w:color="auto" w:fill="auto"/>
            <w:noWrap w:val="0"/>
            <w:vAlign w:val="center"/>
          </w:tcPr>
          <w:p>
            <w:pPr>
              <w:rPr>
                <w:rFonts w:hint="eastAsia" w:ascii="宋体" w:hAnsi="宋体" w:eastAsia="宋体" w:cs="宋体"/>
                <w:sz w:val="18"/>
                <w:szCs w:val="18"/>
              </w:rPr>
            </w:pPr>
          </w:p>
        </w:tc>
        <w:tc>
          <w:tcPr>
            <w:tcW w:w="634"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招生结果</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各校本年度招生结果</w:t>
            </w:r>
          </w:p>
        </w:tc>
        <w:tc>
          <w:tcPr>
            <w:tcW w:w="1215" w:type="dxa"/>
            <w:vMerge w:val="continue"/>
            <w:shd w:val="clear" w:color="auto" w:fill="auto"/>
            <w:noWrap w:val="0"/>
            <w:vAlign w:val="center"/>
          </w:tcPr>
          <w:p>
            <w:pPr>
              <w:rPr>
                <w:rFonts w:hint="eastAsia" w:ascii="宋体" w:hAnsi="宋体" w:eastAsia="宋体" w:cs="宋体"/>
                <w:sz w:val="18"/>
                <w:szCs w:val="18"/>
              </w:rPr>
            </w:pP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县（市、区）教育部门</w:t>
            </w:r>
          </w:p>
        </w:tc>
        <w:tc>
          <w:tcPr>
            <w:tcW w:w="12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720" w:type="dxa"/>
            <w:shd w:val="clear" w:color="auto" w:fill="auto"/>
            <w:noWrap/>
            <w:vAlign w:val="center"/>
          </w:tcPr>
          <w:p>
            <w:pPr>
              <w:rPr>
                <w:rFonts w:hint="eastAsia" w:ascii="宋体" w:hAnsi="宋体" w:eastAsia="宋体" w:cs="宋体"/>
                <w:sz w:val="18"/>
                <w:szCs w:val="18"/>
              </w:rPr>
            </w:pPr>
            <w:r>
              <w:rPr>
                <w:rFonts w:hint="eastAsia" w:ascii="宋体" w:hAnsi="宋体" w:eastAsia="宋体" w:cs="宋体"/>
                <w:sz w:val="18"/>
                <w:szCs w:val="18"/>
              </w:rPr>
              <w:t>　</w:t>
            </w:r>
          </w:p>
        </w:tc>
        <w:tc>
          <w:tcPr>
            <w:tcW w:w="720"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945" w:type="dxa"/>
            <w:shd w:val="clear" w:color="auto" w:fill="auto"/>
            <w:noWrap/>
            <w:vAlign w:val="center"/>
          </w:tcPr>
          <w:p>
            <w:pPr>
              <w:rPr>
                <w:rFonts w:hint="eastAsia" w:ascii="宋体" w:hAnsi="宋体" w:eastAsia="宋体" w:cs="宋体"/>
                <w:sz w:val="18"/>
                <w:szCs w:val="18"/>
              </w:rPr>
            </w:pPr>
            <w:r>
              <w:rPr>
                <w:rFonts w:hint="eastAsia" w:ascii="宋体" w:hAnsi="宋体" w:eastAsia="宋体" w:cs="宋体"/>
                <w:sz w:val="18"/>
                <w:szCs w:val="18"/>
              </w:rPr>
              <w:t>　</w:t>
            </w:r>
          </w:p>
        </w:tc>
        <w:tc>
          <w:tcPr>
            <w:tcW w:w="870"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840" w:type="dxa"/>
            <w:shd w:val="clear" w:color="auto" w:fill="auto"/>
            <w:noWrap/>
            <w:vAlign w:val="center"/>
          </w:tcPr>
          <w:p>
            <w:pP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restart"/>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416" w:type="dxa"/>
            <w:vMerge w:val="restart"/>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学生管理</w:t>
            </w:r>
          </w:p>
        </w:tc>
        <w:tc>
          <w:tcPr>
            <w:tcW w:w="634"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学籍管理</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区域内义务教育阶段学生休学、复学、转学相关政策及所需材料和办理流程；适龄儿童延缓入学所需材料及办理流程；学籍证明、毕（结）业证书遗失办理学历证明确认</w:t>
            </w:r>
          </w:p>
        </w:tc>
        <w:tc>
          <w:tcPr>
            <w:tcW w:w="121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《义务教育法》、《政府信息公开条例》、《中小学生学籍管理办法》</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县（市、区）教育部门</w:t>
            </w:r>
          </w:p>
        </w:tc>
        <w:tc>
          <w:tcPr>
            <w:tcW w:w="1245"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720" w:type="dxa"/>
            <w:shd w:val="clear" w:color="auto" w:fill="auto"/>
            <w:noWrap/>
            <w:vAlign w:val="center"/>
          </w:tcPr>
          <w:p>
            <w:pPr>
              <w:rPr>
                <w:rFonts w:hint="eastAsia" w:ascii="宋体" w:hAnsi="宋体" w:eastAsia="宋体" w:cs="宋体"/>
                <w:sz w:val="18"/>
                <w:szCs w:val="18"/>
              </w:rPr>
            </w:pPr>
            <w:r>
              <w:rPr>
                <w:rFonts w:hint="eastAsia" w:ascii="宋体" w:hAnsi="宋体" w:eastAsia="宋体" w:cs="宋体"/>
                <w:sz w:val="18"/>
                <w:szCs w:val="18"/>
              </w:rPr>
              <w:t>　</w:t>
            </w:r>
          </w:p>
        </w:tc>
        <w:tc>
          <w:tcPr>
            <w:tcW w:w="720"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945" w:type="dxa"/>
            <w:shd w:val="clear" w:color="auto" w:fill="auto"/>
            <w:noWrap/>
            <w:vAlign w:val="center"/>
          </w:tcPr>
          <w:p>
            <w:pPr>
              <w:rPr>
                <w:rFonts w:hint="eastAsia" w:ascii="宋体" w:hAnsi="宋体" w:eastAsia="宋体" w:cs="宋体"/>
                <w:sz w:val="18"/>
                <w:szCs w:val="18"/>
              </w:rPr>
            </w:pPr>
            <w:r>
              <w:rPr>
                <w:rFonts w:hint="eastAsia" w:ascii="宋体" w:hAnsi="宋体" w:eastAsia="宋体" w:cs="宋体"/>
                <w:sz w:val="18"/>
                <w:szCs w:val="18"/>
              </w:rPr>
              <w:t>　</w:t>
            </w:r>
          </w:p>
        </w:tc>
        <w:tc>
          <w:tcPr>
            <w:tcW w:w="870"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840" w:type="dxa"/>
            <w:shd w:val="clear" w:color="auto" w:fill="auto"/>
            <w:noWrap/>
            <w:vAlign w:val="center"/>
          </w:tcPr>
          <w:p>
            <w:pP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continue"/>
            <w:shd w:val="clear" w:color="auto" w:fill="auto"/>
            <w:noWrap w:val="0"/>
            <w:vAlign w:val="center"/>
          </w:tcPr>
          <w:p>
            <w:pPr>
              <w:rPr>
                <w:rFonts w:hint="eastAsia" w:ascii="宋体" w:hAnsi="宋体" w:eastAsia="宋体" w:cs="宋体"/>
                <w:color w:val="000000"/>
                <w:sz w:val="18"/>
                <w:szCs w:val="18"/>
              </w:rPr>
            </w:pPr>
          </w:p>
        </w:tc>
        <w:tc>
          <w:tcPr>
            <w:tcW w:w="416" w:type="dxa"/>
            <w:vMerge w:val="continue"/>
            <w:shd w:val="clear" w:color="auto" w:fill="auto"/>
            <w:noWrap w:val="0"/>
            <w:vAlign w:val="center"/>
          </w:tcPr>
          <w:p>
            <w:pPr>
              <w:rPr>
                <w:rFonts w:hint="eastAsia" w:ascii="宋体" w:hAnsi="宋体" w:eastAsia="宋体" w:cs="宋体"/>
                <w:sz w:val="18"/>
                <w:szCs w:val="18"/>
              </w:rPr>
            </w:pPr>
          </w:p>
        </w:tc>
        <w:tc>
          <w:tcPr>
            <w:tcW w:w="634"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义务教育学生资助政策</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统一城乡义务教育“两免一补”政策</w:t>
            </w:r>
          </w:p>
        </w:tc>
        <w:tc>
          <w:tcPr>
            <w:tcW w:w="121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《政府信息公开条例》、《国务院关于进一步完善城乡义务教育经费保障机制的通知》</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县级、乡级教育部门</w:t>
            </w:r>
          </w:p>
        </w:tc>
        <w:tc>
          <w:tcPr>
            <w:tcW w:w="12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trPr>
        <w:tc>
          <w:tcPr>
            <w:tcW w:w="390" w:type="dxa"/>
            <w:vMerge w:val="continue"/>
            <w:shd w:val="clear" w:color="auto" w:fill="auto"/>
            <w:noWrap w:val="0"/>
            <w:vAlign w:val="center"/>
          </w:tcPr>
          <w:p>
            <w:pPr>
              <w:rPr>
                <w:rFonts w:hint="eastAsia" w:ascii="宋体" w:hAnsi="宋体" w:eastAsia="宋体" w:cs="宋体"/>
                <w:color w:val="000000"/>
                <w:sz w:val="18"/>
                <w:szCs w:val="18"/>
              </w:rPr>
            </w:pPr>
          </w:p>
        </w:tc>
        <w:tc>
          <w:tcPr>
            <w:tcW w:w="416" w:type="dxa"/>
            <w:vMerge w:val="continue"/>
            <w:shd w:val="clear" w:color="auto" w:fill="auto"/>
            <w:noWrap w:val="0"/>
            <w:vAlign w:val="center"/>
          </w:tcPr>
          <w:p>
            <w:pPr>
              <w:rPr>
                <w:rFonts w:hint="eastAsia" w:ascii="宋体" w:hAnsi="宋体" w:eastAsia="宋体" w:cs="宋体"/>
                <w:sz w:val="18"/>
                <w:szCs w:val="18"/>
              </w:rPr>
            </w:pPr>
          </w:p>
        </w:tc>
        <w:tc>
          <w:tcPr>
            <w:tcW w:w="634"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学生评优奖励</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省市县“三好学生”“优秀学生干部”评选标准；评比方法；表彰名单等</w:t>
            </w:r>
          </w:p>
        </w:tc>
        <w:tc>
          <w:tcPr>
            <w:tcW w:w="121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《政府信息公开条例》，当地省市县表彰文件</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县（市、区）教育部门</w:t>
            </w:r>
          </w:p>
        </w:tc>
        <w:tc>
          <w:tcPr>
            <w:tcW w:w="1245"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720" w:type="dxa"/>
            <w:shd w:val="clear" w:color="auto" w:fill="auto"/>
            <w:noWrap/>
            <w:vAlign w:val="center"/>
          </w:tcPr>
          <w:p>
            <w:pPr>
              <w:rPr>
                <w:rFonts w:hint="eastAsia" w:ascii="宋体" w:hAnsi="宋体" w:eastAsia="宋体" w:cs="宋体"/>
                <w:sz w:val="18"/>
                <w:szCs w:val="18"/>
              </w:rPr>
            </w:pPr>
            <w:r>
              <w:rPr>
                <w:rFonts w:hint="eastAsia" w:ascii="宋体" w:hAnsi="宋体" w:eastAsia="宋体" w:cs="宋体"/>
                <w:sz w:val="18"/>
                <w:szCs w:val="18"/>
              </w:rPr>
              <w:t>　</w:t>
            </w:r>
          </w:p>
        </w:tc>
        <w:tc>
          <w:tcPr>
            <w:tcW w:w="720"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945" w:type="dxa"/>
            <w:shd w:val="clear" w:color="auto" w:fill="auto"/>
            <w:noWrap/>
            <w:vAlign w:val="center"/>
          </w:tcPr>
          <w:p>
            <w:pPr>
              <w:rPr>
                <w:rFonts w:hint="eastAsia" w:ascii="宋体" w:hAnsi="宋体" w:eastAsia="宋体" w:cs="宋体"/>
                <w:sz w:val="18"/>
                <w:szCs w:val="18"/>
              </w:rPr>
            </w:pPr>
            <w:r>
              <w:rPr>
                <w:rFonts w:hint="eastAsia" w:ascii="宋体" w:hAnsi="宋体" w:eastAsia="宋体" w:cs="宋体"/>
                <w:sz w:val="18"/>
                <w:szCs w:val="18"/>
              </w:rPr>
              <w:t>　</w:t>
            </w:r>
          </w:p>
        </w:tc>
        <w:tc>
          <w:tcPr>
            <w:tcW w:w="870"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840" w:type="dxa"/>
            <w:shd w:val="clear" w:color="auto" w:fill="auto"/>
            <w:noWrap/>
            <w:vAlign w:val="center"/>
          </w:tcPr>
          <w:p>
            <w:pP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416"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学生管理</w:t>
            </w:r>
          </w:p>
        </w:tc>
        <w:tc>
          <w:tcPr>
            <w:tcW w:w="634"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优待政策</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121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县（市、区）教育部门</w:t>
            </w:r>
          </w:p>
        </w:tc>
        <w:tc>
          <w:tcPr>
            <w:tcW w:w="1245"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720" w:type="dxa"/>
            <w:shd w:val="clear" w:color="auto" w:fill="auto"/>
            <w:noWrap/>
            <w:vAlign w:val="center"/>
          </w:tcPr>
          <w:p>
            <w:pPr>
              <w:rPr>
                <w:rFonts w:hint="eastAsia" w:ascii="宋体" w:hAnsi="宋体" w:eastAsia="宋体" w:cs="宋体"/>
                <w:sz w:val="18"/>
                <w:szCs w:val="18"/>
              </w:rPr>
            </w:pPr>
            <w:r>
              <w:rPr>
                <w:rFonts w:hint="eastAsia" w:ascii="宋体" w:hAnsi="宋体" w:eastAsia="宋体" w:cs="宋体"/>
                <w:sz w:val="18"/>
                <w:szCs w:val="18"/>
              </w:rPr>
              <w:t>　</w:t>
            </w:r>
          </w:p>
        </w:tc>
        <w:tc>
          <w:tcPr>
            <w:tcW w:w="720"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945" w:type="dxa"/>
            <w:shd w:val="clear" w:color="auto" w:fill="auto"/>
            <w:noWrap/>
            <w:vAlign w:val="center"/>
          </w:tcPr>
          <w:p>
            <w:pPr>
              <w:rPr>
                <w:rFonts w:hint="eastAsia" w:ascii="宋体" w:hAnsi="宋体" w:eastAsia="宋体" w:cs="宋体"/>
                <w:sz w:val="18"/>
                <w:szCs w:val="18"/>
              </w:rPr>
            </w:pPr>
            <w:r>
              <w:rPr>
                <w:rFonts w:hint="eastAsia" w:ascii="宋体" w:hAnsi="宋体" w:eastAsia="宋体" w:cs="宋体"/>
                <w:sz w:val="18"/>
                <w:szCs w:val="18"/>
              </w:rPr>
              <w:t>　</w:t>
            </w:r>
          </w:p>
        </w:tc>
        <w:tc>
          <w:tcPr>
            <w:tcW w:w="870"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840" w:type="dxa"/>
            <w:shd w:val="clear" w:color="auto" w:fill="auto"/>
            <w:noWrap/>
            <w:vAlign w:val="center"/>
          </w:tcPr>
          <w:p>
            <w:pP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restart"/>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416" w:type="dxa"/>
            <w:vMerge w:val="restart"/>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教师管理</w:t>
            </w:r>
          </w:p>
        </w:tc>
        <w:tc>
          <w:tcPr>
            <w:tcW w:w="634"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教师培训</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教师培训政策文件、培训项目组织实施通知</w:t>
            </w:r>
          </w:p>
        </w:tc>
        <w:tc>
          <w:tcPr>
            <w:tcW w:w="121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《教育法》、《教师法》、《中小学教师继续教育规定》</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县（市、区）教育部门</w:t>
            </w:r>
          </w:p>
        </w:tc>
        <w:tc>
          <w:tcPr>
            <w:tcW w:w="12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continue"/>
            <w:shd w:val="clear" w:color="auto" w:fill="auto"/>
            <w:noWrap w:val="0"/>
            <w:vAlign w:val="center"/>
          </w:tcPr>
          <w:p>
            <w:pPr>
              <w:rPr>
                <w:rFonts w:hint="eastAsia" w:ascii="宋体" w:hAnsi="宋体" w:eastAsia="宋体" w:cs="宋体"/>
                <w:color w:val="000000"/>
                <w:sz w:val="18"/>
                <w:szCs w:val="18"/>
              </w:rPr>
            </w:pPr>
          </w:p>
        </w:tc>
        <w:tc>
          <w:tcPr>
            <w:tcW w:w="416" w:type="dxa"/>
            <w:vMerge w:val="continue"/>
            <w:shd w:val="clear" w:color="auto" w:fill="auto"/>
            <w:noWrap w:val="0"/>
            <w:vAlign w:val="center"/>
          </w:tcPr>
          <w:p>
            <w:pPr>
              <w:rPr>
                <w:rFonts w:hint="eastAsia" w:ascii="宋体" w:hAnsi="宋体" w:eastAsia="宋体" w:cs="宋体"/>
                <w:color w:val="000000"/>
                <w:sz w:val="18"/>
                <w:szCs w:val="18"/>
              </w:rPr>
            </w:pPr>
          </w:p>
        </w:tc>
        <w:tc>
          <w:tcPr>
            <w:tcW w:w="634"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教师资格认定</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教师资格认定申请材料；参加体检时间、医疗机构名单、体检合格标准；认定结果；咨询方式、监督举报方式、常见问题等</w:t>
            </w:r>
          </w:p>
        </w:tc>
        <w:tc>
          <w:tcPr>
            <w:tcW w:w="121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《教师法》、《政府信息公开条例》、《教师资格条例》及实施办法、《教育部关于印发〈教师资格证书管理规定〉的通知》</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县（市、区）教育部门</w:t>
            </w:r>
          </w:p>
        </w:tc>
        <w:tc>
          <w:tcPr>
            <w:tcW w:w="12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416"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教师管理</w:t>
            </w:r>
          </w:p>
        </w:tc>
        <w:tc>
          <w:tcPr>
            <w:tcW w:w="634"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教师公开招聘</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教师招聘计划和公告、拟聘用人员名单公示</w:t>
            </w:r>
          </w:p>
        </w:tc>
        <w:tc>
          <w:tcPr>
            <w:tcW w:w="121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《政府信息公开条例》、《事业单位公开招聘人员暂行规定》、《关于进一步规范事业单位公开招聘工作的通知》、《人力资源社会保障部关于事业单位公开招聘岗位条件设置有关问题的通知》</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县（市、区）教育部门</w:t>
            </w:r>
          </w:p>
        </w:tc>
        <w:tc>
          <w:tcPr>
            <w:tcW w:w="12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416"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教师管理</w:t>
            </w:r>
          </w:p>
        </w:tc>
        <w:tc>
          <w:tcPr>
            <w:tcW w:w="634"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教师</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行为</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规范</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教师职业行为准则及违规处理办法</w:t>
            </w:r>
          </w:p>
        </w:tc>
        <w:tc>
          <w:tcPr>
            <w:tcW w:w="121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县（市、区）教育部门</w:t>
            </w:r>
          </w:p>
        </w:tc>
        <w:tc>
          <w:tcPr>
            <w:tcW w:w="12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restart"/>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416" w:type="dxa"/>
            <w:vMerge w:val="restart"/>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教师管理</w:t>
            </w:r>
          </w:p>
        </w:tc>
        <w:tc>
          <w:tcPr>
            <w:tcW w:w="634" w:type="dxa"/>
            <w:vMerge w:val="restart"/>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教师评优评先</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优秀教师的表彰、奖励等行政奖励信息公示</w:t>
            </w:r>
          </w:p>
        </w:tc>
        <w:tc>
          <w:tcPr>
            <w:tcW w:w="121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《教师法》、《中共中央 国务院关于全面深化新时代教师队伍建设改革的意见》</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县（市、区）教育部门</w:t>
            </w:r>
          </w:p>
        </w:tc>
        <w:tc>
          <w:tcPr>
            <w:tcW w:w="12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continue"/>
            <w:shd w:val="clear" w:color="auto" w:fill="auto"/>
            <w:noWrap w:val="0"/>
            <w:vAlign w:val="center"/>
          </w:tcPr>
          <w:p>
            <w:pPr>
              <w:rPr>
                <w:rFonts w:hint="eastAsia" w:ascii="宋体" w:hAnsi="宋体" w:eastAsia="宋体" w:cs="宋体"/>
                <w:color w:val="000000"/>
                <w:sz w:val="18"/>
                <w:szCs w:val="18"/>
              </w:rPr>
            </w:pPr>
          </w:p>
        </w:tc>
        <w:tc>
          <w:tcPr>
            <w:tcW w:w="416" w:type="dxa"/>
            <w:vMerge w:val="continue"/>
            <w:shd w:val="clear" w:color="auto" w:fill="auto"/>
            <w:noWrap w:val="0"/>
            <w:vAlign w:val="center"/>
          </w:tcPr>
          <w:p>
            <w:pPr>
              <w:rPr>
                <w:rFonts w:hint="eastAsia" w:ascii="宋体" w:hAnsi="宋体" w:eastAsia="宋体" w:cs="宋体"/>
                <w:color w:val="000000"/>
                <w:sz w:val="18"/>
                <w:szCs w:val="18"/>
              </w:rPr>
            </w:pPr>
          </w:p>
        </w:tc>
        <w:tc>
          <w:tcPr>
            <w:tcW w:w="634" w:type="dxa"/>
            <w:vMerge w:val="continue"/>
            <w:shd w:val="clear" w:color="auto" w:fill="auto"/>
            <w:noWrap w:val="0"/>
            <w:vAlign w:val="center"/>
          </w:tcPr>
          <w:p>
            <w:pPr>
              <w:rPr>
                <w:rFonts w:hint="eastAsia" w:ascii="宋体" w:hAnsi="宋体" w:eastAsia="宋体" w:cs="宋体"/>
                <w:color w:val="000000"/>
                <w:sz w:val="18"/>
                <w:szCs w:val="18"/>
              </w:rPr>
            </w:pP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任教30年乡村教师以上教师申请荣誉证书相关政策</w:t>
            </w:r>
          </w:p>
        </w:tc>
        <w:tc>
          <w:tcPr>
            <w:tcW w:w="121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《政府信息公开条例》、《关于做好乡村学校从教30年教师荣誉证书颁发工作的通知》</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县（市、区）教育部门</w:t>
            </w:r>
          </w:p>
        </w:tc>
        <w:tc>
          <w:tcPr>
            <w:tcW w:w="12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continue"/>
            <w:shd w:val="clear" w:color="auto" w:fill="auto"/>
            <w:noWrap w:val="0"/>
            <w:vAlign w:val="center"/>
          </w:tcPr>
          <w:p>
            <w:pPr>
              <w:rPr>
                <w:rFonts w:hint="eastAsia" w:ascii="宋体" w:hAnsi="宋体" w:eastAsia="宋体" w:cs="宋体"/>
                <w:color w:val="000000"/>
                <w:sz w:val="18"/>
                <w:szCs w:val="18"/>
              </w:rPr>
            </w:pPr>
          </w:p>
        </w:tc>
        <w:tc>
          <w:tcPr>
            <w:tcW w:w="416" w:type="dxa"/>
            <w:vMerge w:val="continue"/>
            <w:shd w:val="clear" w:color="auto" w:fill="auto"/>
            <w:noWrap w:val="0"/>
            <w:vAlign w:val="center"/>
          </w:tcPr>
          <w:p>
            <w:pPr>
              <w:rPr>
                <w:rFonts w:hint="eastAsia" w:ascii="宋体" w:hAnsi="宋体" w:eastAsia="宋体" w:cs="宋体"/>
                <w:color w:val="000000"/>
                <w:sz w:val="18"/>
                <w:szCs w:val="18"/>
              </w:rPr>
            </w:pPr>
          </w:p>
        </w:tc>
        <w:tc>
          <w:tcPr>
            <w:tcW w:w="634"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教师职称评审</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评审政策、评审通知、学校拟推荐人选名单、评审结果</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、最终结果</w:t>
            </w:r>
          </w:p>
        </w:tc>
        <w:tc>
          <w:tcPr>
            <w:tcW w:w="121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《政府信息公开条例》、《人力资源社会保障部教育部关于印发深化中小学教师职称制度改革的指导意见的通知》</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信息形成（变更）3个工作日内，公示时间不少于7个工作日</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县级、乡级教育部门</w:t>
            </w:r>
          </w:p>
        </w:tc>
        <w:tc>
          <w:tcPr>
            <w:tcW w:w="12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教师</w:t>
            </w:r>
          </w:p>
        </w:tc>
        <w:tc>
          <w:tcPr>
            <w:tcW w:w="720"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416"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教师管理</w:t>
            </w:r>
          </w:p>
        </w:tc>
        <w:tc>
          <w:tcPr>
            <w:tcW w:w="634"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乡村教师生活补助</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管理制度、实施方案、实施时间、补助范围、发放对象、补助档次标准、发放情况</w:t>
            </w:r>
          </w:p>
        </w:tc>
        <w:tc>
          <w:tcPr>
            <w:tcW w:w="121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《政府信息公开条例》、《教育部 财政部关于落实2013年中央1号文件要求对在连片特困地区工作的乡村教师给予生活补助的通知》、《教育部关于加强乡村教师生活补助经费管理有关工作的通知》</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信息形成（变更）3个工作日内；教师申领情况进行常年公示</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县（市、区）教育部门</w:t>
            </w:r>
          </w:p>
        </w:tc>
        <w:tc>
          <w:tcPr>
            <w:tcW w:w="12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4" w:hRule="atLeast"/>
        </w:trPr>
        <w:tc>
          <w:tcPr>
            <w:tcW w:w="390" w:type="dxa"/>
            <w:vMerge w:val="restart"/>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c>
          <w:tcPr>
            <w:tcW w:w="416"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重要政策执行情况</w:t>
            </w:r>
          </w:p>
        </w:tc>
        <w:tc>
          <w:tcPr>
            <w:tcW w:w="634"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控辍保学</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“一县一策”控辍保学工作方案；年度工作进展情况（含义务教育学生失学、辍学的总体情况，建档立卡家庭贫困学生总体就学情况）</w:t>
            </w:r>
          </w:p>
        </w:tc>
        <w:tc>
          <w:tcPr>
            <w:tcW w:w="121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《政府信息公开条例》、《国务院办公厅关于进一步加强控辍保学提高义务教育巩固水平的通知</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县（市、区）教育部门</w:t>
            </w:r>
          </w:p>
        </w:tc>
        <w:tc>
          <w:tcPr>
            <w:tcW w:w="1245" w:type="dxa"/>
            <w:shd w:val="clear" w:color="auto" w:fill="auto"/>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ign w:val="center"/>
          </w:tcPr>
          <w:p>
            <w:pPr>
              <w:rPr>
                <w:rFonts w:hint="eastAsia" w:ascii="宋体" w:hAnsi="宋体" w:eastAsia="宋体" w:cs="宋体"/>
                <w:sz w:val="18"/>
                <w:szCs w:val="18"/>
              </w:rPr>
            </w:pPr>
            <w:r>
              <w:rPr>
                <w:rFonts w:hint="eastAsia" w:ascii="宋体" w:hAnsi="宋体" w:eastAsia="宋体" w:cs="宋体"/>
                <w:sz w:val="18"/>
                <w:szCs w:val="18"/>
              </w:rPr>
              <w:t>　</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ign w:val="center"/>
          </w:tcPr>
          <w:p>
            <w:pPr>
              <w:rPr>
                <w:rFonts w:hint="eastAsia" w:ascii="宋体" w:hAnsi="宋体" w:eastAsia="宋体" w:cs="宋体"/>
                <w:sz w:val="18"/>
                <w:szCs w:val="18"/>
              </w:rPr>
            </w:pPr>
            <w:r>
              <w:rPr>
                <w:rFonts w:hint="eastAsia" w:ascii="宋体" w:hAnsi="宋体" w:eastAsia="宋体" w:cs="宋体"/>
                <w:sz w:val="18"/>
                <w:szCs w:val="18"/>
              </w:rPr>
              <w:t>　</w:t>
            </w:r>
          </w:p>
        </w:tc>
        <w:tc>
          <w:tcPr>
            <w:tcW w:w="87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ign w:val="center"/>
          </w:tcPr>
          <w:p>
            <w:pP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continue"/>
            <w:shd w:val="clear" w:color="auto" w:fill="auto"/>
            <w:noWrap w:val="0"/>
            <w:vAlign w:val="center"/>
          </w:tcPr>
          <w:p>
            <w:pPr>
              <w:jc w:val="center"/>
              <w:rPr>
                <w:rFonts w:hint="eastAsia" w:ascii="宋体" w:hAnsi="宋体" w:eastAsia="宋体" w:cs="宋体"/>
                <w:color w:val="000000"/>
                <w:sz w:val="18"/>
                <w:szCs w:val="18"/>
              </w:rPr>
            </w:pPr>
          </w:p>
        </w:tc>
        <w:tc>
          <w:tcPr>
            <w:tcW w:w="416" w:type="dxa"/>
            <w:vMerge w:val="restart"/>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重要政策执行情况</w:t>
            </w:r>
          </w:p>
        </w:tc>
        <w:tc>
          <w:tcPr>
            <w:tcW w:w="634" w:type="dxa"/>
            <w:vMerge w:val="restart"/>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农村义务教育学生营养改善计划</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有关政策法规、规章、规范性文件；组织机构和职责，举报电话、信箱或电子邮箱</w:t>
            </w:r>
            <w:r>
              <w:rPr>
                <w:rFonts w:hint="eastAsia" w:ascii="宋体" w:hAnsi="宋体" w:eastAsia="宋体" w:cs="宋体"/>
                <w:sz w:val="18"/>
                <w:szCs w:val="18"/>
              </w:rPr>
              <w:br w:type="textWrapping"/>
            </w:r>
            <w:r>
              <w:rPr>
                <w:rFonts w:hint="eastAsia" w:ascii="宋体" w:hAnsi="宋体" w:eastAsia="宋体" w:cs="宋体"/>
                <w:sz w:val="18"/>
                <w:szCs w:val="18"/>
              </w:rPr>
              <w:t>；供餐企业、托餐家庭名单</w:t>
            </w:r>
          </w:p>
        </w:tc>
        <w:tc>
          <w:tcPr>
            <w:tcW w:w="1215" w:type="dxa"/>
            <w:vMerge w:val="restart"/>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《政府信息公开条例》</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《国务院办公厅关于实施农村义务教育学生营养改善计划的意见》《教育部等十五部门关于印发〈农村义务教育学生营养改善计划实施细则〉等五个配套文件的通知》</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县（市、区）教育部门</w:t>
            </w:r>
          </w:p>
        </w:tc>
        <w:tc>
          <w:tcPr>
            <w:tcW w:w="1245" w:type="dxa"/>
            <w:shd w:val="clear" w:color="auto" w:fill="auto"/>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continue"/>
            <w:shd w:val="clear" w:color="auto" w:fill="auto"/>
            <w:noWrap w:val="0"/>
            <w:vAlign w:val="center"/>
          </w:tcPr>
          <w:p>
            <w:pPr>
              <w:rPr>
                <w:rFonts w:hint="eastAsia" w:ascii="宋体" w:hAnsi="宋体" w:eastAsia="宋体" w:cs="宋体"/>
                <w:color w:val="000000"/>
                <w:sz w:val="18"/>
                <w:szCs w:val="18"/>
              </w:rPr>
            </w:pPr>
          </w:p>
        </w:tc>
        <w:tc>
          <w:tcPr>
            <w:tcW w:w="416" w:type="dxa"/>
            <w:vMerge w:val="continue"/>
            <w:shd w:val="clear" w:color="auto" w:fill="auto"/>
            <w:noWrap w:val="0"/>
            <w:vAlign w:val="center"/>
          </w:tcPr>
          <w:p>
            <w:pPr>
              <w:rPr>
                <w:rFonts w:hint="eastAsia" w:ascii="宋体" w:hAnsi="宋体" w:eastAsia="宋体" w:cs="宋体"/>
                <w:color w:val="000000"/>
                <w:sz w:val="18"/>
                <w:szCs w:val="18"/>
              </w:rPr>
            </w:pPr>
          </w:p>
        </w:tc>
        <w:tc>
          <w:tcPr>
            <w:tcW w:w="634" w:type="dxa"/>
            <w:vMerge w:val="continue"/>
            <w:shd w:val="clear" w:color="auto" w:fill="auto"/>
            <w:noWrap w:val="0"/>
            <w:vAlign w:val="center"/>
          </w:tcPr>
          <w:p>
            <w:pPr>
              <w:rPr>
                <w:rFonts w:hint="eastAsia" w:ascii="宋体" w:hAnsi="宋体" w:eastAsia="宋体" w:cs="宋体"/>
                <w:color w:val="000000"/>
                <w:sz w:val="18"/>
                <w:szCs w:val="18"/>
              </w:rPr>
            </w:pP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学校食堂饭菜价格、带量食谱；学校膳食委员会名单；学校管理人员陪餐情况；食品安全突发事件应急预案</w:t>
            </w:r>
          </w:p>
        </w:tc>
        <w:tc>
          <w:tcPr>
            <w:tcW w:w="1215" w:type="dxa"/>
            <w:vMerge w:val="continue"/>
            <w:shd w:val="clear" w:color="auto" w:fill="auto"/>
            <w:noWrap w:val="0"/>
            <w:vAlign w:val="center"/>
          </w:tcPr>
          <w:p>
            <w:pPr>
              <w:rPr>
                <w:rFonts w:hint="eastAsia" w:ascii="宋体" w:hAnsi="宋体" w:eastAsia="宋体" w:cs="宋体"/>
                <w:color w:val="000000"/>
                <w:sz w:val="18"/>
                <w:szCs w:val="18"/>
              </w:rPr>
            </w:pP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sz w:val="18"/>
                <w:szCs w:val="18"/>
              </w:rPr>
            </w:pPr>
            <w:r>
              <w:rPr>
                <w:rFonts w:hint="eastAsia" w:ascii="宋体" w:hAnsi="宋体" w:eastAsia="宋体" w:cs="宋体"/>
                <w:sz w:val="18"/>
                <w:szCs w:val="18"/>
              </w:rPr>
              <w:t>实施营养改善计划的试点学校</w:t>
            </w:r>
          </w:p>
        </w:tc>
        <w:tc>
          <w:tcPr>
            <w:tcW w:w="1245" w:type="dxa"/>
            <w:shd w:val="clear" w:color="auto" w:fill="auto"/>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continue"/>
            <w:shd w:val="clear" w:color="auto" w:fill="auto"/>
            <w:noWrap w:val="0"/>
            <w:vAlign w:val="center"/>
          </w:tcPr>
          <w:p>
            <w:pPr>
              <w:rPr>
                <w:rFonts w:hint="eastAsia" w:ascii="宋体" w:hAnsi="宋体" w:eastAsia="宋体" w:cs="宋体"/>
                <w:color w:val="000000"/>
                <w:sz w:val="18"/>
                <w:szCs w:val="18"/>
              </w:rPr>
            </w:pPr>
          </w:p>
        </w:tc>
        <w:tc>
          <w:tcPr>
            <w:tcW w:w="416" w:type="dxa"/>
            <w:vMerge w:val="continue"/>
            <w:shd w:val="clear" w:color="auto" w:fill="auto"/>
            <w:noWrap w:val="0"/>
            <w:vAlign w:val="center"/>
          </w:tcPr>
          <w:p>
            <w:pPr>
              <w:rPr>
                <w:rFonts w:hint="eastAsia" w:ascii="宋体" w:hAnsi="宋体" w:eastAsia="宋体" w:cs="宋体"/>
                <w:color w:val="000000"/>
                <w:sz w:val="18"/>
                <w:szCs w:val="18"/>
              </w:rPr>
            </w:pPr>
          </w:p>
        </w:tc>
        <w:tc>
          <w:tcPr>
            <w:tcW w:w="634" w:type="dxa"/>
            <w:vMerge w:val="continue"/>
            <w:shd w:val="clear" w:color="auto" w:fill="auto"/>
            <w:noWrap w:val="0"/>
            <w:vAlign w:val="center"/>
          </w:tcPr>
          <w:p>
            <w:pPr>
              <w:rPr>
                <w:rFonts w:hint="eastAsia" w:ascii="宋体" w:hAnsi="宋体" w:eastAsia="宋体" w:cs="宋体"/>
                <w:color w:val="000000"/>
                <w:sz w:val="18"/>
                <w:szCs w:val="18"/>
              </w:rPr>
            </w:pP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供餐企业（单位）配套管理制度，食品安全责任人、供餐方签约人；食品安全突发事件应急预案</w:t>
            </w:r>
          </w:p>
        </w:tc>
        <w:tc>
          <w:tcPr>
            <w:tcW w:w="1215" w:type="dxa"/>
            <w:vMerge w:val="continue"/>
            <w:shd w:val="clear" w:color="auto" w:fill="auto"/>
            <w:noWrap w:val="0"/>
            <w:vAlign w:val="center"/>
          </w:tcPr>
          <w:p>
            <w:pPr>
              <w:rPr>
                <w:rFonts w:hint="eastAsia" w:ascii="宋体" w:hAnsi="宋体" w:eastAsia="宋体" w:cs="宋体"/>
                <w:color w:val="000000"/>
                <w:sz w:val="18"/>
                <w:szCs w:val="18"/>
              </w:rPr>
            </w:pP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实施营养改善计划的供餐企业（单位）</w:t>
            </w:r>
          </w:p>
        </w:tc>
        <w:tc>
          <w:tcPr>
            <w:tcW w:w="1245" w:type="dxa"/>
            <w:shd w:val="clear" w:color="auto" w:fill="auto"/>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390" w:type="dxa"/>
            <w:vMerge w:val="restart"/>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w:t>
            </w:r>
          </w:p>
        </w:tc>
        <w:tc>
          <w:tcPr>
            <w:tcW w:w="416" w:type="dxa"/>
            <w:vMerge w:val="restart"/>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教育督导</w:t>
            </w:r>
          </w:p>
        </w:tc>
        <w:tc>
          <w:tcPr>
            <w:tcW w:w="634"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机构队伍</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督导部门组成、督学名单、</w:t>
            </w:r>
          </w:p>
        </w:tc>
        <w:tc>
          <w:tcPr>
            <w:tcW w:w="1215" w:type="dxa"/>
            <w:vMerge w:val="restart"/>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《教育督导条例》、《县域义务教育均衡发展督导评估暂行办法》、《县域义务教育优质均衡发展督导评估办法》</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县（市、区）教育部门</w:t>
            </w:r>
          </w:p>
        </w:tc>
        <w:tc>
          <w:tcPr>
            <w:tcW w:w="1245"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ign w:val="center"/>
          </w:tcPr>
          <w:p>
            <w:pPr>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continue"/>
            <w:shd w:val="clear" w:color="auto" w:fill="auto"/>
            <w:noWrap w:val="0"/>
            <w:vAlign w:val="center"/>
          </w:tcPr>
          <w:p>
            <w:pPr>
              <w:rPr>
                <w:rFonts w:hint="eastAsia" w:ascii="宋体" w:hAnsi="宋体" w:eastAsia="宋体" w:cs="宋体"/>
                <w:color w:val="000000"/>
                <w:sz w:val="18"/>
                <w:szCs w:val="18"/>
              </w:rPr>
            </w:pPr>
          </w:p>
        </w:tc>
        <w:tc>
          <w:tcPr>
            <w:tcW w:w="416" w:type="dxa"/>
            <w:vMerge w:val="continue"/>
            <w:shd w:val="clear" w:color="auto" w:fill="auto"/>
            <w:noWrap w:val="0"/>
            <w:vAlign w:val="center"/>
          </w:tcPr>
          <w:p>
            <w:pPr>
              <w:rPr>
                <w:rFonts w:hint="eastAsia" w:ascii="宋体" w:hAnsi="宋体" w:eastAsia="宋体" w:cs="宋体"/>
                <w:color w:val="000000"/>
                <w:sz w:val="18"/>
                <w:szCs w:val="18"/>
              </w:rPr>
            </w:pPr>
          </w:p>
        </w:tc>
        <w:tc>
          <w:tcPr>
            <w:tcW w:w="634"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学校督导评估</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年度督导工作计划内容、责任区划分和责任督学名单、责任督学日常督导事项，学校督导评估的办法、指标体系、督导评估报告</w:t>
            </w:r>
          </w:p>
        </w:tc>
        <w:tc>
          <w:tcPr>
            <w:tcW w:w="1215" w:type="dxa"/>
            <w:vMerge w:val="continue"/>
            <w:shd w:val="clear" w:color="auto" w:fill="auto"/>
            <w:noWrap w:val="0"/>
            <w:vAlign w:val="center"/>
          </w:tcPr>
          <w:p>
            <w:pPr>
              <w:rPr>
                <w:rFonts w:hint="eastAsia" w:ascii="宋体" w:hAnsi="宋体" w:eastAsia="宋体" w:cs="宋体"/>
                <w:color w:val="000000"/>
                <w:sz w:val="18"/>
                <w:szCs w:val="18"/>
              </w:rPr>
            </w:pP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县（市、区）教育部门</w:t>
            </w:r>
          </w:p>
        </w:tc>
        <w:tc>
          <w:tcPr>
            <w:tcW w:w="1245"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vMerge w:val="continue"/>
            <w:shd w:val="clear" w:color="auto" w:fill="auto"/>
            <w:noWrap w:val="0"/>
            <w:vAlign w:val="center"/>
          </w:tcPr>
          <w:p>
            <w:pPr>
              <w:rPr>
                <w:rFonts w:hint="eastAsia" w:ascii="宋体" w:hAnsi="宋体" w:eastAsia="宋体" w:cs="宋体"/>
                <w:color w:val="000000"/>
                <w:sz w:val="18"/>
                <w:szCs w:val="18"/>
              </w:rPr>
            </w:pPr>
          </w:p>
        </w:tc>
        <w:tc>
          <w:tcPr>
            <w:tcW w:w="416" w:type="dxa"/>
            <w:vMerge w:val="continue"/>
            <w:shd w:val="clear" w:color="auto" w:fill="auto"/>
            <w:noWrap w:val="0"/>
            <w:vAlign w:val="center"/>
          </w:tcPr>
          <w:p>
            <w:pPr>
              <w:rPr>
                <w:rFonts w:hint="eastAsia" w:ascii="宋体" w:hAnsi="宋体" w:eastAsia="宋体" w:cs="宋体"/>
                <w:color w:val="000000"/>
                <w:sz w:val="18"/>
                <w:szCs w:val="18"/>
              </w:rPr>
            </w:pPr>
          </w:p>
        </w:tc>
        <w:tc>
          <w:tcPr>
            <w:tcW w:w="634"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义务教育均衡发展督导评估</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义务教育均衡发展有关政策文件、职责权限、管理流程、监督方式、年度工作计划等，义务教育均衡发展状况自评方案及结果，省级教育督导机构对县进行督导评估的工作安排、评估结果</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国务院教育督导委员会对义务教育发展均衡县进行认定的结果、报告</w:t>
            </w:r>
          </w:p>
        </w:tc>
        <w:tc>
          <w:tcPr>
            <w:tcW w:w="1215" w:type="dxa"/>
            <w:vMerge w:val="continue"/>
            <w:shd w:val="clear" w:color="auto" w:fill="auto"/>
            <w:noWrap w:val="0"/>
            <w:vAlign w:val="center"/>
          </w:tcPr>
          <w:p>
            <w:pPr>
              <w:rPr>
                <w:rFonts w:hint="eastAsia" w:ascii="宋体" w:hAnsi="宋体" w:eastAsia="宋体" w:cs="宋体"/>
                <w:color w:val="000000"/>
                <w:sz w:val="18"/>
                <w:szCs w:val="18"/>
              </w:rPr>
            </w:pP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县（市、区）教育部门</w:t>
            </w:r>
          </w:p>
        </w:tc>
        <w:tc>
          <w:tcPr>
            <w:tcW w:w="1245"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416"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校园安全</w:t>
            </w:r>
          </w:p>
        </w:tc>
        <w:tc>
          <w:tcPr>
            <w:tcW w:w="634"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校园安全管理</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121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《政府信息公开条例》、《国务院办公厅关于加强中小学幼儿园安全风险防控体系建设的意见》、《教育部关于推进中小学信息公开工作的意见》、《校车安全管理条例》</w:t>
            </w:r>
          </w:p>
        </w:tc>
        <w:tc>
          <w:tcPr>
            <w:tcW w:w="123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信息形成或者变更之日起20个工作日内</w:t>
            </w:r>
          </w:p>
        </w:tc>
        <w:tc>
          <w:tcPr>
            <w:tcW w:w="1305"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县（市、区）教育部门</w:t>
            </w:r>
          </w:p>
        </w:tc>
        <w:tc>
          <w:tcPr>
            <w:tcW w:w="1245" w:type="dxa"/>
            <w:shd w:val="clear" w:color="auto" w:fill="auto"/>
            <w:noWrap w:val="0"/>
            <w:vAlign w:val="center"/>
          </w:tcPr>
          <w:p>
            <w:pPr>
              <w:jc w:val="center"/>
              <w:rPr>
                <w:rFonts w:hint="eastAsia" w:ascii="宋体" w:hAnsi="宋体" w:eastAsia="宋体" w:cs="宋体"/>
                <w:sz w:val="18"/>
                <w:szCs w:val="18"/>
              </w:rPr>
            </w:pPr>
            <w:r>
              <w:rPr>
                <w:rFonts w:hint="eastAsia" w:ascii="宋体" w:hAnsi="宋体" w:eastAsia="宋体" w:cs="宋体"/>
                <w:color w:val="000000"/>
                <w:sz w:val="18"/>
                <w:szCs w:val="18"/>
                <w:lang w:eastAsia="zh-CN"/>
              </w:rPr>
              <w:t>通榆</w:t>
            </w:r>
            <w:r>
              <w:rPr>
                <w:rFonts w:hint="eastAsia" w:ascii="宋体" w:hAnsi="宋体" w:eastAsia="宋体" w:cs="宋体"/>
                <w:sz w:val="18"/>
                <w:szCs w:val="18"/>
                <w:lang w:eastAsia="zh-CN"/>
              </w:rPr>
              <w:t>教育局</w:t>
            </w:r>
            <w:r>
              <w:rPr>
                <w:rFonts w:hint="eastAsia" w:ascii="宋体" w:hAnsi="宋体" w:eastAsia="宋体" w:cs="宋体"/>
                <w:color w:val="000000"/>
                <w:sz w:val="18"/>
                <w:szCs w:val="18"/>
                <w:lang w:eastAsia="zh-CN"/>
              </w:rPr>
              <w:t>信息网</w:t>
            </w:r>
          </w:p>
        </w:tc>
        <w:tc>
          <w:tcPr>
            <w:tcW w:w="1035"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0" w:type="dxa"/>
            <w:shd w:val="clear" w:color="auto" w:fill="auto"/>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45"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870" w:type="dxa"/>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840" w:type="dxa"/>
            <w:shd w:val="clear" w:color="auto" w:fill="auto"/>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r>
    </w:tbl>
    <w:p/>
    <w:sectPr>
      <w:footerReference r:id="rId3" w:type="default"/>
      <w:pgSz w:w="16838" w:h="11906" w:orient="landscape"/>
      <w:pgMar w:top="850" w:right="1440" w:bottom="85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0238D"/>
    <w:rsid w:val="0D8D55CF"/>
    <w:rsid w:val="14B31305"/>
    <w:rsid w:val="1720446C"/>
    <w:rsid w:val="20AC10EA"/>
    <w:rsid w:val="2981489B"/>
    <w:rsid w:val="44305E14"/>
    <w:rsid w:val="49BC6B71"/>
    <w:rsid w:val="4EF15575"/>
    <w:rsid w:val="5D220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106-4</dc:creator>
  <cp:lastModifiedBy>lichunrong</cp:lastModifiedBy>
  <cp:lastPrinted>2023-10-17T06:14:05Z</cp:lastPrinted>
  <dcterms:modified xsi:type="dcterms:W3CDTF">2023-10-17T06:15:07Z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5303E248E32F41F5BAF72D45AA07B6C5_13</vt:lpwstr>
  </property>
</Properties>
</file>