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cs="宋体"/>
          <w:sz w:val="32"/>
          <w:szCs w:val="32"/>
          <w:shd w:val="clear" w:color="auto" w:fill="FFFFFF"/>
          <w:lang w:bidi="ar-SA"/>
        </w:rPr>
      </w:pPr>
      <w:bookmarkStart w:id="0" w:name="_GoBack"/>
      <w:bookmarkEnd w:id="0"/>
      <w:r>
        <w:rPr>
          <w:rFonts w:hint="eastAsia" w:ascii="方正黑体_GBK" w:eastAsia="方正黑体_GBK" w:cs="宋体"/>
          <w:sz w:val="32"/>
          <w:szCs w:val="32"/>
          <w:shd w:val="clear" w:color="auto" w:fill="FFFFFF"/>
          <w:lang w:bidi="ar-SA"/>
        </w:rPr>
        <w:t>附件</w:t>
      </w:r>
    </w:p>
    <w:p>
      <w:pPr>
        <w:jc w:val="center"/>
        <w:rPr>
          <w:rFonts w:hint="eastAsia" w:ascii="宋体" w:cs="宋体"/>
          <w:sz w:val="28"/>
          <w:szCs w:val="28"/>
          <w:shd w:val="clear" w:color="auto" w:fill="FFFFFF"/>
          <w:lang w:bidi="ar-SA"/>
        </w:rPr>
      </w:pPr>
      <w:bookmarkStart w:id="1" w:name="_GoBack"/>
      <w:r>
        <w:rPr>
          <w:rFonts w:hint="eastAsia" w:ascii="方正小标宋简体" w:eastAsia="方正小标宋简体" w:cs="宋体"/>
          <w:sz w:val="40"/>
          <w:szCs w:val="40"/>
          <w:shd w:val="clear" w:color="auto" w:fill="FFFFFF"/>
          <w:lang w:bidi="ar-SA"/>
        </w:rPr>
        <w:t>新闻出版版权领域基层政务公开标准目录</w:t>
      </w:r>
    </w:p>
    <w:bookmarkEnd w:id="1"/>
    <w:p>
      <w:pPr>
        <w:widowControl/>
        <w:jc w:val="left"/>
        <w:rPr>
          <w:rFonts w:ascii="Calibri" w:hAnsi="Calibri" w:eastAsia="宋体" w:cs="Times New Roman"/>
          <w:lang w:bidi="ar-SA"/>
        </w:rPr>
      </w:pPr>
      <w:r>
        <w:rPr>
          <w:rFonts w:hint="eastAsia" w:ascii="宋体" w:eastAsia="宋体" w:cs="宋体"/>
          <w:kern w:val="0"/>
          <w:sz w:val="24"/>
          <w:shd w:val="clear" w:color="auto" w:fill="FFFFFF"/>
          <w:lang w:bidi="ar-SA"/>
        </w:rPr>
        <w:t>                                          </w:t>
      </w:r>
    </w:p>
    <w:tbl>
      <w:tblPr>
        <w:tblStyle w:val="7"/>
        <w:tblW w:w="143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75"/>
        <w:gridCol w:w="825"/>
        <w:gridCol w:w="1170"/>
        <w:gridCol w:w="1849"/>
        <w:gridCol w:w="2545"/>
        <w:gridCol w:w="1140"/>
        <w:gridCol w:w="1185"/>
        <w:gridCol w:w="1590"/>
        <w:gridCol w:w="435"/>
        <w:gridCol w:w="705"/>
        <w:gridCol w:w="465"/>
        <w:gridCol w:w="840"/>
        <w:gridCol w:w="480"/>
        <w:gridCol w:w="4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序号</w:t>
            </w:r>
          </w:p>
        </w:tc>
        <w:tc>
          <w:tcPr>
            <w:tcW w:w="199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公开事项</w:t>
            </w:r>
          </w:p>
        </w:tc>
        <w:tc>
          <w:tcPr>
            <w:tcW w:w="1849"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公开内容</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（要素）</w:t>
            </w:r>
          </w:p>
        </w:tc>
        <w:tc>
          <w:tcPr>
            <w:tcW w:w="254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snapToGrid w:val="0"/>
                <w:kern w:val="0"/>
                <w:sz w:val="19"/>
                <w:szCs w:val="19"/>
                <w:lang w:bidi="ar-SA"/>
              </w:rPr>
            </w:pPr>
            <w:r>
              <w:rPr>
                <w:rFonts w:hint="eastAsia" w:ascii="黑体" w:eastAsia="黑体" w:cs="宋体"/>
                <w:snapToGrid w:val="0"/>
                <w:kern w:val="0"/>
                <w:sz w:val="24"/>
                <w:lang w:bidi="ar-SA"/>
              </w:rPr>
              <w:t>公开依据</w:t>
            </w:r>
          </w:p>
        </w:tc>
        <w:tc>
          <w:tcPr>
            <w:tcW w:w="1140"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 xml:space="preserve">公开时限  </w:t>
            </w:r>
          </w:p>
        </w:tc>
        <w:tc>
          <w:tcPr>
            <w:tcW w:w="118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公开主体</w:t>
            </w:r>
          </w:p>
        </w:tc>
        <w:tc>
          <w:tcPr>
            <w:tcW w:w="1590"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公开渠道</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和载体</w:t>
            </w:r>
          </w:p>
        </w:tc>
        <w:tc>
          <w:tcPr>
            <w:tcW w:w="1140"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公开对象</w:t>
            </w:r>
          </w:p>
        </w:tc>
        <w:tc>
          <w:tcPr>
            <w:tcW w:w="130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公开方式</w:t>
            </w:r>
          </w:p>
        </w:tc>
        <w:tc>
          <w:tcPr>
            <w:tcW w:w="964"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层级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82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一级</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事项</w:t>
            </w:r>
          </w:p>
        </w:tc>
        <w:tc>
          <w:tcPr>
            <w:tcW w:w="117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二级事项</w:t>
            </w:r>
          </w:p>
        </w:tc>
        <w:tc>
          <w:tcPr>
            <w:tcW w:w="1849"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254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40"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8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590"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43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全社会</w:t>
            </w:r>
          </w:p>
        </w:tc>
        <w:tc>
          <w:tcPr>
            <w:tcW w:w="70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特定群众</w:t>
            </w:r>
          </w:p>
        </w:tc>
        <w:tc>
          <w:tcPr>
            <w:tcW w:w="46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主动公开</w:t>
            </w:r>
          </w:p>
        </w:tc>
        <w:tc>
          <w:tcPr>
            <w:tcW w:w="84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依申请公开</w:t>
            </w:r>
          </w:p>
        </w:tc>
        <w:tc>
          <w:tcPr>
            <w:tcW w:w="48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县级</w:t>
            </w:r>
          </w:p>
        </w:tc>
        <w:tc>
          <w:tcPr>
            <w:tcW w:w="484" w:type="dxa"/>
            <w:tcBorders>
              <w:top w:val="single" w:color="000000" w:sz="6" w:space="0"/>
              <w:left w:val="single" w:color="000000" w:sz="6" w:space="0"/>
              <w:bottom w:val="single" w:color="000000" w:sz="6" w:space="0"/>
              <w:right w:val="single" w:color="000000" w:sz="6" w:space="0"/>
            </w:tcBorders>
            <w:noWrap w:val="0"/>
            <w:tcMar>
              <w:right w:w="115" w:type="dxa"/>
            </w:tcMar>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乡、村级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Times New Roman" w:hAnsi="Times New Roman" w:eastAsia="仿宋_GB2312" w:cs="Times New Roman"/>
                <w:sz w:val="19"/>
                <w:szCs w:val="19"/>
                <w:lang w:bidi="ar-SA"/>
              </w:rPr>
            </w:pPr>
          </w:p>
          <w:p>
            <w:pPr>
              <w:widowControl/>
              <w:rPr>
                <w:rFonts w:hint="eastAsia" w:ascii="Times New Roman" w:hAnsi="Times New Roman" w:eastAsia="仿宋_GB2312" w:cs="Times New Roman"/>
                <w:sz w:val="19"/>
                <w:szCs w:val="19"/>
                <w:lang w:bidi="ar-SA"/>
              </w:rPr>
            </w:pP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w:t>
            </w:r>
          </w:p>
          <w:p>
            <w:pPr>
              <w:widowControl/>
              <w:jc w:val="center"/>
              <w:rPr>
                <w:rFonts w:hint="eastAsia" w:ascii="Times New Roman" w:hAnsi="Times New Roman" w:eastAsia="仿宋_GB2312" w:cs="Times New Roman"/>
                <w:sz w:val="19"/>
                <w:szCs w:val="19"/>
                <w:lang w:bidi="ar-SA"/>
              </w:rPr>
            </w:pPr>
          </w:p>
          <w:p>
            <w:pPr>
              <w:widowControl/>
              <w:spacing w:after="180"/>
              <w:jc w:val="center"/>
              <w:rPr>
                <w:rFonts w:hint="eastAsia" w:ascii="Times New Roman" w:hAnsi="Times New Roman" w:eastAsia="仿宋_GB2312" w:cs="Times New Roman"/>
                <w:sz w:val="19"/>
                <w:szCs w:val="19"/>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ascii="Times New Roman" w:hAnsi="Times New Roman" w:eastAsia="仿宋_GB2312" w:cs="宋体"/>
                <w:sz w:val="24"/>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许可</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出版物零售单位和个体工商户设立、变更审批</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2.行政许可决定。</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1.《中华人民共和国行政许可法》；</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3.《出版管理条例》；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4.《出版物市场管理规定》；</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imes New Roman" w:hAnsi="Times New Roman" w:eastAsia="仿宋_GB2312" w:cs="Times New Roman"/>
                <w:kern w:val="0"/>
                <w:sz w:val="16"/>
                <w:szCs w:val="15"/>
                <w:shd w:val="clear" w:color="auto" w:fill="FFFFFF"/>
                <w:lang w:bidi="ar-SA"/>
              </w:rPr>
            </w:pP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 xml:space="preserve">政府网站      </w:t>
            </w:r>
          </w:p>
          <w:p>
            <w:pPr>
              <w:widowControl/>
              <w:spacing w:line="30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val="en-US" w:eastAsia="zh-CN" w:bidi="ar-SA"/>
              </w:rPr>
              <w:t>2.</w:t>
            </w:r>
            <w:r>
              <w:rPr>
                <w:rFonts w:ascii="Times New Roman" w:hAnsi="Times New Roman" w:eastAsia="仿宋_GB2312" w:cs="Times New Roman"/>
                <w:kern w:val="0"/>
                <w:sz w:val="16"/>
                <w:szCs w:val="15"/>
                <w:shd w:val="clear" w:color="auto" w:fill="FFFFFF"/>
                <w:lang w:bidi="ar-SA"/>
              </w:rPr>
              <w:t>.</w:t>
            </w:r>
            <w:r>
              <w:rPr>
                <w:rFonts w:hint="eastAsia" w:ascii="Times New Roman" w:hAnsi="Times New Roman" w:eastAsia="仿宋_GB2312" w:cs="Times New Roman"/>
                <w:kern w:val="0"/>
                <w:sz w:val="16"/>
                <w:szCs w:val="15"/>
                <w:shd w:val="clear" w:color="auto" w:fill="FFFFFF"/>
                <w:lang w:bidi="ar-SA"/>
              </w:rPr>
              <w:t xml:space="preserve">政务服务中心       </w:t>
            </w:r>
          </w:p>
          <w:p>
            <w:pPr>
              <w:spacing w:line="30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val="en-US" w:eastAsia="zh-CN" w:bidi="ar-SA"/>
              </w:rPr>
              <w:t>3</w:t>
            </w:r>
            <w:r>
              <w:rPr>
                <w:rFonts w:ascii="Times New Roman" w:hAnsi="Times New Roman" w:eastAsia="仿宋_GB2312" w:cs="Times New Roman"/>
                <w:kern w:val="0"/>
                <w:sz w:val="16"/>
                <w:szCs w:val="15"/>
                <w:shd w:val="clear" w:color="auto" w:fill="FFFFFF"/>
                <w:lang w:bidi="ar-SA"/>
              </w:rPr>
              <w:t>.</w:t>
            </w:r>
            <w:r>
              <w:rPr>
                <w:rFonts w:hint="eastAsia" w:ascii="Times New Roman" w:hAnsi="Times New Roman" w:eastAsia="仿宋_GB2312" w:cs="Times New Roman"/>
                <w:kern w:val="0"/>
                <w:sz w:val="16"/>
                <w:szCs w:val="15"/>
                <w:shd w:val="clear" w:color="auto" w:fill="FFFFFF"/>
                <w:lang w:bidi="ar-SA"/>
              </w:rPr>
              <w:t xml:space="preserve">精准推送       </w:t>
            </w:r>
          </w:p>
          <w:p>
            <w:pPr>
              <w:widowControl/>
              <w:spacing w:line="300" w:lineRule="exact"/>
              <w:jc w:val="left"/>
              <w:rPr>
                <w:rFonts w:hint="eastAsia" w:ascii="Times New Roman" w:hAnsi="Times New Roman" w:eastAsia="仿宋_GB2312" w:cs="Times New Roman"/>
                <w:sz w:val="19"/>
                <w:szCs w:val="19"/>
                <w:lang w:bidi="ar-SA"/>
              </w:rPr>
            </w:pPr>
            <w:r>
              <w:rPr>
                <w:rFonts w:hint="eastAsia" w:ascii="Times New Roman" w:hAnsi="Times New Roman" w:eastAsia="仿宋_GB2312" w:cs="Times New Roman"/>
                <w:kern w:val="0"/>
                <w:sz w:val="16"/>
                <w:szCs w:val="15"/>
                <w:shd w:val="clear" w:color="auto" w:fill="FFFFFF"/>
                <w:lang w:val="en-US" w:eastAsia="zh-CN" w:bidi="ar-SA"/>
              </w:rPr>
              <w:t>4</w:t>
            </w:r>
            <w:r>
              <w:rPr>
                <w:rFonts w:ascii="Times New Roman" w:hAnsi="Times New Roman" w:eastAsia="仿宋_GB2312" w:cs="Times New Roman"/>
                <w:kern w:val="0"/>
                <w:sz w:val="16"/>
                <w:szCs w:val="15"/>
                <w:shd w:val="clear" w:color="auto" w:fill="FFFFFF"/>
                <w:lang w:bidi="ar-SA"/>
              </w:rPr>
              <w:t>.</w:t>
            </w:r>
            <w:r>
              <w:rPr>
                <w:rFonts w:hint="eastAsia" w:ascii="Times New Roman" w:hAnsi="Times New Roman" w:eastAsia="仿宋_GB2312" w:cs="Times New Roman"/>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6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w:t>
            </w: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p>
            <w:pPr>
              <w:widowControl/>
              <w:jc w:val="center"/>
              <w:rPr>
                <w:rFonts w:hint="eastAsia" w:ascii="Times New Roman" w:hAnsi="Times New Roman" w:eastAsia="仿宋_GB2312" w:cs="Times New Roman"/>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对非法从事印刷经营活动的行政处罚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处罚对象、案件名称、违法主要事实、处罚种类和内容、处罚依据、作出处罚决定部门、处罚时间、处罚结果、处罚决定书文号、处罚履行方式和期限等。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1.《印刷业管理条例》；2.《国务院关于促进市场公平竞争维护市场正常秩序的若干意见》；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3.《国务院办公厅关于全面推行行政执法公示制度执法全过程记录制度重大执法决定法制审核制度的指导意见》；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w:t>
            </w:r>
            <w:r>
              <w:rPr>
                <w:rFonts w:hint="eastAsia" w:ascii="Times New Roman" w:hAnsi="Times New Roman" w:eastAsia="仿宋_GB2312" w:cs="Times New Roman"/>
                <w:kern w:val="0"/>
                <w:sz w:val="16"/>
                <w:szCs w:val="15"/>
                <w:shd w:val="clear" w:color="auto" w:fill="FFFFFF"/>
                <w:lang w:bidi="ar-SA"/>
              </w:rPr>
              <w:t>双公示系统</w:t>
            </w:r>
          </w:p>
          <w:p>
            <w:pPr>
              <w:widowControl/>
              <w:spacing w:line="320" w:lineRule="exact"/>
              <w:jc w:val="left"/>
              <w:rPr>
                <w:rFonts w:hint="eastAsia" w:ascii="Times New Roman" w:hAnsi="Times New Roman" w:eastAsia="仿宋_GB2312" w:cs="Times New Roman"/>
                <w:sz w:val="19"/>
                <w:szCs w:val="19"/>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9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3</w:t>
            </w: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对非法从事复制经营活动的行政处罚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处罚对象、案件名称、违法主要事实、处罚种类和内容、处罚依据、作出处罚决定部门、处罚时间、处罚结果、处罚决定书文号、处罚履行方式和期限等。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1.《音像制品管理条例》；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2.《复制管理办法》；</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3.《国务院关于促进市场公平竞争维护市场正常秩序的若干意见》；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4.《国务院办公厅关于全面推行行政执法公示制度执法全过程记录制度重大执法决定法制审核制度的指导意见》；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6.《关于全面推进政务公开工作的意见》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双公示系统</w:t>
            </w:r>
          </w:p>
          <w:p>
            <w:pPr>
              <w:widowControl/>
              <w:spacing w:line="320" w:lineRule="exact"/>
              <w:jc w:val="left"/>
              <w:rPr>
                <w:rFonts w:hint="eastAsia" w:ascii="Times New Roman" w:hAnsi="Times New Roman" w:eastAsia="仿宋_GB2312" w:cs="Times New Roman"/>
                <w:sz w:val="19"/>
                <w:szCs w:val="19"/>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6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4</w:t>
            </w: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p>
            <w:pPr>
              <w:widowControl/>
              <w:jc w:val="center"/>
              <w:rPr>
                <w:rFonts w:hint="eastAsia" w:ascii="Times New Roman" w:hAnsi="Times New Roman" w:eastAsia="仿宋_GB2312" w:cs="Times New Roman"/>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对非法编印内部资料性出版物行为的行政处罚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处罚对象、案件名称、违法主要事实、处罚种类及内容、处罚依据、作出处罚决定部门、处罚时间、处罚结果、处罚决定书文号、处罚履行方式和期限等。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1.《印刷业管理条例》；</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2.《内部资料性出版物管理办法》；</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3.《国务院关于促进市场公平竞争维护市场正常秩序的若干意见》；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4.《国务院办公厅关于全面推行行政执法公示制度执法全过程记录制度重大执法决定法制审核制度的指导意见》；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6.《关于全面推进政务公开工作的意见》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双公示系统</w:t>
            </w:r>
          </w:p>
          <w:p>
            <w:pPr>
              <w:spacing w:line="320" w:lineRule="exact"/>
              <w:jc w:val="left"/>
              <w:rPr>
                <w:rFonts w:hint="eastAsia" w:ascii="Times New Roman" w:hAnsi="Times New Roman" w:eastAsia="仿宋_GB2312" w:cs="Times New Roman"/>
                <w:kern w:val="0"/>
                <w:sz w:val="16"/>
                <w:szCs w:val="15"/>
                <w:shd w:val="clear" w:color="auto" w:fill="FFFFFF"/>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9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Times New Roman" w:hAnsi="Times New Roman" w:eastAsia="仿宋_GB2312" w:cs="Times New Roman"/>
                <w:sz w:val="19"/>
                <w:szCs w:val="19"/>
                <w:lang w:bidi="ar-SA"/>
              </w:rPr>
            </w:pPr>
          </w:p>
          <w:p>
            <w:pPr>
              <w:widowControl/>
              <w:jc w:val="center"/>
              <w:rPr>
                <w:rFonts w:hint="eastAsia" w:ascii="Times New Roman" w:hAnsi="Times New Roman" w:eastAsia="仿宋_GB2312" w:cs="Times New Roman"/>
                <w:sz w:val="19"/>
                <w:szCs w:val="19"/>
                <w:lang w:bidi="ar-SA"/>
              </w:rPr>
            </w:pP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5</w:t>
            </w:r>
          </w:p>
          <w:p>
            <w:pPr>
              <w:widowControl/>
              <w:jc w:val="center"/>
              <w:rPr>
                <w:rFonts w:hint="eastAsia" w:ascii="Times New Roman" w:hAnsi="Times New Roman" w:eastAsia="仿宋_GB2312" w:cs="Times New Roman"/>
                <w:sz w:val="19"/>
                <w:szCs w:val="19"/>
                <w:lang w:bidi="ar-SA"/>
              </w:rPr>
            </w:pPr>
          </w:p>
          <w:p>
            <w:pPr>
              <w:widowControl/>
              <w:jc w:val="center"/>
              <w:rPr>
                <w:rFonts w:hint="eastAsia" w:ascii="Times New Roman" w:hAnsi="Times New Roman" w:eastAsia="仿宋_GB2312" w:cs="Times New Roman"/>
                <w:sz w:val="19"/>
                <w:szCs w:val="19"/>
                <w:lang w:bidi="ar-SA"/>
              </w:rPr>
            </w:pPr>
          </w:p>
          <w:p>
            <w:pPr>
              <w:widowControl/>
              <w:jc w:val="center"/>
              <w:rPr>
                <w:rFonts w:hint="eastAsia" w:ascii="Times New Roman" w:hAnsi="Times New Roman" w:eastAsia="仿宋_GB2312" w:cs="Times New Roman"/>
                <w:sz w:val="19"/>
                <w:szCs w:val="19"/>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ascii="Times New Roman" w:hAnsi="Times New Roman" w:eastAsia="仿宋_GB2312" w:cs="宋体"/>
                <w:sz w:val="24"/>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对非法从事出版物发行活动的行政处罚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处罚对象、案件名称、违法主要事实、处罚种类和内容、处罚依据、作出处罚决定部门、处罚时间、处罚结果、处罚决定书文号、处罚履行方式和期限等。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1.《出版管理条例》；</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2.《出版物市场管理规定》；</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3.《国务院关于促进市场公平竞争维护市场正常秩序的若干意见》；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4.《国务院办公厅关于全面推行行政执法公示制度执法全过程记录制度重大执法决定法制审核制度的指导意见》；</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6.《关于全面推进政务公开工作的意见》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双公示系统</w:t>
            </w:r>
          </w:p>
          <w:p>
            <w:pPr>
              <w:widowControl/>
              <w:spacing w:line="320" w:lineRule="exact"/>
              <w:jc w:val="left"/>
              <w:rPr>
                <w:rFonts w:hint="eastAsia" w:ascii="Times New Roman" w:hAnsi="Times New Roman" w:eastAsia="仿宋_GB2312" w:cs="Times New Roman"/>
                <w:sz w:val="19"/>
                <w:szCs w:val="19"/>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8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6</w:t>
            </w: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ascii="Times New Roman" w:hAnsi="Times New Roman" w:eastAsia="仿宋_GB2312" w:cs="宋体"/>
                <w:sz w:val="24"/>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对损害公共利益的有关著作权侵权行为作出行政处罚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处罚对象、案件名称、违法主要事实、处罚种类和内容、处罚依据、作出处罚决定部门、处罚时间、处罚结果、处罚决定书文号、处罚履行方式和期限等。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1.《</w:t>
            </w:r>
            <w:r>
              <w:rPr>
                <w:rFonts w:ascii="Times New Roman" w:hAnsi="Times New Roman" w:eastAsia="仿宋_GB2312" w:cs="宋体"/>
                <w:sz w:val="24"/>
                <w:lang w:bidi="ar-SA"/>
              </w:rPr>
              <w:t>中华人民共和国</w:t>
            </w:r>
            <w:r>
              <w:rPr>
                <w:rFonts w:hint="eastAsia" w:ascii="Times New Roman" w:hAnsi="Times New Roman" w:eastAsia="仿宋_GB2312" w:cs="宋体"/>
                <w:sz w:val="24"/>
                <w:lang w:bidi="ar-SA"/>
              </w:rPr>
              <w:t>著作权法》；</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2.《</w:t>
            </w:r>
            <w:r>
              <w:rPr>
                <w:rFonts w:ascii="Times New Roman" w:hAnsi="Times New Roman" w:eastAsia="仿宋_GB2312" w:cs="宋体"/>
                <w:sz w:val="24"/>
                <w:lang w:bidi="ar-SA"/>
              </w:rPr>
              <w:t>中华人民共和国</w:t>
            </w:r>
            <w:r>
              <w:rPr>
                <w:rFonts w:hint="eastAsia" w:ascii="Times New Roman" w:hAnsi="Times New Roman" w:eastAsia="仿宋_GB2312" w:cs="宋体"/>
                <w:sz w:val="24"/>
                <w:lang w:bidi="ar-SA"/>
              </w:rPr>
              <w:t>著作权法实施条例》；</w:t>
            </w:r>
          </w:p>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3.《计算机软件保护条例》；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4.《信息网络传播权保护条例》；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5.《中华人民共和国政府信息公开条例》；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6.《关于全面推进政务公开工作的意见》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w:t>
            </w:r>
            <w:r>
              <w:rPr>
                <w:rFonts w:ascii="Times New Roman" w:hAnsi="Times New Roman" w:eastAsia="仿宋_GB2312" w:cs="宋体"/>
                <w:sz w:val="24"/>
                <w:lang w:bidi="ar-SA"/>
              </w:rPr>
              <w:t>著作权</w:t>
            </w:r>
            <w:r>
              <w:rPr>
                <w:rFonts w:hint="eastAsia" w:ascii="Times New Roman" w:hAnsi="Times New Roman" w:eastAsia="仿宋_GB2312" w:cs="宋体"/>
                <w:sz w:val="24"/>
                <w:lang w:bidi="ar-SA"/>
              </w:rPr>
              <w:t>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双公示系统</w:t>
            </w:r>
          </w:p>
          <w:p>
            <w:pPr>
              <w:widowControl/>
              <w:spacing w:line="320" w:lineRule="exact"/>
              <w:jc w:val="left"/>
              <w:rPr>
                <w:rFonts w:hint="eastAsia" w:ascii="Times New Roman" w:hAnsi="Times New Roman" w:eastAsia="仿宋_GB2312" w:cs="Times New Roman"/>
                <w:sz w:val="19"/>
                <w:szCs w:val="19"/>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93"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7</w:t>
            </w: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ascii="Times New Roman" w:hAnsi="Times New Roman" w:eastAsia="仿宋_GB2312" w:cs="宋体"/>
                <w:sz w:val="24"/>
                <w:lang w:bidi="ar-SA"/>
              </w:rPr>
            </w:pPr>
            <w:r>
              <w:rPr>
                <w:rFonts w:hint="eastAsia" w:ascii="Times New Roman" w:hAnsi="Times New Roman" w:eastAsia="仿宋_GB2312" w:cs="宋体"/>
                <w:sz w:val="24"/>
                <w:lang w:bidi="ar-SA"/>
              </w:rPr>
              <w:t>行政</w:t>
            </w:r>
          </w:p>
          <w:p>
            <w:pPr>
              <w:widowControl/>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对违反《信息网络传播权保护条例》的有关行为作出行政处罚</w:t>
            </w:r>
          </w:p>
        </w:tc>
        <w:tc>
          <w:tcPr>
            <w:tcW w:w="1849"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处罚对象、案件名称、违法主要事实、处罚种类和内容、处罚依据、作出处罚决定部门、处罚时间、处罚结果、处罚决定书文号、处罚履行方式和期限等。</w:t>
            </w:r>
          </w:p>
        </w:tc>
        <w:tc>
          <w:tcPr>
            <w:tcW w:w="254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1.《信息网络传播权保护条例》；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2.《中华人民共和国政府信息公开条例》；</w:t>
            </w:r>
          </w:p>
          <w:p>
            <w:pPr>
              <w:widowControl/>
              <w:rPr>
                <w:rFonts w:hint="eastAsia" w:ascii="Times New Roman" w:hAnsi="Times New Roman" w:eastAsia="仿宋_GB2312" w:cs="宋体"/>
                <w:sz w:val="24"/>
                <w:lang w:bidi="ar-SA"/>
              </w:rPr>
            </w:pPr>
            <w:r>
              <w:rPr>
                <w:rFonts w:hint="eastAsia" w:ascii="Times New Roman" w:hAnsi="Times New Roman" w:eastAsia="仿宋_GB2312" w:cs="宋体"/>
                <w:sz w:val="24"/>
                <w:lang w:bidi="ar-SA"/>
              </w:rPr>
              <w:t>3.《关于全面推进政务公开工作的意见》</w:t>
            </w:r>
            <w:r>
              <w:rPr>
                <w:rFonts w:ascii="Times New Roman" w:hAnsi="Times New Roman" w:eastAsia="仿宋_GB2312" w:cs="宋体"/>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县（市、</w:t>
            </w:r>
            <w:r>
              <w:rPr>
                <w:rFonts w:ascii="Times New Roman" w:hAnsi="Times New Roman" w:eastAsia="仿宋_GB2312" w:cs="宋体"/>
                <w:sz w:val="24"/>
                <w:lang w:bidi="ar-SA"/>
              </w:rPr>
              <w:t>区</w:t>
            </w:r>
            <w:r>
              <w:rPr>
                <w:rFonts w:hint="eastAsia" w:ascii="Times New Roman" w:hAnsi="Times New Roman" w:eastAsia="仿宋_GB2312" w:cs="宋体"/>
                <w:sz w:val="24"/>
                <w:lang w:bidi="ar-SA"/>
              </w:rPr>
              <w:t>）</w:t>
            </w:r>
            <w:r>
              <w:rPr>
                <w:rFonts w:ascii="Times New Roman" w:hAnsi="Times New Roman" w:eastAsia="仿宋_GB2312" w:cs="宋体"/>
                <w:sz w:val="24"/>
                <w:lang w:bidi="ar-SA"/>
              </w:rPr>
              <w:t>著作权</w:t>
            </w:r>
            <w:r>
              <w:rPr>
                <w:rFonts w:hint="eastAsia" w:ascii="Times New Roman" w:hAnsi="Times New Roman" w:eastAsia="仿宋_GB2312" w:cs="宋体"/>
                <w:sz w:val="24"/>
                <w:lang w:bidi="ar-SA"/>
              </w:rPr>
              <w:t>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spacing w:line="320" w:lineRule="exact"/>
              <w:jc w:val="left"/>
              <w:rPr>
                <w:rFonts w:hint="eastAsia" w:ascii="Times New Roman" w:hAnsi="Times New Roman" w:eastAsia="仿宋_GB2312" w:cs="Times New Roman"/>
                <w:kern w:val="0"/>
                <w:sz w:val="16"/>
                <w:szCs w:val="15"/>
                <w:shd w:val="clear" w:color="auto" w:fill="FFFFFF"/>
                <w:lang w:bidi="ar-SA"/>
              </w:rPr>
            </w:pPr>
            <w:r>
              <w:rPr>
                <w:rFonts w:hint="eastAsia" w:ascii="Times New Roman" w:hAnsi="Times New Roman" w:eastAsia="仿宋_GB2312" w:cs="Times New Roman"/>
                <w:kern w:val="0"/>
                <w:sz w:val="16"/>
                <w:szCs w:val="15"/>
                <w:shd w:val="clear" w:color="auto" w:fill="FFFFFF"/>
                <w:lang w:bidi="ar-SA"/>
              </w:rPr>
              <w:t xml:space="preserve">   </w:t>
            </w:r>
            <w:r>
              <w:rPr>
                <w:rFonts w:ascii="Times New Roman" w:hAnsi="Times New Roman" w:eastAsia="仿宋_GB2312" w:cs="Times New Roman"/>
                <w:kern w:val="0"/>
                <w:sz w:val="16"/>
                <w:szCs w:val="15"/>
                <w:shd w:val="clear" w:color="auto" w:fill="FFFFFF"/>
                <w:lang w:bidi="ar-SA"/>
              </w:rPr>
              <w:t>1.</w:t>
            </w:r>
            <w:r>
              <w:rPr>
                <w:rFonts w:hint="eastAsia" w:ascii="Times New Roman" w:hAnsi="Times New Roman" w:eastAsia="仿宋_GB2312" w:cs="Times New Roman"/>
                <w:kern w:val="0"/>
                <w:sz w:val="16"/>
                <w:szCs w:val="15"/>
                <w:shd w:val="clear" w:color="auto" w:fill="FFFFFF"/>
                <w:lang w:bidi="ar-SA"/>
              </w:rPr>
              <w:t>双公示系统</w:t>
            </w:r>
          </w:p>
          <w:p>
            <w:pPr>
              <w:spacing w:line="320" w:lineRule="exact"/>
              <w:jc w:val="left"/>
              <w:rPr>
                <w:rFonts w:hint="eastAsia" w:ascii="Times New Roman" w:hAnsi="Times New Roman" w:eastAsia="仿宋_GB2312" w:cs="Times New Roman"/>
                <w:kern w:val="0"/>
                <w:sz w:val="16"/>
                <w:szCs w:val="15"/>
                <w:shd w:val="clear" w:color="auto" w:fill="FFFFFF"/>
                <w:lang w:bidi="ar-SA"/>
              </w:rPr>
            </w:pP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bl>
    <w:p>
      <w:pPr>
        <w:widowControl/>
        <w:shd w:val="clear" w:color="auto" w:fill="FFFFFF"/>
        <w:spacing w:line="450" w:lineRule="atLeast"/>
      </w:pPr>
    </w:p>
    <w:sectPr>
      <w:footerReference r:id="rId3" w:type="default"/>
      <w:pgSz w:w="16840" w:h="11907" w:orient="landscape"/>
      <w:pgMar w:top="1094" w:right="1440" w:bottom="1457" w:left="238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M2E4NGVkNGQ2MmEzN2NlYzc0NmUzNTRlYjQifQ=="/>
  </w:docVars>
  <w:rsids>
    <w:rsidRoot w:val="00000000"/>
    <w:rsid w:val="123A16BC"/>
    <w:rsid w:val="16F87B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uiPriority w:val="0"/>
    <w:pPr>
      <w:keepNext/>
      <w:keepLines/>
      <w:widowControl w:val="0"/>
      <w:spacing w:before="340" w:after="330" w:line="578" w:lineRule="auto"/>
      <w:jc w:val="both"/>
      <w:outlineLvl w:val="0"/>
    </w:pPr>
    <w:rPr>
      <w:rFonts w:ascii="Calibri" w:hAnsi="Calibri" w:eastAsia="宋体" w:cs="Arial"/>
      <w:b/>
      <w:bCs/>
      <w:kern w:val="44"/>
      <w:sz w:val="44"/>
      <w:szCs w:val="44"/>
      <w:lang w:val="en-US" w:eastAsia="zh-CN" w:bidi="ar-SA"/>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footer"/>
    <w:uiPriority w:val="0"/>
    <w:pPr>
      <w:widowControl w:val="0"/>
      <w:tabs>
        <w:tab w:val="center" w:pos="4153"/>
        <w:tab w:val="right" w:pos="8306"/>
      </w:tabs>
      <w:snapToGrid w:val="0"/>
      <w:jc w:val="left"/>
    </w:pPr>
    <w:rPr>
      <w:rFonts w:ascii="Calibri" w:hAnsi="Calibri" w:eastAsia="宋体" w:cs="Arial"/>
      <w:kern w:val="2"/>
      <w:sz w:val="18"/>
      <w:szCs w:val="24"/>
      <w:lang w:val="en-US" w:eastAsia="zh-CN" w:bidi="ar-SA"/>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2712</Words>
  <Characters>2944</Characters>
  <TotalTime>10</TotalTime>
  <ScaleCrop>false</ScaleCrop>
  <LinksUpToDate>false</LinksUpToDate>
  <CharactersWithSpaces>3208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2021-12-21T07:55:00Z</dcterms:created>
  <dc:creator>zxb</dc:creator>
  <cp:lastModifiedBy>不疯魔，不成活</cp:lastModifiedBy>
  <cp:lastPrinted>2022-01-27T00:52:00Z</cp:lastPrinted>
  <dcterms:modified xsi:type="dcterms:W3CDTF">2023-05-31T01:31:27Z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F6B47A040AB446A38CF0665F1AC66DCE_13</vt:lpwstr>
  </property>
</Properties>
</file>