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（三十一）通榆县双岗镇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