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通榆县党工委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政务公开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制度</w:t>
      </w:r>
      <w:bookmarkStart w:id="0" w:name="_GoBack"/>
      <w:bookmarkEnd w:id="0"/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 政务公开的主要内容 </w:t>
      </w:r>
    </w:p>
    <w:p>
      <w:pPr>
        <w:ind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（一）对外公开内容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1.行政管理权限、服务职能范围，内设机构和职责，工作规则及各项规章制度，各负责人和各岗位人员；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2.领导责任分工；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3.办事程序、办事依据、办事条件、办事结果等与群众关系密切的事项； </w:t>
      </w:r>
    </w:p>
    <w:p>
      <w:pPr>
        <w:tabs>
          <w:tab w:val="right" w:pos="8306"/>
        </w:tabs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4.年度工作总结及下一步工作计划；  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ab/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.其他必须对外公开的事项。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 （二）对内公开内容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1.干部任用、人事安排及奖惩情况；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2.财务制度及收支情况；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.大宗物品采购和分配情况； </w:t>
      </w:r>
    </w:p>
    <w:p>
      <w:pPr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.固定资产处置情况； </w:t>
      </w:r>
    </w:p>
    <w:p>
      <w:pPr>
        <w:ind w:firstLine="64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.重大管理事项的决策；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.工资、福利、社会保障政策规定；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.领导干部个人廉洁自律和领导班子廉政勤政情况；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.其他应在内部公开的事项。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条 政务公开的形式、时限、存档及监督 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1.利用政务公开栏、会议通报等有效形式公开政务内容，接受群众监督。 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2.公开信息应当自该政务信息形成或者变更之日起20个工作日内予以公开。  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3.设立举报电话，强化监督，严明纪律，建立政务公开保障机制。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935C5"/>
    <w:rsid w:val="0E224116"/>
    <w:rsid w:val="2F0935C5"/>
    <w:rsid w:val="5A99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2020-07-09T01:12:00Z</dcterms:created>
  <dc:creator>萧颦</dc:creator>
  <cp:lastModifiedBy>萧颦</cp:lastModifiedBy>
  <dcterms:modified xsi:type="dcterms:W3CDTF">2020-08-18T02:19:26Z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