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outlineLvl w:val="0"/>
        <w:rPr>
          <w:rFonts w:hint="eastAsia" w:ascii="方正大标宋简体" w:hAnsi="方正大标宋简体" w:eastAsia="方正大标宋简体" w:cs="方正大标宋简体"/>
          <w:b w:val="0"/>
          <w:bCs w:val="0"/>
          <w:color w:val="000000"/>
          <w:sz w:val="44"/>
          <w:szCs w:val="44"/>
        </w:rPr>
      </w:pPr>
      <w:bookmarkStart w:id="0" w:name="_Toc27048"/>
      <w:bookmarkStart w:id="1" w:name="_Toc29804"/>
      <w:r>
        <w:rPr>
          <w:rFonts w:hint="eastAsia" w:ascii="方正大标宋简体" w:hAnsi="方正大标宋简体" w:eastAsia="方正大标宋简体" w:cs="方正大标宋简体"/>
          <w:b w:val="0"/>
          <w:bCs w:val="0"/>
          <w:color w:val="000000"/>
          <w:sz w:val="44"/>
          <w:szCs w:val="44"/>
          <w:lang w:eastAsia="zh-CN"/>
        </w:rPr>
        <w:t>通榆县党工委</w:t>
      </w:r>
      <w:bookmarkStart w:id="2" w:name="_GoBack"/>
      <w:bookmarkEnd w:id="2"/>
      <w:r>
        <w:rPr>
          <w:rFonts w:hint="eastAsia" w:ascii="方正大标宋简体" w:hAnsi="方正大标宋简体" w:eastAsia="方正大标宋简体" w:cs="方正大标宋简体"/>
          <w:b w:val="0"/>
          <w:bCs w:val="0"/>
          <w:color w:val="000000"/>
          <w:sz w:val="44"/>
          <w:szCs w:val="44"/>
        </w:rPr>
        <w:t>财务管理制度</w:t>
      </w:r>
      <w:bookmarkEnd w:id="0"/>
      <w:bookmarkEnd w:id="1"/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576" w:lineRule="exact"/>
        <w:ind w:right="0"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 w:bidi="ar-SA"/>
        </w:rPr>
        <w:t>为进一步规范机关财务管理工作，认真贯彻执行财经政策、法规、制度，加强监督，维护财经纪律，根据《中华人民共和国会计法》、《会计基础工作规范》的要求，结合工委实际情况特制定本制度。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576" w:lineRule="exact"/>
        <w:ind w:right="0"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 w:bidi="ar-SA"/>
        </w:rPr>
        <w:t>1、 严格执行党和国家的方针、政策和财务部门的有关规定，严格遵守财经纪律。坚持“计划使用、节约开支”的原则，做到勤俭节约，杜绝浪费，努力建设节约型机关。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-40" w:leftChars="-19" w:firstLine="720" w:firstLineChars="225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2、财务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分管领导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要坚持原则，认真执行《会计法》，自觉遵守财务制度。各种账务凭据，必须经分管财务工作的领导签字后才有效。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３、财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务报账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人员要为领导当好参谋，理好财，管好帐，把好财务收支关。对各项开支的资金渠道及支出项目进行审核。对于不真实、不合理的原始凭证不予受理；对记载不准确、不定期完善的凭证予以退回，更正补充。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720" w:firstLineChars="225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４、单位职工出差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、购买办公用品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，必须经领导批准，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及时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报帐，不准拖延。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720" w:firstLineChars="225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５、财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务报账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管理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要每月在县委办规定的时限内整理好票据。按照县委办财务管理制度履行好签批手续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720" w:firstLineChars="225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6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、对于故意违反财经纪律、因工作失误造成重大损失或恶劣影响的人员，视情节轻重给予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相应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处分。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righ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仿宋_GB2312"/>
    <w:panose1 w:val="03000509000000000000"/>
    <w:charset w:val="86"/>
    <w:family w:val="roma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大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681EC9"/>
    <w:rsid w:val="0EAD16B0"/>
    <w:rsid w:val="20CC238C"/>
    <w:rsid w:val="33681EC9"/>
    <w:rsid w:val="51763763"/>
    <w:rsid w:val="737A6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p0"/>
    <w:basedOn w:val="1"/>
    <w:qFormat/>
    <w:uiPriority w:val="99"/>
    <w:pPr>
      <w:widowControl/>
    </w:pPr>
    <w:rPr>
      <w:rFonts w:ascii="Times New Roman" w:hAnsi="Times New Roman" w:eastAsia="宋体" w:cs="Times New Roman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2020-08-14T02:44:00Z</dcterms:created>
  <dc:creator>寒潇鳕</dc:creator>
  <cp:lastModifiedBy>萧颦</cp:lastModifiedBy>
  <cp:lastPrinted>2020-08-21T03:32:06Z</cp:lastPrinted>
  <dcterms:modified xsi:type="dcterms:W3CDTF">2020-08-21T03:32:15Z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